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3D312">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0"/>
        <w:rPr>
          <w:rFonts w:hint="eastAsia" w:ascii="宋体" w:hAnsi="宋体" w:eastAsia="宋体" w:cs="宋体"/>
          <w:b/>
          <w:bCs/>
          <w:snapToGrid/>
          <w:color w:val="auto"/>
          <w:spacing w:val="0"/>
          <w:kern w:val="0"/>
          <w:position w:val="0"/>
          <w:sz w:val="30"/>
          <w:szCs w:val="30"/>
        </w:rPr>
      </w:pPr>
      <w:r>
        <w:rPr>
          <w:rFonts w:hint="eastAsia" w:ascii="宋体" w:hAnsi="宋体" w:eastAsia="宋体" w:cs="宋体"/>
          <w:b/>
          <w:bCs/>
          <w:snapToGrid/>
          <w:color w:val="auto"/>
          <w:spacing w:val="0"/>
          <w:kern w:val="0"/>
          <w:position w:val="0"/>
          <w:sz w:val="30"/>
          <w:szCs w:val="30"/>
        </w:rPr>
        <w:t>一、建设项目基本情况</w:t>
      </w:r>
    </w:p>
    <w:tbl>
      <w:tblPr>
        <w:tblStyle w:val="22"/>
        <w:tblW w:w="907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586"/>
        <w:gridCol w:w="1058"/>
        <w:gridCol w:w="2466"/>
        <w:gridCol w:w="2262"/>
        <w:gridCol w:w="2699"/>
      </w:tblGrid>
      <w:tr w14:paraId="18F34A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08" w:type="dxa"/>
            <w:gridSpan w:val="2"/>
            <w:tcBorders>
              <w:tl2br w:val="nil"/>
              <w:tr2bl w:val="nil"/>
            </w:tcBorders>
            <w:noWrap w:val="0"/>
            <w:tcMar>
              <w:top w:w="16" w:type="dxa"/>
              <w:left w:w="16" w:type="dxa"/>
              <w:right w:w="16" w:type="dxa"/>
            </w:tcMar>
            <w:vAlign w:val="center"/>
          </w:tcPr>
          <w:p w14:paraId="022CBAC6">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snapToGrid/>
                <w:color w:val="auto"/>
                <w:spacing w:val="0"/>
                <w:kern w:val="0"/>
                <w:position w:val="0"/>
                <w:sz w:val="24"/>
                <w:szCs w:val="24"/>
              </w:rPr>
            </w:pPr>
            <w:r>
              <w:rPr>
                <w:rFonts w:hint="eastAsia" w:ascii="宋体" w:hAnsi="宋体" w:eastAsia="宋体" w:cs="宋体"/>
                <w:b w:val="0"/>
                <w:bCs w:val="0"/>
                <w:snapToGrid/>
                <w:color w:val="auto"/>
                <w:spacing w:val="0"/>
                <w:kern w:val="0"/>
                <w:position w:val="0"/>
                <w:sz w:val="24"/>
                <w:szCs w:val="24"/>
              </w:rPr>
              <w:t>建设项目名称</w:t>
            </w:r>
          </w:p>
        </w:tc>
        <w:tc>
          <w:tcPr>
            <w:tcW w:w="7262" w:type="dxa"/>
            <w:gridSpan w:val="3"/>
            <w:tcBorders>
              <w:tl2br w:val="nil"/>
              <w:tr2bl w:val="nil"/>
            </w:tcBorders>
            <w:noWrap w:val="0"/>
            <w:vAlign w:val="center"/>
          </w:tcPr>
          <w:p w14:paraId="18448822">
            <w:pPr>
              <w:keepNext w:val="0"/>
              <w:keepLines w:val="0"/>
              <w:pageBreakBefore w:val="0"/>
              <w:widowControl w:val="0"/>
              <w:kinsoku/>
              <w:wordWrap/>
              <w:overflowPunct/>
              <w:topLinePunct w:val="0"/>
              <w:bidi w:val="0"/>
              <w:adjustRightInd w:val="0"/>
              <w:snapToGrid w:val="0"/>
              <w:jc w:val="center"/>
              <w:textAlignment w:val="auto"/>
              <w:rPr>
                <w:rFonts w:hint="eastAsia" w:ascii="Times New Roman" w:hAnsi="Times New Roman" w:eastAsia="宋体" w:cs="Times New Roman"/>
                <w:snapToGrid/>
                <w:color w:val="auto"/>
                <w:spacing w:val="0"/>
                <w:kern w:val="0"/>
                <w:position w:val="0"/>
                <w:sz w:val="24"/>
                <w:szCs w:val="24"/>
                <w:lang w:eastAsia="zh-CN"/>
              </w:rPr>
            </w:pPr>
            <w:r>
              <w:rPr>
                <w:rFonts w:hint="eastAsia" w:cs="Times New Roman"/>
                <w:snapToGrid/>
                <w:color w:val="auto"/>
                <w:spacing w:val="0"/>
                <w:kern w:val="0"/>
                <w:position w:val="0"/>
                <w:sz w:val="24"/>
                <w:szCs w:val="24"/>
                <w:lang w:eastAsia="zh-CN"/>
              </w:rPr>
              <w:t>钨合金渔坠生产扩建项目</w:t>
            </w:r>
          </w:p>
        </w:tc>
      </w:tr>
      <w:tr w14:paraId="5ACE9D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08" w:type="dxa"/>
            <w:gridSpan w:val="2"/>
            <w:tcBorders>
              <w:tl2br w:val="nil"/>
              <w:tr2bl w:val="nil"/>
            </w:tcBorders>
            <w:noWrap w:val="0"/>
            <w:tcMar>
              <w:top w:w="16" w:type="dxa"/>
              <w:left w:w="16" w:type="dxa"/>
              <w:right w:w="16" w:type="dxa"/>
            </w:tcMar>
            <w:vAlign w:val="center"/>
          </w:tcPr>
          <w:p w14:paraId="590CB675">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snapToGrid/>
                <w:color w:val="auto"/>
                <w:spacing w:val="0"/>
                <w:kern w:val="0"/>
                <w:position w:val="0"/>
                <w:sz w:val="24"/>
                <w:szCs w:val="24"/>
                <w:lang w:val="en-US" w:eastAsia="zh-CN"/>
              </w:rPr>
            </w:pPr>
            <w:r>
              <w:rPr>
                <w:rFonts w:hint="eastAsia" w:ascii="宋体" w:hAnsi="宋体" w:eastAsia="宋体" w:cs="宋体"/>
                <w:b w:val="0"/>
                <w:bCs w:val="0"/>
                <w:snapToGrid/>
                <w:color w:val="auto"/>
                <w:spacing w:val="0"/>
                <w:kern w:val="0"/>
                <w:position w:val="0"/>
                <w:sz w:val="24"/>
                <w:szCs w:val="24"/>
              </w:rPr>
              <w:t>项目代码</w:t>
            </w:r>
          </w:p>
        </w:tc>
        <w:tc>
          <w:tcPr>
            <w:tcW w:w="7262" w:type="dxa"/>
            <w:gridSpan w:val="3"/>
            <w:tcBorders>
              <w:tl2br w:val="nil"/>
              <w:tr2bl w:val="nil"/>
            </w:tcBorders>
            <w:noWrap w:val="0"/>
            <w:vAlign w:val="center"/>
          </w:tcPr>
          <w:p w14:paraId="46E9F6EB">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4"/>
                <w:szCs w:val="24"/>
                <w:lang w:val="en-US" w:eastAsia="zh-CN"/>
              </w:rPr>
            </w:pPr>
            <w:r>
              <w:rPr>
                <w:rFonts w:hint="eastAsia" w:cs="Times New Roman"/>
                <w:snapToGrid/>
                <w:color w:val="auto"/>
                <w:spacing w:val="0"/>
                <w:kern w:val="0"/>
                <w:position w:val="0"/>
                <w:sz w:val="24"/>
                <w:szCs w:val="24"/>
                <w:lang w:val="en-US" w:eastAsia="zh-CN"/>
              </w:rPr>
              <w:t>2503-341323-04-01-133099</w:t>
            </w:r>
          </w:p>
        </w:tc>
      </w:tr>
      <w:tr w14:paraId="2A87D73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08" w:type="dxa"/>
            <w:gridSpan w:val="2"/>
            <w:tcBorders>
              <w:tl2br w:val="nil"/>
              <w:tr2bl w:val="nil"/>
            </w:tcBorders>
            <w:noWrap w:val="0"/>
            <w:tcMar>
              <w:top w:w="16" w:type="dxa"/>
              <w:left w:w="16" w:type="dxa"/>
              <w:right w:w="16" w:type="dxa"/>
            </w:tcMar>
            <w:vAlign w:val="center"/>
          </w:tcPr>
          <w:p w14:paraId="3D4AF7B1">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snapToGrid/>
                <w:color w:val="auto"/>
                <w:spacing w:val="0"/>
                <w:kern w:val="0"/>
                <w:position w:val="0"/>
                <w:sz w:val="24"/>
                <w:szCs w:val="24"/>
              </w:rPr>
            </w:pPr>
            <w:r>
              <w:rPr>
                <w:rFonts w:hint="eastAsia" w:ascii="宋体" w:hAnsi="宋体" w:eastAsia="宋体" w:cs="宋体"/>
                <w:b w:val="0"/>
                <w:bCs w:val="0"/>
                <w:snapToGrid/>
                <w:color w:val="auto"/>
                <w:spacing w:val="0"/>
                <w:kern w:val="0"/>
                <w:position w:val="0"/>
                <w:sz w:val="24"/>
                <w:szCs w:val="24"/>
              </w:rPr>
              <w:t>建设单位联系人</w:t>
            </w:r>
          </w:p>
        </w:tc>
        <w:tc>
          <w:tcPr>
            <w:tcW w:w="2411" w:type="dxa"/>
            <w:tcBorders>
              <w:tl2br w:val="nil"/>
              <w:tr2bl w:val="nil"/>
            </w:tcBorders>
            <w:noWrap w:val="0"/>
            <w:vAlign w:val="center"/>
          </w:tcPr>
          <w:p w14:paraId="6F49D608">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4"/>
                <w:szCs w:val="24"/>
                <w:lang w:eastAsia="zh-CN"/>
              </w:rPr>
            </w:pPr>
            <w:r>
              <w:rPr>
                <w:rFonts w:hint="default" w:ascii="Times New Roman" w:hAnsi="Times New Roman" w:eastAsia="宋体" w:cs="Times New Roman"/>
                <w:snapToGrid/>
                <w:color w:val="auto"/>
                <w:spacing w:val="0"/>
                <w:kern w:val="0"/>
                <w:position w:val="0"/>
                <w:sz w:val="24"/>
                <w:szCs w:val="24"/>
                <w:lang w:eastAsia="zh-CN"/>
              </w:rPr>
              <w:t>裴红飞</w:t>
            </w:r>
          </w:p>
        </w:tc>
        <w:tc>
          <w:tcPr>
            <w:tcW w:w="2212" w:type="dxa"/>
            <w:tcBorders>
              <w:tl2br w:val="nil"/>
              <w:tr2bl w:val="nil"/>
            </w:tcBorders>
            <w:noWrap w:val="0"/>
            <w:vAlign w:val="center"/>
          </w:tcPr>
          <w:p w14:paraId="4AE22E53">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联系方式</w:t>
            </w:r>
          </w:p>
        </w:tc>
        <w:tc>
          <w:tcPr>
            <w:tcW w:w="2639" w:type="dxa"/>
            <w:tcBorders>
              <w:tl2br w:val="nil"/>
              <w:tr2bl w:val="nil"/>
            </w:tcBorders>
            <w:noWrap w:val="0"/>
            <w:vAlign w:val="center"/>
          </w:tcPr>
          <w:p w14:paraId="6B2D1242">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4"/>
                <w:szCs w:val="24"/>
                <w:lang w:val="en-US" w:eastAsia="zh-CN"/>
              </w:rPr>
            </w:pPr>
            <w:r>
              <w:rPr>
                <w:rFonts w:hint="default" w:ascii="Times New Roman" w:hAnsi="Times New Roman" w:eastAsia="宋体" w:cs="Times New Roman"/>
                <w:snapToGrid/>
                <w:color w:val="auto"/>
                <w:spacing w:val="0"/>
                <w:kern w:val="0"/>
                <w:position w:val="0"/>
                <w:sz w:val="24"/>
                <w:szCs w:val="24"/>
                <w:lang w:val="en-US" w:eastAsia="zh-CN"/>
              </w:rPr>
              <w:t>183</w:t>
            </w:r>
            <w:r>
              <w:rPr>
                <w:rFonts w:hint="eastAsia" w:cs="Times New Roman"/>
                <w:snapToGrid/>
                <w:color w:val="auto"/>
                <w:spacing w:val="0"/>
                <w:kern w:val="0"/>
                <w:position w:val="0"/>
                <w:sz w:val="24"/>
                <w:szCs w:val="24"/>
                <w:lang w:val="en-US" w:eastAsia="zh-CN"/>
              </w:rPr>
              <w:t>****</w:t>
            </w:r>
            <w:r>
              <w:rPr>
                <w:rFonts w:hint="default" w:ascii="Times New Roman" w:hAnsi="Times New Roman" w:eastAsia="宋体" w:cs="Times New Roman"/>
                <w:snapToGrid/>
                <w:color w:val="auto"/>
                <w:spacing w:val="0"/>
                <w:kern w:val="0"/>
                <w:position w:val="0"/>
                <w:sz w:val="24"/>
                <w:szCs w:val="24"/>
                <w:lang w:val="en-US" w:eastAsia="zh-CN"/>
              </w:rPr>
              <w:t>2228</w:t>
            </w:r>
          </w:p>
        </w:tc>
      </w:tr>
      <w:tr w14:paraId="022A1C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08" w:type="dxa"/>
            <w:gridSpan w:val="2"/>
            <w:tcBorders>
              <w:tl2br w:val="nil"/>
              <w:tr2bl w:val="nil"/>
            </w:tcBorders>
            <w:noWrap w:val="0"/>
            <w:tcMar>
              <w:top w:w="16" w:type="dxa"/>
              <w:left w:w="16" w:type="dxa"/>
              <w:right w:w="16" w:type="dxa"/>
            </w:tcMar>
            <w:vAlign w:val="center"/>
          </w:tcPr>
          <w:p w14:paraId="79F12029">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snapToGrid/>
                <w:color w:val="auto"/>
                <w:spacing w:val="0"/>
                <w:kern w:val="0"/>
                <w:position w:val="0"/>
                <w:sz w:val="24"/>
                <w:szCs w:val="24"/>
              </w:rPr>
            </w:pPr>
            <w:r>
              <w:rPr>
                <w:rFonts w:hint="eastAsia" w:ascii="宋体" w:hAnsi="宋体" w:eastAsia="宋体" w:cs="宋体"/>
                <w:b w:val="0"/>
                <w:bCs w:val="0"/>
                <w:snapToGrid/>
                <w:color w:val="auto"/>
                <w:spacing w:val="0"/>
                <w:kern w:val="0"/>
                <w:position w:val="0"/>
                <w:sz w:val="24"/>
                <w:szCs w:val="24"/>
              </w:rPr>
              <w:t>建设地点</w:t>
            </w:r>
          </w:p>
        </w:tc>
        <w:tc>
          <w:tcPr>
            <w:tcW w:w="7262" w:type="dxa"/>
            <w:gridSpan w:val="3"/>
            <w:tcBorders>
              <w:tl2br w:val="nil"/>
              <w:tr2bl w:val="nil"/>
            </w:tcBorders>
            <w:noWrap w:val="0"/>
            <w:vAlign w:val="center"/>
          </w:tcPr>
          <w:p w14:paraId="0392FFD0">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4"/>
                <w:szCs w:val="24"/>
                <w:lang w:val="en-US"/>
              </w:rPr>
            </w:pPr>
            <w:r>
              <w:rPr>
                <w:rFonts w:hint="default" w:ascii="Times New Roman" w:hAnsi="Times New Roman" w:eastAsia="宋体" w:cs="Times New Roman"/>
                <w:snapToGrid/>
                <w:color w:val="auto"/>
                <w:spacing w:val="0"/>
                <w:kern w:val="0"/>
                <w:position w:val="0"/>
                <w:sz w:val="24"/>
                <w:szCs w:val="24"/>
                <w:u w:val="none"/>
                <w:lang w:eastAsia="zh-CN"/>
              </w:rPr>
              <w:t>安徽省宿州市灵璧县尹集镇田路村</w:t>
            </w:r>
          </w:p>
        </w:tc>
      </w:tr>
      <w:tr w14:paraId="0356E8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08" w:type="dxa"/>
            <w:gridSpan w:val="2"/>
            <w:tcBorders>
              <w:tl2br w:val="nil"/>
              <w:tr2bl w:val="nil"/>
            </w:tcBorders>
            <w:noWrap w:val="0"/>
            <w:tcMar>
              <w:top w:w="16" w:type="dxa"/>
              <w:left w:w="16" w:type="dxa"/>
              <w:right w:w="16" w:type="dxa"/>
            </w:tcMar>
            <w:vAlign w:val="center"/>
          </w:tcPr>
          <w:p w14:paraId="66DD30E3">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snapToGrid/>
                <w:color w:val="auto"/>
                <w:spacing w:val="0"/>
                <w:kern w:val="0"/>
                <w:position w:val="0"/>
                <w:sz w:val="24"/>
                <w:szCs w:val="24"/>
              </w:rPr>
            </w:pPr>
            <w:r>
              <w:rPr>
                <w:rFonts w:hint="eastAsia" w:ascii="宋体" w:hAnsi="宋体" w:eastAsia="宋体" w:cs="宋体"/>
                <w:b w:val="0"/>
                <w:bCs w:val="0"/>
                <w:snapToGrid/>
                <w:color w:val="auto"/>
                <w:spacing w:val="0"/>
                <w:kern w:val="0"/>
                <w:position w:val="0"/>
                <w:sz w:val="24"/>
                <w:szCs w:val="24"/>
              </w:rPr>
              <w:t>地理坐标</w:t>
            </w:r>
          </w:p>
        </w:tc>
        <w:tc>
          <w:tcPr>
            <w:tcW w:w="7262" w:type="dxa"/>
            <w:gridSpan w:val="3"/>
            <w:tcBorders>
              <w:tl2br w:val="nil"/>
              <w:tr2bl w:val="nil"/>
            </w:tcBorders>
            <w:noWrap w:val="0"/>
            <w:vAlign w:val="center"/>
          </w:tcPr>
          <w:p w14:paraId="250EE392">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snapToGrid/>
                <w:color w:val="auto"/>
                <w:spacing w:val="0"/>
                <w:kern w:val="0"/>
                <w:position w:val="0"/>
                <w:sz w:val="24"/>
                <w:szCs w:val="24"/>
              </w:rPr>
            </w:pPr>
            <w:r>
              <w:rPr>
                <w:rFonts w:hint="eastAsia" w:ascii="宋体" w:hAnsi="宋体" w:eastAsia="宋体" w:cs="宋体"/>
                <w:snapToGrid/>
                <w:color w:val="auto"/>
                <w:spacing w:val="0"/>
                <w:kern w:val="0"/>
                <w:position w:val="0"/>
                <w:sz w:val="24"/>
                <w:szCs w:val="24"/>
              </w:rPr>
              <w:t>（</w:t>
            </w:r>
            <w:r>
              <w:rPr>
                <w:rFonts w:hint="eastAsia" w:ascii="宋体" w:hAnsi="宋体" w:cs="宋体"/>
                <w:snapToGrid/>
                <w:color w:val="auto"/>
                <w:spacing w:val="0"/>
                <w:kern w:val="0"/>
                <w:position w:val="0"/>
                <w:sz w:val="24"/>
                <w:szCs w:val="24"/>
                <w:lang w:eastAsia="zh-CN"/>
              </w:rPr>
              <w:t>经度</w:t>
            </w:r>
            <w:r>
              <w:rPr>
                <w:rFonts w:hint="default" w:ascii="Times New Roman" w:hAnsi="Times New Roman" w:cs="Times New Roman"/>
                <w:snapToGrid/>
                <w:color w:val="auto"/>
                <w:spacing w:val="0"/>
                <w:kern w:val="0"/>
                <w:position w:val="0"/>
                <w:sz w:val="24"/>
                <w:szCs w:val="24"/>
                <w:lang w:eastAsia="zh-CN"/>
              </w:rPr>
              <w:t>：</w:t>
            </w:r>
            <w:r>
              <w:rPr>
                <w:rFonts w:hint="default" w:ascii="Times New Roman" w:hAnsi="Times New Roman" w:eastAsia="宋体" w:cs="Times New Roman"/>
                <w:snapToGrid/>
                <w:color w:val="auto"/>
                <w:spacing w:val="0"/>
                <w:kern w:val="0"/>
                <w:position w:val="0"/>
                <w:sz w:val="24"/>
                <w:szCs w:val="24"/>
                <w:u w:val="single"/>
              </w:rPr>
              <w:t>117</w:t>
            </w:r>
            <w:r>
              <w:rPr>
                <w:rFonts w:hint="default" w:ascii="Times New Roman" w:hAnsi="Times New Roman" w:eastAsia="宋体" w:cs="Times New Roman"/>
                <w:snapToGrid/>
                <w:color w:val="auto"/>
                <w:spacing w:val="0"/>
                <w:kern w:val="0"/>
                <w:position w:val="0"/>
                <w:sz w:val="24"/>
                <w:szCs w:val="24"/>
              </w:rPr>
              <w:t>度</w:t>
            </w:r>
            <w:r>
              <w:rPr>
                <w:rFonts w:hint="eastAsia" w:cs="Times New Roman"/>
                <w:snapToGrid/>
                <w:color w:val="auto"/>
                <w:spacing w:val="0"/>
                <w:kern w:val="0"/>
                <w:position w:val="0"/>
                <w:sz w:val="24"/>
                <w:szCs w:val="24"/>
                <w:u w:val="single"/>
                <w:lang w:val="en-US" w:eastAsia="zh-CN"/>
              </w:rPr>
              <w:t>28</w:t>
            </w:r>
            <w:r>
              <w:rPr>
                <w:rFonts w:hint="default" w:ascii="Times New Roman" w:hAnsi="Times New Roman" w:eastAsia="宋体" w:cs="Times New Roman"/>
                <w:snapToGrid/>
                <w:color w:val="auto"/>
                <w:spacing w:val="0"/>
                <w:kern w:val="0"/>
                <w:position w:val="0"/>
                <w:sz w:val="24"/>
                <w:szCs w:val="24"/>
              </w:rPr>
              <w:t>分</w:t>
            </w:r>
            <w:r>
              <w:rPr>
                <w:rFonts w:hint="eastAsia" w:cs="Times New Roman"/>
                <w:snapToGrid/>
                <w:color w:val="auto"/>
                <w:spacing w:val="0"/>
                <w:kern w:val="0"/>
                <w:position w:val="0"/>
                <w:sz w:val="24"/>
                <w:szCs w:val="24"/>
                <w:u w:val="single"/>
                <w:lang w:val="en-US" w:eastAsia="zh-CN"/>
              </w:rPr>
              <w:t>6.452</w:t>
            </w:r>
            <w:r>
              <w:rPr>
                <w:rFonts w:hint="default" w:ascii="Times New Roman" w:hAnsi="Times New Roman" w:eastAsia="宋体" w:cs="Times New Roman"/>
                <w:snapToGrid/>
                <w:color w:val="auto"/>
                <w:spacing w:val="0"/>
                <w:kern w:val="0"/>
                <w:position w:val="0"/>
                <w:sz w:val="24"/>
                <w:szCs w:val="24"/>
              </w:rPr>
              <w:t>秒，</w:t>
            </w:r>
            <w:r>
              <w:rPr>
                <w:rFonts w:hint="eastAsia" w:cs="Times New Roman"/>
                <w:snapToGrid/>
                <w:color w:val="auto"/>
                <w:spacing w:val="0"/>
                <w:kern w:val="0"/>
                <w:position w:val="0"/>
                <w:sz w:val="24"/>
                <w:szCs w:val="24"/>
                <w:lang w:eastAsia="zh-CN"/>
              </w:rPr>
              <w:t>纬度：</w:t>
            </w:r>
            <w:r>
              <w:rPr>
                <w:rFonts w:hint="default" w:ascii="Times New Roman" w:hAnsi="Times New Roman" w:eastAsia="宋体" w:cs="Times New Roman"/>
                <w:snapToGrid/>
                <w:color w:val="auto"/>
                <w:spacing w:val="0"/>
                <w:kern w:val="0"/>
                <w:position w:val="0"/>
                <w:sz w:val="24"/>
                <w:szCs w:val="24"/>
                <w:u w:val="single"/>
              </w:rPr>
              <w:t>33</w:t>
            </w:r>
            <w:r>
              <w:rPr>
                <w:rFonts w:hint="default" w:ascii="Times New Roman" w:hAnsi="Times New Roman" w:eastAsia="宋体" w:cs="Times New Roman"/>
                <w:snapToGrid/>
                <w:color w:val="auto"/>
                <w:spacing w:val="0"/>
                <w:kern w:val="0"/>
                <w:position w:val="0"/>
                <w:sz w:val="24"/>
                <w:szCs w:val="24"/>
              </w:rPr>
              <w:t>度</w:t>
            </w:r>
            <w:r>
              <w:rPr>
                <w:rFonts w:hint="default" w:ascii="Times New Roman" w:hAnsi="Times New Roman" w:eastAsia="宋体" w:cs="Times New Roman"/>
                <w:snapToGrid/>
                <w:color w:val="auto"/>
                <w:spacing w:val="0"/>
                <w:kern w:val="0"/>
                <w:position w:val="0"/>
                <w:sz w:val="24"/>
                <w:szCs w:val="24"/>
                <w:u w:val="single"/>
              </w:rPr>
              <w:t>4</w:t>
            </w:r>
            <w:r>
              <w:rPr>
                <w:rFonts w:hint="eastAsia" w:cs="Times New Roman"/>
                <w:snapToGrid/>
                <w:color w:val="auto"/>
                <w:spacing w:val="0"/>
                <w:kern w:val="0"/>
                <w:position w:val="0"/>
                <w:sz w:val="24"/>
                <w:szCs w:val="24"/>
                <w:u w:val="single"/>
                <w:lang w:val="en-US" w:eastAsia="zh-CN"/>
              </w:rPr>
              <w:t>7</w:t>
            </w:r>
            <w:r>
              <w:rPr>
                <w:rFonts w:hint="default" w:ascii="Times New Roman" w:hAnsi="Times New Roman" w:eastAsia="宋体" w:cs="Times New Roman"/>
                <w:snapToGrid/>
                <w:color w:val="auto"/>
                <w:spacing w:val="0"/>
                <w:kern w:val="0"/>
                <w:position w:val="0"/>
                <w:sz w:val="24"/>
                <w:szCs w:val="24"/>
              </w:rPr>
              <w:t>分</w:t>
            </w:r>
            <w:r>
              <w:rPr>
                <w:rFonts w:hint="eastAsia" w:cs="Times New Roman"/>
                <w:snapToGrid/>
                <w:color w:val="auto"/>
                <w:spacing w:val="0"/>
                <w:kern w:val="0"/>
                <w:position w:val="0"/>
                <w:sz w:val="24"/>
                <w:szCs w:val="24"/>
                <w:u w:val="single"/>
                <w:lang w:val="en-US" w:eastAsia="zh-CN"/>
              </w:rPr>
              <w:t>46.716</w:t>
            </w:r>
            <w:r>
              <w:rPr>
                <w:rFonts w:hint="eastAsia" w:ascii="宋体" w:hAnsi="宋体" w:eastAsia="宋体" w:cs="宋体"/>
                <w:snapToGrid/>
                <w:color w:val="auto"/>
                <w:spacing w:val="0"/>
                <w:kern w:val="0"/>
                <w:position w:val="0"/>
                <w:sz w:val="24"/>
                <w:szCs w:val="24"/>
              </w:rPr>
              <w:t>秒）</w:t>
            </w:r>
          </w:p>
        </w:tc>
      </w:tr>
      <w:tr w14:paraId="1FFE32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08" w:type="dxa"/>
            <w:gridSpan w:val="2"/>
            <w:tcBorders>
              <w:tl2br w:val="nil"/>
              <w:tr2bl w:val="nil"/>
            </w:tcBorders>
            <w:noWrap w:val="0"/>
            <w:tcMar>
              <w:top w:w="16" w:type="dxa"/>
              <w:left w:w="16" w:type="dxa"/>
              <w:right w:w="16" w:type="dxa"/>
            </w:tcMar>
            <w:vAlign w:val="center"/>
          </w:tcPr>
          <w:p w14:paraId="25009079">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snapToGrid/>
                <w:color w:val="auto"/>
                <w:spacing w:val="0"/>
                <w:kern w:val="0"/>
                <w:position w:val="0"/>
                <w:sz w:val="24"/>
                <w:szCs w:val="24"/>
              </w:rPr>
            </w:pPr>
            <w:r>
              <w:rPr>
                <w:rFonts w:hint="eastAsia" w:ascii="宋体" w:hAnsi="宋体" w:eastAsia="宋体" w:cs="宋体"/>
                <w:b w:val="0"/>
                <w:bCs w:val="0"/>
                <w:snapToGrid/>
                <w:color w:val="auto"/>
                <w:spacing w:val="0"/>
                <w:kern w:val="0"/>
                <w:position w:val="0"/>
                <w:sz w:val="24"/>
                <w:szCs w:val="24"/>
              </w:rPr>
              <w:t>国民经济</w:t>
            </w:r>
          </w:p>
          <w:p w14:paraId="1746D30B">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snapToGrid/>
                <w:color w:val="auto"/>
                <w:spacing w:val="0"/>
                <w:kern w:val="0"/>
                <w:position w:val="0"/>
                <w:sz w:val="24"/>
                <w:szCs w:val="24"/>
              </w:rPr>
            </w:pPr>
            <w:r>
              <w:rPr>
                <w:rFonts w:hint="eastAsia" w:ascii="宋体" w:hAnsi="宋体" w:eastAsia="宋体" w:cs="宋体"/>
                <w:b w:val="0"/>
                <w:bCs w:val="0"/>
                <w:snapToGrid/>
                <w:color w:val="auto"/>
                <w:spacing w:val="0"/>
                <w:kern w:val="0"/>
                <w:position w:val="0"/>
                <w:sz w:val="24"/>
                <w:szCs w:val="24"/>
              </w:rPr>
              <w:t>行业类别</w:t>
            </w:r>
          </w:p>
        </w:tc>
        <w:tc>
          <w:tcPr>
            <w:tcW w:w="2411" w:type="dxa"/>
            <w:tcBorders>
              <w:tl2br w:val="nil"/>
              <w:tr2bl w:val="nil"/>
            </w:tcBorders>
            <w:noWrap w:val="0"/>
            <w:vAlign w:val="center"/>
          </w:tcPr>
          <w:p w14:paraId="2E7E3623">
            <w:pPr>
              <w:keepNext w:val="0"/>
              <w:keepLines w:val="0"/>
              <w:pageBreakBefore w:val="0"/>
              <w:widowControl w:val="0"/>
              <w:kinsoku/>
              <w:wordWrap/>
              <w:overflowPunct/>
              <w:topLinePunct w:val="0"/>
              <w:bidi w:val="0"/>
              <w:adjustRightInd w:val="0"/>
              <w:snapToGrid w:val="0"/>
              <w:jc w:val="center"/>
              <w:textAlignment w:val="auto"/>
              <w:rPr>
                <w:rFonts w:hint="default" w:ascii="宋体" w:hAnsi="宋体" w:eastAsia="宋体" w:cs="宋体"/>
                <w:snapToGrid/>
                <w:color w:val="auto"/>
                <w:spacing w:val="0"/>
                <w:kern w:val="0"/>
                <w:position w:val="0"/>
                <w:sz w:val="24"/>
                <w:szCs w:val="24"/>
                <w:lang w:val="en-US" w:eastAsia="zh-CN"/>
              </w:rPr>
            </w:pPr>
            <w:r>
              <w:rPr>
                <w:rFonts w:hint="eastAsia" w:cs="Times New Roman"/>
                <w:b/>
                <w:bCs/>
                <w:color w:val="auto"/>
                <w:kern w:val="0"/>
                <w:sz w:val="24"/>
                <w:lang w:val="en-US" w:eastAsia="zh-CN"/>
              </w:rPr>
              <w:t xml:space="preserve">C3575 </w:t>
            </w:r>
            <w:r>
              <w:rPr>
                <w:rFonts w:hint="eastAsia" w:cs="Times New Roman"/>
                <w:color w:val="auto"/>
                <w:kern w:val="0"/>
                <w:sz w:val="24"/>
                <w:lang w:val="en-US" w:eastAsia="zh-CN"/>
              </w:rPr>
              <w:t>渔业机械制造</w:t>
            </w:r>
          </w:p>
        </w:tc>
        <w:tc>
          <w:tcPr>
            <w:tcW w:w="2212" w:type="dxa"/>
            <w:tcBorders>
              <w:tl2br w:val="nil"/>
              <w:tr2bl w:val="nil"/>
            </w:tcBorders>
            <w:noWrap w:val="0"/>
            <w:vAlign w:val="center"/>
          </w:tcPr>
          <w:p w14:paraId="3E50C2F6">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snapToGrid/>
                <w:color w:val="auto"/>
                <w:spacing w:val="0"/>
                <w:kern w:val="0"/>
                <w:position w:val="0"/>
                <w:sz w:val="24"/>
                <w:szCs w:val="24"/>
              </w:rPr>
            </w:pPr>
            <w:bookmarkStart w:id="0" w:name="_Hlk49843745"/>
            <w:r>
              <w:rPr>
                <w:rFonts w:hint="eastAsia" w:ascii="宋体" w:hAnsi="宋体" w:eastAsia="宋体" w:cs="宋体"/>
                <w:b w:val="0"/>
                <w:bCs w:val="0"/>
                <w:snapToGrid/>
                <w:color w:val="auto"/>
                <w:spacing w:val="0"/>
                <w:kern w:val="0"/>
                <w:position w:val="0"/>
                <w:sz w:val="24"/>
                <w:szCs w:val="24"/>
              </w:rPr>
              <w:t>建设项目</w:t>
            </w:r>
          </w:p>
          <w:p w14:paraId="7F5F71AC">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snapToGrid/>
                <w:color w:val="auto"/>
                <w:spacing w:val="0"/>
                <w:kern w:val="0"/>
                <w:position w:val="0"/>
                <w:sz w:val="24"/>
                <w:szCs w:val="24"/>
              </w:rPr>
            </w:pPr>
            <w:r>
              <w:rPr>
                <w:rFonts w:hint="eastAsia" w:ascii="宋体" w:hAnsi="宋体" w:eastAsia="宋体" w:cs="宋体"/>
                <w:b w:val="0"/>
                <w:bCs w:val="0"/>
                <w:snapToGrid/>
                <w:color w:val="auto"/>
                <w:spacing w:val="0"/>
                <w:kern w:val="0"/>
                <w:position w:val="0"/>
                <w:sz w:val="24"/>
                <w:szCs w:val="24"/>
              </w:rPr>
              <w:t>行业类别</w:t>
            </w:r>
            <w:bookmarkEnd w:id="0"/>
          </w:p>
        </w:tc>
        <w:tc>
          <w:tcPr>
            <w:tcW w:w="2639" w:type="dxa"/>
            <w:tcBorders>
              <w:tl2br w:val="nil"/>
              <w:tr2bl w:val="nil"/>
            </w:tcBorders>
            <w:noWrap w:val="0"/>
            <w:vAlign w:val="center"/>
          </w:tcPr>
          <w:p w14:paraId="03F2E58D">
            <w:pPr>
              <w:keepNext w:val="0"/>
              <w:keepLines w:val="0"/>
              <w:widowControl/>
              <w:suppressLineNumbers w:val="0"/>
              <w:jc w:val="center"/>
              <w:rPr>
                <w:rFonts w:hint="default" w:ascii="宋体" w:hAnsi="宋体" w:eastAsia="宋体" w:cs="宋体"/>
                <w:snapToGrid/>
                <w:color w:val="auto"/>
                <w:spacing w:val="0"/>
                <w:kern w:val="0"/>
                <w:position w:val="0"/>
                <w:sz w:val="24"/>
                <w:szCs w:val="24"/>
                <w:lang w:val="en-US" w:eastAsia="zh-CN"/>
              </w:rPr>
            </w:pPr>
            <w:r>
              <w:rPr>
                <w:rFonts w:hint="default" w:ascii="Times New Roman" w:hAnsi="Times New Roman" w:cs="Times New Roman"/>
                <w:b w:val="0"/>
                <w:bCs w:val="0"/>
                <w:snapToGrid/>
                <w:color w:val="auto"/>
                <w:spacing w:val="0"/>
                <w:kern w:val="0"/>
                <w:position w:val="0"/>
                <w:sz w:val="24"/>
                <w:szCs w:val="24"/>
                <w:lang w:val="en-US" w:eastAsia="zh-CN" w:bidi="ar"/>
              </w:rPr>
              <w:t>三十二、专用设备制造业 35</w:t>
            </w:r>
            <w:r>
              <w:rPr>
                <w:rFonts w:hint="default" w:ascii="Times New Roman" w:hAnsi="Times New Roman" w:eastAsia="宋体" w:cs="Times New Roman"/>
                <w:b w:val="0"/>
                <w:bCs w:val="0"/>
                <w:snapToGrid/>
                <w:color w:val="auto"/>
                <w:spacing w:val="0"/>
                <w:kern w:val="0"/>
                <w:position w:val="0"/>
                <w:sz w:val="24"/>
                <w:szCs w:val="24"/>
                <w:lang w:val="en-US" w:eastAsia="zh-CN" w:bidi="ar"/>
              </w:rPr>
              <w:t>-</w:t>
            </w:r>
            <w:r>
              <w:rPr>
                <w:rFonts w:hint="default" w:ascii="Times New Roman" w:hAnsi="Times New Roman" w:cs="Times New Roman"/>
                <w:b w:val="0"/>
                <w:bCs w:val="0"/>
                <w:snapToGrid/>
                <w:color w:val="auto"/>
                <w:spacing w:val="0"/>
                <w:kern w:val="0"/>
                <w:position w:val="0"/>
                <w:sz w:val="24"/>
                <w:szCs w:val="24"/>
                <w:lang w:val="en-US" w:eastAsia="zh-CN" w:bidi="ar"/>
              </w:rPr>
              <w:t>70 农、林、牧、渔专用机械制造 357</w:t>
            </w:r>
          </w:p>
        </w:tc>
      </w:tr>
      <w:tr w14:paraId="67E419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08" w:type="dxa"/>
            <w:gridSpan w:val="2"/>
            <w:tcBorders>
              <w:tl2br w:val="nil"/>
              <w:tr2bl w:val="nil"/>
            </w:tcBorders>
            <w:noWrap w:val="0"/>
            <w:tcMar>
              <w:top w:w="16" w:type="dxa"/>
              <w:left w:w="16" w:type="dxa"/>
              <w:right w:w="16" w:type="dxa"/>
            </w:tcMar>
            <w:vAlign w:val="center"/>
          </w:tcPr>
          <w:p w14:paraId="02206825">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snapToGrid/>
                <w:color w:val="auto"/>
                <w:spacing w:val="0"/>
                <w:kern w:val="0"/>
                <w:position w:val="0"/>
                <w:sz w:val="24"/>
                <w:szCs w:val="24"/>
              </w:rPr>
            </w:pPr>
            <w:r>
              <w:rPr>
                <w:rFonts w:hint="eastAsia" w:ascii="宋体" w:hAnsi="宋体" w:eastAsia="宋体" w:cs="宋体"/>
                <w:b w:val="0"/>
                <w:bCs w:val="0"/>
                <w:snapToGrid/>
                <w:color w:val="auto"/>
                <w:spacing w:val="0"/>
                <w:kern w:val="0"/>
                <w:position w:val="0"/>
                <w:sz w:val="24"/>
                <w:szCs w:val="24"/>
              </w:rPr>
              <w:t>建设性质</w:t>
            </w:r>
          </w:p>
        </w:tc>
        <w:tc>
          <w:tcPr>
            <w:tcW w:w="2411" w:type="dxa"/>
            <w:tcBorders>
              <w:tl2br w:val="nil"/>
              <w:tr2bl w:val="nil"/>
            </w:tcBorders>
            <w:noWrap w:val="0"/>
            <w:vAlign w:val="center"/>
          </w:tcPr>
          <w:p w14:paraId="5437E38C">
            <w:pPr>
              <w:keepNext w:val="0"/>
              <w:keepLines w:val="0"/>
              <w:pageBreakBefore w:val="0"/>
              <w:widowControl w:val="0"/>
              <w:kinsoku/>
              <w:wordWrap/>
              <w:overflowPunct/>
              <w:topLinePunct w:val="0"/>
              <w:bidi w:val="0"/>
              <w:adjustRightInd w:val="0"/>
              <w:snapToGrid w:val="0"/>
              <w:jc w:val="left"/>
              <w:textAlignment w:val="auto"/>
              <w:rPr>
                <w:rFonts w:hint="eastAsia" w:ascii="宋体" w:hAnsi="宋体" w:eastAsia="宋体" w:cs="宋体"/>
                <w:snapToGrid/>
                <w:color w:val="auto"/>
                <w:spacing w:val="0"/>
                <w:kern w:val="0"/>
                <w:position w:val="0"/>
                <w:sz w:val="24"/>
                <w:szCs w:val="24"/>
              </w:rPr>
            </w:pPr>
            <w:r>
              <w:rPr>
                <w:rFonts w:hint="eastAsia" w:ascii="宋体" w:hAnsi="宋体" w:cs="宋体"/>
                <w:snapToGrid/>
                <w:color w:val="auto"/>
                <w:spacing w:val="0"/>
                <w:kern w:val="0"/>
                <w:position w:val="0"/>
                <w:sz w:val="24"/>
                <w:szCs w:val="24"/>
                <w:lang w:eastAsia="zh-CN"/>
              </w:rPr>
              <w:sym w:font="Wingdings 2" w:char="00A3"/>
            </w:r>
            <w:r>
              <w:rPr>
                <w:rFonts w:hint="eastAsia" w:ascii="宋体" w:hAnsi="宋体" w:eastAsia="宋体" w:cs="宋体"/>
                <w:snapToGrid/>
                <w:color w:val="auto"/>
                <w:spacing w:val="0"/>
                <w:kern w:val="0"/>
                <w:position w:val="0"/>
                <w:sz w:val="24"/>
                <w:szCs w:val="24"/>
              </w:rPr>
              <w:t>新建（迁建）</w:t>
            </w:r>
          </w:p>
          <w:p w14:paraId="65DA7851">
            <w:pPr>
              <w:keepNext w:val="0"/>
              <w:keepLines w:val="0"/>
              <w:pageBreakBefore w:val="0"/>
              <w:widowControl w:val="0"/>
              <w:kinsoku/>
              <w:wordWrap/>
              <w:overflowPunct/>
              <w:topLinePunct w:val="0"/>
              <w:bidi w:val="0"/>
              <w:adjustRightInd w:val="0"/>
              <w:snapToGrid w:val="0"/>
              <w:jc w:val="left"/>
              <w:textAlignment w:val="auto"/>
              <w:rPr>
                <w:rFonts w:hint="eastAsia" w:ascii="宋体" w:hAnsi="宋体" w:eastAsia="宋体" w:cs="宋体"/>
                <w:snapToGrid/>
                <w:color w:val="auto"/>
                <w:spacing w:val="0"/>
                <w:kern w:val="0"/>
                <w:position w:val="0"/>
                <w:sz w:val="24"/>
                <w:szCs w:val="24"/>
              </w:rPr>
            </w:pPr>
            <w:r>
              <w:rPr>
                <w:rFonts w:hint="eastAsia" w:ascii="宋体" w:hAnsi="宋体" w:eastAsia="宋体" w:cs="宋体"/>
                <w:snapToGrid/>
                <w:color w:val="auto"/>
                <w:spacing w:val="0"/>
                <w:kern w:val="0"/>
                <w:position w:val="0"/>
                <w:sz w:val="24"/>
                <w:szCs w:val="24"/>
                <w:lang w:eastAsia="zh-CN"/>
              </w:rPr>
              <w:t>□</w:t>
            </w:r>
            <w:r>
              <w:rPr>
                <w:rFonts w:hint="eastAsia" w:ascii="宋体" w:hAnsi="宋体" w:eastAsia="宋体" w:cs="宋体"/>
                <w:snapToGrid/>
                <w:color w:val="auto"/>
                <w:spacing w:val="0"/>
                <w:kern w:val="0"/>
                <w:position w:val="0"/>
                <w:sz w:val="24"/>
                <w:szCs w:val="24"/>
              </w:rPr>
              <w:t>改建</w:t>
            </w:r>
          </w:p>
          <w:p w14:paraId="12288CE6">
            <w:pPr>
              <w:keepNext w:val="0"/>
              <w:keepLines w:val="0"/>
              <w:pageBreakBefore w:val="0"/>
              <w:widowControl w:val="0"/>
              <w:kinsoku/>
              <w:wordWrap/>
              <w:overflowPunct/>
              <w:topLinePunct w:val="0"/>
              <w:bidi w:val="0"/>
              <w:adjustRightInd w:val="0"/>
              <w:snapToGrid w:val="0"/>
              <w:jc w:val="left"/>
              <w:textAlignment w:val="auto"/>
              <w:rPr>
                <w:rFonts w:hint="eastAsia" w:ascii="宋体" w:hAnsi="宋体" w:eastAsia="宋体" w:cs="宋体"/>
                <w:snapToGrid/>
                <w:color w:val="auto"/>
                <w:spacing w:val="0"/>
                <w:kern w:val="0"/>
                <w:position w:val="0"/>
                <w:sz w:val="24"/>
                <w:szCs w:val="24"/>
              </w:rPr>
            </w:pPr>
            <w:r>
              <w:rPr>
                <w:rFonts w:hint="eastAsia" w:ascii="Times New Roman" w:hAnsi="Times New Roman" w:eastAsia="宋体" w:cs="Times New Roman"/>
                <w:color w:val="auto"/>
                <w:sz w:val="24"/>
                <w:szCs w:val="24"/>
                <w:lang w:eastAsia="zh-CN"/>
              </w:rPr>
              <w:t>☑</w:t>
            </w:r>
            <w:r>
              <w:rPr>
                <w:rFonts w:hint="eastAsia" w:ascii="宋体" w:hAnsi="宋体" w:eastAsia="宋体" w:cs="宋体"/>
                <w:snapToGrid/>
                <w:color w:val="auto"/>
                <w:spacing w:val="0"/>
                <w:kern w:val="0"/>
                <w:position w:val="0"/>
                <w:sz w:val="24"/>
                <w:szCs w:val="24"/>
              </w:rPr>
              <w:t>扩建</w:t>
            </w:r>
          </w:p>
          <w:p w14:paraId="1C7DE521">
            <w:pPr>
              <w:keepNext w:val="0"/>
              <w:keepLines w:val="0"/>
              <w:pageBreakBefore w:val="0"/>
              <w:widowControl w:val="0"/>
              <w:kinsoku/>
              <w:wordWrap/>
              <w:overflowPunct/>
              <w:topLinePunct w:val="0"/>
              <w:bidi w:val="0"/>
              <w:adjustRightInd w:val="0"/>
              <w:snapToGrid w:val="0"/>
              <w:jc w:val="left"/>
              <w:textAlignment w:val="auto"/>
              <w:rPr>
                <w:rFonts w:hint="eastAsia" w:ascii="宋体" w:hAnsi="宋体" w:eastAsia="宋体" w:cs="宋体"/>
                <w:snapToGrid/>
                <w:color w:val="auto"/>
                <w:spacing w:val="0"/>
                <w:kern w:val="0"/>
                <w:position w:val="0"/>
                <w:sz w:val="24"/>
                <w:szCs w:val="24"/>
              </w:rPr>
            </w:pPr>
            <w:r>
              <w:rPr>
                <w:rFonts w:hint="eastAsia" w:ascii="宋体" w:hAnsi="宋体" w:eastAsia="宋体" w:cs="宋体"/>
                <w:snapToGrid/>
                <w:color w:val="auto"/>
                <w:spacing w:val="0"/>
                <w:kern w:val="0"/>
                <w:position w:val="0"/>
                <w:sz w:val="24"/>
                <w:szCs w:val="24"/>
                <w:lang w:eastAsia="zh-CN"/>
              </w:rPr>
              <w:t>□</w:t>
            </w:r>
            <w:r>
              <w:rPr>
                <w:rFonts w:hint="eastAsia" w:ascii="宋体" w:hAnsi="宋体" w:eastAsia="宋体" w:cs="宋体"/>
                <w:snapToGrid/>
                <w:color w:val="auto"/>
                <w:spacing w:val="0"/>
                <w:kern w:val="0"/>
                <w:position w:val="0"/>
                <w:sz w:val="24"/>
                <w:szCs w:val="24"/>
              </w:rPr>
              <w:t>技术改造</w:t>
            </w:r>
          </w:p>
        </w:tc>
        <w:tc>
          <w:tcPr>
            <w:tcW w:w="2212" w:type="dxa"/>
            <w:tcBorders>
              <w:tl2br w:val="nil"/>
              <w:tr2bl w:val="nil"/>
            </w:tcBorders>
            <w:noWrap w:val="0"/>
            <w:vAlign w:val="center"/>
          </w:tcPr>
          <w:p w14:paraId="5FFBA084">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snapToGrid/>
                <w:color w:val="auto"/>
                <w:spacing w:val="0"/>
                <w:kern w:val="0"/>
                <w:position w:val="0"/>
                <w:sz w:val="24"/>
                <w:szCs w:val="24"/>
              </w:rPr>
            </w:pPr>
            <w:r>
              <w:rPr>
                <w:rFonts w:hint="eastAsia" w:ascii="宋体" w:hAnsi="宋体" w:eastAsia="宋体" w:cs="宋体"/>
                <w:b w:val="0"/>
                <w:bCs w:val="0"/>
                <w:snapToGrid/>
                <w:color w:val="auto"/>
                <w:spacing w:val="0"/>
                <w:kern w:val="0"/>
                <w:position w:val="0"/>
                <w:sz w:val="24"/>
                <w:szCs w:val="24"/>
              </w:rPr>
              <w:t>建设项目</w:t>
            </w:r>
          </w:p>
          <w:p w14:paraId="448545F3">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snapToGrid/>
                <w:color w:val="auto"/>
                <w:spacing w:val="0"/>
                <w:kern w:val="0"/>
                <w:position w:val="0"/>
                <w:sz w:val="24"/>
                <w:szCs w:val="24"/>
                <w:lang w:val="en-US" w:eastAsia="zh-CN"/>
              </w:rPr>
            </w:pPr>
            <w:r>
              <w:rPr>
                <w:rFonts w:hint="eastAsia" w:ascii="宋体" w:hAnsi="宋体" w:eastAsia="宋体" w:cs="宋体"/>
                <w:b w:val="0"/>
                <w:bCs w:val="0"/>
                <w:snapToGrid/>
                <w:color w:val="auto"/>
                <w:spacing w:val="0"/>
                <w:kern w:val="0"/>
                <w:position w:val="0"/>
                <w:sz w:val="24"/>
                <w:szCs w:val="24"/>
              </w:rPr>
              <w:t>申报情形</w:t>
            </w:r>
          </w:p>
        </w:tc>
        <w:tc>
          <w:tcPr>
            <w:tcW w:w="2639" w:type="dxa"/>
            <w:tcBorders>
              <w:tl2br w:val="nil"/>
              <w:tr2bl w:val="nil"/>
            </w:tcBorders>
            <w:noWrap w:val="0"/>
            <w:vAlign w:val="center"/>
          </w:tcPr>
          <w:p w14:paraId="2286CBE0">
            <w:pPr>
              <w:keepNext w:val="0"/>
              <w:keepLines w:val="0"/>
              <w:pageBreakBefore w:val="0"/>
              <w:widowControl w:val="0"/>
              <w:kinsoku/>
              <w:wordWrap/>
              <w:overflowPunct/>
              <w:topLinePunct w:val="0"/>
              <w:bidi w:val="0"/>
              <w:adjustRightInd w:val="0"/>
              <w:snapToGrid w:val="0"/>
              <w:jc w:val="left"/>
              <w:textAlignment w:val="auto"/>
              <w:rPr>
                <w:rFonts w:hint="eastAsia" w:ascii="宋体" w:hAnsi="宋体" w:eastAsia="宋体" w:cs="宋体"/>
                <w:snapToGrid/>
                <w:color w:val="auto"/>
                <w:spacing w:val="0"/>
                <w:kern w:val="0"/>
                <w:position w:val="0"/>
                <w:sz w:val="24"/>
                <w:szCs w:val="24"/>
                <w:lang w:eastAsia="zh-CN"/>
              </w:rPr>
            </w:pPr>
            <w:r>
              <w:rPr>
                <w:rFonts w:hint="eastAsia" w:ascii="Times New Roman" w:hAnsi="Times New Roman" w:eastAsia="宋体" w:cs="Times New Roman"/>
                <w:color w:val="auto"/>
                <w:sz w:val="24"/>
                <w:szCs w:val="24"/>
                <w:lang w:eastAsia="zh-CN"/>
              </w:rPr>
              <w:t>☑</w:t>
            </w:r>
            <w:r>
              <w:rPr>
                <w:rFonts w:hint="eastAsia" w:ascii="宋体" w:hAnsi="宋体" w:eastAsia="宋体" w:cs="宋体"/>
                <w:snapToGrid/>
                <w:color w:val="auto"/>
                <w:spacing w:val="0"/>
                <w:kern w:val="0"/>
                <w:position w:val="0"/>
                <w:sz w:val="24"/>
                <w:szCs w:val="24"/>
              </w:rPr>
              <w:t>首次申报</w:t>
            </w:r>
            <w:r>
              <w:rPr>
                <w:rFonts w:hint="eastAsia" w:ascii="宋体" w:hAnsi="宋体" w:cs="宋体"/>
                <w:snapToGrid/>
                <w:color w:val="auto"/>
                <w:spacing w:val="0"/>
                <w:kern w:val="0"/>
                <w:position w:val="0"/>
                <w:sz w:val="24"/>
                <w:szCs w:val="24"/>
                <w:lang w:val="en-US" w:eastAsia="zh-CN"/>
              </w:rPr>
              <w:t>项目</w:t>
            </w:r>
          </w:p>
          <w:p w14:paraId="7D90B1B8">
            <w:pPr>
              <w:keepNext w:val="0"/>
              <w:keepLines w:val="0"/>
              <w:pageBreakBefore w:val="0"/>
              <w:widowControl w:val="0"/>
              <w:kinsoku/>
              <w:wordWrap/>
              <w:overflowPunct/>
              <w:topLinePunct w:val="0"/>
              <w:bidi w:val="0"/>
              <w:adjustRightInd w:val="0"/>
              <w:snapToGrid w:val="0"/>
              <w:jc w:val="left"/>
              <w:textAlignment w:val="auto"/>
              <w:rPr>
                <w:rFonts w:hint="eastAsia" w:ascii="宋体" w:hAnsi="宋体" w:eastAsia="宋体" w:cs="宋体"/>
                <w:snapToGrid/>
                <w:color w:val="auto"/>
                <w:spacing w:val="0"/>
                <w:kern w:val="0"/>
                <w:position w:val="0"/>
                <w:sz w:val="24"/>
                <w:szCs w:val="24"/>
              </w:rPr>
            </w:pPr>
            <w:r>
              <w:rPr>
                <w:rFonts w:hint="eastAsia" w:ascii="宋体" w:hAnsi="宋体" w:eastAsia="宋体" w:cs="宋体"/>
                <w:snapToGrid/>
                <w:color w:val="auto"/>
                <w:spacing w:val="0"/>
                <w:kern w:val="0"/>
                <w:position w:val="0"/>
                <w:sz w:val="24"/>
                <w:szCs w:val="24"/>
                <w:lang w:eastAsia="zh-CN"/>
              </w:rPr>
              <w:t>□</w:t>
            </w:r>
            <w:r>
              <w:rPr>
                <w:rFonts w:hint="eastAsia" w:ascii="宋体" w:hAnsi="宋体" w:eastAsia="宋体" w:cs="宋体"/>
                <w:snapToGrid/>
                <w:color w:val="auto"/>
                <w:spacing w:val="0"/>
                <w:kern w:val="0"/>
                <w:position w:val="0"/>
                <w:sz w:val="24"/>
                <w:szCs w:val="24"/>
              </w:rPr>
              <w:t>不予批准后再次申报项目</w:t>
            </w:r>
          </w:p>
          <w:p w14:paraId="23E19149">
            <w:pPr>
              <w:keepNext w:val="0"/>
              <w:keepLines w:val="0"/>
              <w:pageBreakBefore w:val="0"/>
              <w:widowControl w:val="0"/>
              <w:kinsoku/>
              <w:wordWrap/>
              <w:overflowPunct/>
              <w:topLinePunct w:val="0"/>
              <w:bidi w:val="0"/>
              <w:adjustRightInd w:val="0"/>
              <w:snapToGrid w:val="0"/>
              <w:jc w:val="left"/>
              <w:textAlignment w:val="auto"/>
              <w:rPr>
                <w:rFonts w:hint="eastAsia" w:ascii="宋体" w:hAnsi="宋体" w:eastAsia="宋体" w:cs="宋体"/>
                <w:snapToGrid/>
                <w:color w:val="auto"/>
                <w:spacing w:val="0"/>
                <w:kern w:val="0"/>
                <w:position w:val="0"/>
                <w:sz w:val="24"/>
                <w:szCs w:val="24"/>
              </w:rPr>
            </w:pPr>
            <w:r>
              <w:rPr>
                <w:rFonts w:hint="eastAsia" w:ascii="宋体" w:hAnsi="宋体" w:eastAsia="宋体" w:cs="宋体"/>
                <w:snapToGrid/>
                <w:color w:val="auto"/>
                <w:spacing w:val="0"/>
                <w:kern w:val="0"/>
                <w:position w:val="0"/>
                <w:sz w:val="24"/>
                <w:szCs w:val="24"/>
                <w:lang w:eastAsia="zh-CN"/>
              </w:rPr>
              <w:t>□</w:t>
            </w:r>
            <w:r>
              <w:rPr>
                <w:rFonts w:hint="eastAsia" w:ascii="宋体" w:hAnsi="宋体" w:eastAsia="宋体" w:cs="宋体"/>
                <w:snapToGrid/>
                <w:color w:val="auto"/>
                <w:spacing w:val="0"/>
                <w:kern w:val="0"/>
                <w:position w:val="0"/>
                <w:sz w:val="24"/>
                <w:szCs w:val="24"/>
              </w:rPr>
              <w:t xml:space="preserve">超五年重新审核项目     </w:t>
            </w:r>
          </w:p>
          <w:p w14:paraId="60821619">
            <w:pPr>
              <w:keepNext w:val="0"/>
              <w:keepLines w:val="0"/>
              <w:pageBreakBefore w:val="0"/>
              <w:widowControl w:val="0"/>
              <w:kinsoku/>
              <w:wordWrap/>
              <w:overflowPunct/>
              <w:topLinePunct w:val="0"/>
              <w:bidi w:val="0"/>
              <w:adjustRightInd w:val="0"/>
              <w:snapToGrid w:val="0"/>
              <w:jc w:val="left"/>
              <w:textAlignment w:val="auto"/>
              <w:rPr>
                <w:rFonts w:hint="eastAsia" w:ascii="宋体" w:hAnsi="宋体" w:eastAsia="宋体" w:cs="宋体"/>
                <w:snapToGrid/>
                <w:color w:val="auto"/>
                <w:spacing w:val="0"/>
                <w:kern w:val="0"/>
                <w:position w:val="0"/>
                <w:sz w:val="24"/>
                <w:szCs w:val="24"/>
              </w:rPr>
            </w:pPr>
            <w:r>
              <w:rPr>
                <w:rFonts w:hint="eastAsia" w:ascii="宋体" w:hAnsi="宋体" w:eastAsia="宋体" w:cs="宋体"/>
                <w:snapToGrid/>
                <w:color w:val="auto"/>
                <w:spacing w:val="0"/>
                <w:kern w:val="0"/>
                <w:position w:val="0"/>
                <w:sz w:val="24"/>
                <w:szCs w:val="24"/>
                <w:lang w:eastAsia="zh-CN"/>
              </w:rPr>
              <w:t>□</w:t>
            </w:r>
            <w:r>
              <w:rPr>
                <w:rFonts w:hint="eastAsia" w:ascii="宋体" w:hAnsi="宋体" w:eastAsia="宋体" w:cs="宋体"/>
                <w:snapToGrid/>
                <w:color w:val="auto"/>
                <w:spacing w:val="0"/>
                <w:kern w:val="0"/>
                <w:position w:val="0"/>
                <w:sz w:val="24"/>
                <w:szCs w:val="24"/>
              </w:rPr>
              <w:t>重大变动重新报批项目</w:t>
            </w:r>
          </w:p>
        </w:tc>
      </w:tr>
      <w:tr w14:paraId="454644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08" w:type="dxa"/>
            <w:gridSpan w:val="2"/>
            <w:tcBorders>
              <w:tl2br w:val="nil"/>
              <w:tr2bl w:val="nil"/>
            </w:tcBorders>
            <w:noWrap w:val="0"/>
            <w:tcMar>
              <w:top w:w="16" w:type="dxa"/>
              <w:left w:w="16" w:type="dxa"/>
              <w:right w:w="16" w:type="dxa"/>
            </w:tcMar>
            <w:vAlign w:val="center"/>
          </w:tcPr>
          <w:p w14:paraId="57C505D0">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snapToGrid/>
                <w:color w:val="auto"/>
                <w:spacing w:val="0"/>
                <w:kern w:val="0"/>
                <w:position w:val="0"/>
                <w:sz w:val="24"/>
                <w:szCs w:val="24"/>
              </w:rPr>
            </w:pPr>
            <w:r>
              <w:rPr>
                <w:rFonts w:hint="eastAsia" w:ascii="宋体" w:hAnsi="宋体" w:eastAsia="宋体" w:cs="宋体"/>
                <w:b w:val="0"/>
                <w:bCs w:val="0"/>
                <w:snapToGrid/>
                <w:color w:val="auto"/>
                <w:spacing w:val="0"/>
                <w:kern w:val="0"/>
                <w:position w:val="0"/>
                <w:sz w:val="24"/>
                <w:szCs w:val="24"/>
              </w:rPr>
              <w:t>项目审批（核准/备案）部门（选填）</w:t>
            </w:r>
          </w:p>
        </w:tc>
        <w:tc>
          <w:tcPr>
            <w:tcW w:w="2411" w:type="dxa"/>
            <w:tcBorders>
              <w:tl2br w:val="nil"/>
              <w:tr2bl w:val="nil"/>
            </w:tcBorders>
            <w:noWrap w:val="0"/>
            <w:vAlign w:val="center"/>
          </w:tcPr>
          <w:p w14:paraId="61D0CEE9">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snapToGrid/>
                <w:color w:val="auto"/>
                <w:spacing w:val="0"/>
                <w:kern w:val="0"/>
                <w:position w:val="0"/>
                <w:sz w:val="24"/>
                <w:szCs w:val="24"/>
                <w:lang w:eastAsia="zh-CN"/>
              </w:rPr>
            </w:pPr>
            <w:r>
              <w:rPr>
                <w:rFonts w:hint="eastAsia" w:cs="Times New Roman"/>
                <w:b w:val="0"/>
                <w:bCs w:val="0"/>
                <w:snapToGrid/>
                <w:color w:val="auto"/>
                <w:spacing w:val="0"/>
                <w:kern w:val="0"/>
                <w:position w:val="0"/>
                <w:sz w:val="24"/>
                <w:szCs w:val="24"/>
                <w:highlight w:val="none"/>
                <w:lang w:eastAsia="zh-CN"/>
              </w:rPr>
              <w:t>灵璧县发展和改革委员会</w:t>
            </w:r>
          </w:p>
        </w:tc>
        <w:tc>
          <w:tcPr>
            <w:tcW w:w="2212" w:type="dxa"/>
            <w:tcBorders>
              <w:tl2br w:val="nil"/>
              <w:tr2bl w:val="nil"/>
            </w:tcBorders>
            <w:noWrap w:val="0"/>
            <w:vAlign w:val="center"/>
          </w:tcPr>
          <w:p w14:paraId="7A8AB11D">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项目审批（核准/</w:t>
            </w:r>
          </w:p>
          <w:p w14:paraId="2A38E4E1">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备案）文号（选填）</w:t>
            </w:r>
          </w:p>
        </w:tc>
        <w:tc>
          <w:tcPr>
            <w:tcW w:w="2639" w:type="dxa"/>
            <w:tcBorders>
              <w:tl2br w:val="nil"/>
              <w:tr2bl w:val="nil"/>
            </w:tcBorders>
            <w:noWrap w:val="0"/>
            <w:vAlign w:val="center"/>
          </w:tcPr>
          <w:p w14:paraId="4D1B1032">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4"/>
                <w:szCs w:val="24"/>
                <w:lang w:val="en-US" w:eastAsia="zh-CN"/>
              </w:rPr>
            </w:pPr>
            <w:r>
              <w:rPr>
                <w:rFonts w:hint="eastAsia" w:cs="Times New Roman"/>
                <w:snapToGrid/>
                <w:color w:val="auto"/>
                <w:spacing w:val="0"/>
                <w:kern w:val="0"/>
                <w:position w:val="0"/>
                <w:sz w:val="24"/>
                <w:szCs w:val="24"/>
                <w:lang w:val="en-US" w:eastAsia="zh-CN"/>
              </w:rPr>
              <w:t>/</w:t>
            </w:r>
          </w:p>
        </w:tc>
      </w:tr>
      <w:tr w14:paraId="343E7B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08" w:type="dxa"/>
            <w:gridSpan w:val="2"/>
            <w:tcBorders>
              <w:tl2br w:val="nil"/>
              <w:tr2bl w:val="nil"/>
            </w:tcBorders>
            <w:noWrap w:val="0"/>
            <w:tcMar>
              <w:top w:w="16" w:type="dxa"/>
              <w:left w:w="16" w:type="dxa"/>
              <w:right w:w="16" w:type="dxa"/>
            </w:tcMar>
            <w:vAlign w:val="center"/>
          </w:tcPr>
          <w:p w14:paraId="05BE3819">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snapToGrid/>
                <w:color w:val="auto"/>
                <w:spacing w:val="0"/>
                <w:kern w:val="0"/>
                <w:position w:val="0"/>
                <w:sz w:val="24"/>
                <w:szCs w:val="24"/>
              </w:rPr>
            </w:pPr>
            <w:r>
              <w:rPr>
                <w:rFonts w:hint="eastAsia" w:ascii="宋体" w:hAnsi="宋体" w:eastAsia="宋体" w:cs="宋体"/>
                <w:b w:val="0"/>
                <w:bCs w:val="0"/>
                <w:snapToGrid/>
                <w:color w:val="auto"/>
                <w:spacing w:val="0"/>
                <w:kern w:val="0"/>
                <w:position w:val="0"/>
                <w:sz w:val="24"/>
                <w:szCs w:val="24"/>
              </w:rPr>
              <w:t>总投资（万元）</w:t>
            </w:r>
          </w:p>
        </w:tc>
        <w:tc>
          <w:tcPr>
            <w:tcW w:w="2411" w:type="dxa"/>
            <w:tcBorders>
              <w:tl2br w:val="nil"/>
              <w:tr2bl w:val="nil"/>
            </w:tcBorders>
            <w:noWrap w:val="0"/>
            <w:vAlign w:val="center"/>
          </w:tcPr>
          <w:p w14:paraId="1952671D">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4"/>
                <w:szCs w:val="24"/>
                <w:lang w:val="en-US" w:eastAsia="zh-CN"/>
              </w:rPr>
            </w:pPr>
            <w:r>
              <w:rPr>
                <w:rFonts w:hint="eastAsia" w:cs="Times New Roman"/>
                <w:snapToGrid/>
                <w:color w:val="auto"/>
                <w:spacing w:val="0"/>
                <w:kern w:val="0"/>
                <w:position w:val="0"/>
                <w:sz w:val="24"/>
                <w:szCs w:val="24"/>
                <w:lang w:val="en-US" w:eastAsia="zh-CN"/>
              </w:rPr>
              <w:t>1000</w:t>
            </w:r>
          </w:p>
        </w:tc>
        <w:tc>
          <w:tcPr>
            <w:tcW w:w="2212" w:type="dxa"/>
            <w:tcBorders>
              <w:tl2br w:val="nil"/>
              <w:tr2bl w:val="nil"/>
            </w:tcBorders>
            <w:noWrap w:val="0"/>
            <w:tcMar>
              <w:top w:w="16" w:type="dxa"/>
              <w:left w:w="16" w:type="dxa"/>
              <w:right w:w="16" w:type="dxa"/>
            </w:tcMar>
            <w:vAlign w:val="center"/>
          </w:tcPr>
          <w:p w14:paraId="57AD1696">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环保投资（万元）</w:t>
            </w:r>
          </w:p>
        </w:tc>
        <w:tc>
          <w:tcPr>
            <w:tcW w:w="2639" w:type="dxa"/>
            <w:tcBorders>
              <w:tl2br w:val="nil"/>
              <w:tr2bl w:val="nil"/>
            </w:tcBorders>
            <w:noWrap w:val="0"/>
            <w:vAlign w:val="center"/>
          </w:tcPr>
          <w:p w14:paraId="477A71D2">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4"/>
                <w:szCs w:val="24"/>
                <w:lang w:val="en-US" w:eastAsia="zh-CN"/>
              </w:rPr>
            </w:pPr>
            <w:r>
              <w:rPr>
                <w:rFonts w:hint="eastAsia" w:cs="Times New Roman"/>
                <w:snapToGrid/>
                <w:color w:val="auto"/>
                <w:spacing w:val="0"/>
                <w:kern w:val="0"/>
                <w:position w:val="0"/>
                <w:sz w:val="24"/>
                <w:szCs w:val="24"/>
                <w:lang w:val="en-US" w:eastAsia="zh-CN"/>
              </w:rPr>
              <w:t>30</w:t>
            </w:r>
          </w:p>
        </w:tc>
      </w:tr>
      <w:tr w14:paraId="3C1562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08" w:type="dxa"/>
            <w:gridSpan w:val="2"/>
            <w:tcBorders>
              <w:tl2br w:val="nil"/>
              <w:tr2bl w:val="nil"/>
            </w:tcBorders>
            <w:noWrap w:val="0"/>
            <w:tcMar>
              <w:top w:w="16" w:type="dxa"/>
              <w:left w:w="16" w:type="dxa"/>
              <w:right w:w="16" w:type="dxa"/>
            </w:tcMar>
            <w:vAlign w:val="center"/>
          </w:tcPr>
          <w:p w14:paraId="1359AD05">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snapToGrid/>
                <w:color w:val="auto"/>
                <w:spacing w:val="0"/>
                <w:kern w:val="0"/>
                <w:position w:val="0"/>
                <w:sz w:val="24"/>
                <w:szCs w:val="24"/>
              </w:rPr>
            </w:pPr>
            <w:r>
              <w:rPr>
                <w:rFonts w:hint="eastAsia" w:ascii="宋体" w:hAnsi="宋体" w:eastAsia="宋体" w:cs="宋体"/>
                <w:b w:val="0"/>
                <w:bCs w:val="0"/>
                <w:snapToGrid/>
                <w:color w:val="auto"/>
                <w:spacing w:val="0"/>
                <w:kern w:val="0"/>
                <w:position w:val="0"/>
                <w:sz w:val="24"/>
                <w:szCs w:val="24"/>
              </w:rPr>
              <w:t>环保投资占比</w:t>
            </w:r>
            <w:r>
              <w:rPr>
                <w:rFonts w:hint="default" w:ascii="Times New Roman" w:hAnsi="Times New Roman" w:eastAsia="宋体" w:cs="Times New Roman"/>
                <w:b w:val="0"/>
                <w:bCs w:val="0"/>
                <w:snapToGrid/>
                <w:color w:val="auto"/>
                <w:spacing w:val="0"/>
                <w:kern w:val="0"/>
                <w:position w:val="0"/>
                <w:sz w:val="24"/>
                <w:szCs w:val="24"/>
              </w:rPr>
              <w:t>（%）</w:t>
            </w:r>
          </w:p>
        </w:tc>
        <w:tc>
          <w:tcPr>
            <w:tcW w:w="2411" w:type="dxa"/>
            <w:tcBorders>
              <w:tl2br w:val="nil"/>
              <w:tr2bl w:val="nil"/>
            </w:tcBorders>
            <w:noWrap w:val="0"/>
            <w:vAlign w:val="center"/>
          </w:tcPr>
          <w:p w14:paraId="3BC8C423">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4"/>
                <w:szCs w:val="24"/>
                <w:lang w:val="en-US" w:eastAsia="zh-CN"/>
              </w:rPr>
            </w:pPr>
            <w:r>
              <w:rPr>
                <w:rFonts w:hint="eastAsia" w:cs="Times New Roman"/>
                <w:snapToGrid/>
                <w:color w:val="auto"/>
                <w:spacing w:val="0"/>
                <w:kern w:val="0"/>
                <w:position w:val="0"/>
                <w:sz w:val="24"/>
                <w:szCs w:val="24"/>
                <w:lang w:val="en-US" w:eastAsia="zh-CN"/>
              </w:rPr>
              <w:t>3</w:t>
            </w:r>
            <w:r>
              <w:rPr>
                <w:rFonts w:hint="default" w:ascii="Times New Roman" w:hAnsi="Times New Roman" w:eastAsia="宋体" w:cs="Times New Roman"/>
                <w:b w:val="0"/>
                <w:bCs w:val="0"/>
                <w:snapToGrid/>
                <w:color w:val="auto"/>
                <w:spacing w:val="0"/>
                <w:kern w:val="0"/>
                <w:position w:val="0"/>
                <w:sz w:val="24"/>
                <w:szCs w:val="24"/>
              </w:rPr>
              <w:t>%</w:t>
            </w:r>
          </w:p>
        </w:tc>
        <w:tc>
          <w:tcPr>
            <w:tcW w:w="2212" w:type="dxa"/>
            <w:tcBorders>
              <w:tl2br w:val="nil"/>
              <w:tr2bl w:val="nil"/>
            </w:tcBorders>
            <w:noWrap w:val="0"/>
            <w:tcMar>
              <w:top w:w="16" w:type="dxa"/>
              <w:left w:w="16" w:type="dxa"/>
              <w:right w:w="16" w:type="dxa"/>
            </w:tcMar>
            <w:vAlign w:val="center"/>
          </w:tcPr>
          <w:p w14:paraId="136B6D0C">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施工工期</w:t>
            </w:r>
          </w:p>
        </w:tc>
        <w:tc>
          <w:tcPr>
            <w:tcW w:w="2639" w:type="dxa"/>
            <w:tcBorders>
              <w:tl2br w:val="nil"/>
              <w:tr2bl w:val="nil"/>
            </w:tcBorders>
            <w:noWrap w:val="0"/>
            <w:vAlign w:val="center"/>
          </w:tcPr>
          <w:p w14:paraId="06E8FBFB">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4"/>
                <w:szCs w:val="24"/>
                <w:lang w:val="en-US" w:eastAsia="zh-CN"/>
              </w:rPr>
            </w:pPr>
            <w:r>
              <w:rPr>
                <w:rFonts w:hint="eastAsia" w:cs="Times New Roman"/>
                <w:snapToGrid/>
                <w:color w:val="auto"/>
                <w:spacing w:val="0"/>
                <w:kern w:val="0"/>
                <w:position w:val="0"/>
                <w:sz w:val="24"/>
                <w:szCs w:val="24"/>
                <w:lang w:val="en-US" w:eastAsia="zh-CN"/>
              </w:rPr>
              <w:t>3个月</w:t>
            </w:r>
          </w:p>
        </w:tc>
      </w:tr>
      <w:tr w14:paraId="6CD4E98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08" w:type="dxa"/>
            <w:gridSpan w:val="2"/>
            <w:tcBorders>
              <w:tl2br w:val="nil"/>
              <w:tr2bl w:val="nil"/>
            </w:tcBorders>
            <w:noWrap w:val="0"/>
            <w:tcMar>
              <w:top w:w="16" w:type="dxa"/>
              <w:left w:w="16" w:type="dxa"/>
              <w:right w:w="16" w:type="dxa"/>
            </w:tcMar>
            <w:vAlign w:val="center"/>
          </w:tcPr>
          <w:p w14:paraId="7E9285E5">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snapToGrid/>
                <w:color w:val="auto"/>
                <w:spacing w:val="0"/>
                <w:kern w:val="0"/>
                <w:position w:val="0"/>
                <w:sz w:val="24"/>
                <w:szCs w:val="24"/>
              </w:rPr>
            </w:pPr>
            <w:r>
              <w:rPr>
                <w:rFonts w:hint="eastAsia" w:ascii="宋体" w:hAnsi="宋体" w:eastAsia="宋体" w:cs="宋体"/>
                <w:b w:val="0"/>
                <w:bCs w:val="0"/>
                <w:snapToGrid/>
                <w:color w:val="auto"/>
                <w:spacing w:val="0"/>
                <w:kern w:val="0"/>
                <w:position w:val="0"/>
                <w:sz w:val="24"/>
                <w:szCs w:val="24"/>
              </w:rPr>
              <w:t>是否开工建设</w:t>
            </w:r>
          </w:p>
        </w:tc>
        <w:tc>
          <w:tcPr>
            <w:tcW w:w="2411" w:type="dxa"/>
            <w:tcBorders>
              <w:tl2br w:val="nil"/>
              <w:tr2bl w:val="nil"/>
            </w:tcBorders>
            <w:noWrap w:val="0"/>
            <w:vAlign w:val="center"/>
          </w:tcPr>
          <w:p w14:paraId="28452C14">
            <w:pPr>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snapToGrid/>
                <w:color w:val="auto"/>
                <w:spacing w:val="0"/>
                <w:kern w:val="0"/>
                <w:position w:val="0"/>
                <w:sz w:val="24"/>
                <w:szCs w:val="24"/>
              </w:rPr>
            </w:pP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snapToGrid/>
                <w:color w:val="auto"/>
                <w:spacing w:val="0"/>
                <w:kern w:val="0"/>
                <w:position w:val="0"/>
                <w:sz w:val="24"/>
                <w:szCs w:val="24"/>
              </w:rPr>
              <w:t>否</w:t>
            </w:r>
          </w:p>
          <w:p w14:paraId="7097E4FF">
            <w:pPr>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snapToGrid/>
                <w:color w:val="auto"/>
                <w:spacing w:val="0"/>
                <w:kern w:val="0"/>
                <w:position w:val="0"/>
                <w:sz w:val="24"/>
                <w:szCs w:val="24"/>
                <w:lang w:val="en-US"/>
              </w:rPr>
            </w:pPr>
            <w:r>
              <w:rPr>
                <w:rFonts w:hint="eastAsia" w:ascii="宋体" w:hAnsi="宋体" w:cs="宋体"/>
                <w:snapToGrid/>
                <w:color w:val="auto"/>
                <w:spacing w:val="0"/>
                <w:kern w:val="0"/>
                <w:position w:val="0"/>
                <w:sz w:val="24"/>
                <w:szCs w:val="24"/>
                <w:lang w:eastAsia="zh-CN"/>
              </w:rPr>
              <w:t>□</w:t>
            </w:r>
            <w:r>
              <w:rPr>
                <w:rFonts w:hint="default" w:ascii="Times New Roman" w:hAnsi="Times New Roman" w:eastAsia="宋体" w:cs="Times New Roman"/>
                <w:snapToGrid/>
                <w:color w:val="auto"/>
                <w:spacing w:val="0"/>
                <w:kern w:val="0"/>
                <w:position w:val="0"/>
                <w:sz w:val="24"/>
                <w:szCs w:val="24"/>
              </w:rPr>
              <w:t>是</w:t>
            </w:r>
            <w:r>
              <w:rPr>
                <w:rFonts w:hint="default" w:ascii="Times New Roman" w:hAnsi="Times New Roman" w:cs="Times New Roman"/>
                <w:snapToGrid/>
                <w:color w:val="auto"/>
                <w:spacing w:val="0"/>
                <w:kern w:val="0"/>
                <w:position w:val="0"/>
                <w:sz w:val="24"/>
                <w:szCs w:val="24"/>
                <w:lang w:eastAsia="zh-CN"/>
              </w:rPr>
              <w:t>：</w:t>
            </w:r>
            <w:r>
              <w:rPr>
                <w:rFonts w:hint="eastAsia" w:cs="Times New Roman"/>
                <w:snapToGrid/>
                <w:color w:val="auto"/>
                <w:spacing w:val="0"/>
                <w:kern w:val="0"/>
                <w:position w:val="0"/>
                <w:sz w:val="24"/>
                <w:szCs w:val="24"/>
                <w:u w:val="single"/>
                <w:lang w:val="en-US" w:eastAsia="zh-CN"/>
              </w:rPr>
              <w:t xml:space="preserve">      </w:t>
            </w:r>
          </w:p>
        </w:tc>
        <w:tc>
          <w:tcPr>
            <w:tcW w:w="2212" w:type="dxa"/>
            <w:tcBorders>
              <w:tl2br w:val="nil"/>
              <w:tr2bl w:val="nil"/>
            </w:tcBorders>
            <w:noWrap w:val="0"/>
            <w:tcMar>
              <w:top w:w="16" w:type="dxa"/>
              <w:left w:w="16" w:type="dxa"/>
              <w:right w:w="16" w:type="dxa"/>
            </w:tcMar>
            <w:vAlign w:val="center"/>
          </w:tcPr>
          <w:p w14:paraId="0411853D">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用地（用海）</w:t>
            </w:r>
          </w:p>
          <w:p w14:paraId="3DB797EF">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面积（m</w:t>
            </w:r>
            <w:r>
              <w:rPr>
                <w:rFonts w:hint="default" w:ascii="Times New Roman" w:hAnsi="Times New Roman" w:eastAsia="宋体" w:cs="Times New Roman"/>
                <w:b w:val="0"/>
                <w:bCs w:val="0"/>
                <w:snapToGrid/>
                <w:color w:val="auto"/>
                <w:spacing w:val="0"/>
                <w:kern w:val="0"/>
                <w:position w:val="0"/>
                <w:sz w:val="24"/>
                <w:szCs w:val="24"/>
                <w:vertAlign w:val="superscript"/>
              </w:rPr>
              <w:t>2</w:t>
            </w:r>
            <w:r>
              <w:rPr>
                <w:rFonts w:hint="default" w:ascii="Times New Roman" w:hAnsi="Times New Roman" w:eastAsia="宋体" w:cs="Times New Roman"/>
                <w:b w:val="0"/>
                <w:bCs w:val="0"/>
                <w:snapToGrid/>
                <w:color w:val="auto"/>
                <w:spacing w:val="0"/>
                <w:kern w:val="0"/>
                <w:position w:val="0"/>
                <w:sz w:val="24"/>
                <w:szCs w:val="24"/>
              </w:rPr>
              <w:t>）</w:t>
            </w:r>
          </w:p>
        </w:tc>
        <w:tc>
          <w:tcPr>
            <w:tcW w:w="2639" w:type="dxa"/>
            <w:tcBorders>
              <w:tl2br w:val="nil"/>
              <w:tr2bl w:val="nil"/>
            </w:tcBorders>
            <w:noWrap w:val="0"/>
            <w:vAlign w:val="center"/>
          </w:tcPr>
          <w:p w14:paraId="652994D6">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snapToGrid/>
                <w:color w:val="auto"/>
                <w:spacing w:val="0"/>
                <w:kern w:val="0"/>
                <w:position w:val="0"/>
                <w:sz w:val="24"/>
                <w:szCs w:val="24"/>
                <w:lang w:val="en-US" w:eastAsia="zh-CN"/>
              </w:rPr>
            </w:pPr>
            <w:r>
              <w:rPr>
                <w:rFonts w:hint="eastAsia" w:cs="Times New Roman"/>
                <w:snapToGrid/>
                <w:color w:val="auto"/>
                <w:spacing w:val="0"/>
                <w:kern w:val="0"/>
                <w:position w:val="0"/>
                <w:sz w:val="24"/>
                <w:szCs w:val="24"/>
                <w:lang w:val="en-US" w:eastAsia="zh-CN"/>
              </w:rPr>
              <w:t>9067</w:t>
            </w:r>
          </w:p>
        </w:tc>
      </w:tr>
      <w:tr w14:paraId="3096BC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08" w:type="dxa"/>
            <w:gridSpan w:val="2"/>
            <w:tcBorders>
              <w:tl2br w:val="nil"/>
              <w:tr2bl w:val="nil"/>
            </w:tcBorders>
            <w:noWrap w:val="0"/>
            <w:vAlign w:val="center"/>
          </w:tcPr>
          <w:p w14:paraId="339B9B04">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b w:val="0"/>
                <w:bCs w:val="0"/>
                <w:snapToGrid/>
                <w:color w:val="auto"/>
                <w:spacing w:val="0"/>
                <w:kern w:val="0"/>
                <w:position w:val="0"/>
                <w:sz w:val="24"/>
                <w:szCs w:val="24"/>
              </w:rPr>
            </w:pPr>
            <w:r>
              <w:rPr>
                <w:rFonts w:hint="eastAsia" w:ascii="宋体" w:hAnsi="宋体" w:eastAsia="宋体" w:cs="宋体"/>
                <w:b w:val="0"/>
                <w:bCs w:val="0"/>
                <w:snapToGrid/>
                <w:color w:val="auto"/>
                <w:spacing w:val="0"/>
                <w:kern w:val="0"/>
                <w:position w:val="0"/>
                <w:sz w:val="24"/>
                <w:szCs w:val="24"/>
              </w:rPr>
              <w:t>专项评价设置情况</w:t>
            </w:r>
          </w:p>
        </w:tc>
        <w:tc>
          <w:tcPr>
            <w:tcW w:w="7262" w:type="dxa"/>
            <w:gridSpan w:val="3"/>
            <w:tcBorders>
              <w:tl2br w:val="nil"/>
              <w:tr2bl w:val="nil"/>
            </w:tcBorders>
            <w:noWrap w:val="0"/>
            <w:vAlign w:val="center"/>
          </w:tcPr>
          <w:p w14:paraId="73189C93">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snapToGrid/>
                <w:color w:val="auto"/>
                <w:spacing w:val="0"/>
                <w:kern w:val="0"/>
                <w:position w:val="0"/>
                <w:sz w:val="24"/>
                <w:szCs w:val="24"/>
                <w:lang w:eastAsia="zh-CN"/>
              </w:rPr>
            </w:pPr>
            <w:r>
              <w:rPr>
                <w:rFonts w:hint="eastAsia" w:ascii="宋体" w:hAnsi="宋体" w:eastAsia="宋体" w:cs="宋体"/>
                <w:snapToGrid/>
                <w:color w:val="auto"/>
                <w:spacing w:val="0"/>
                <w:kern w:val="0"/>
                <w:position w:val="0"/>
                <w:sz w:val="24"/>
                <w:szCs w:val="24"/>
                <w:lang w:eastAsia="zh-CN"/>
              </w:rPr>
              <w:t>无</w:t>
            </w:r>
          </w:p>
        </w:tc>
      </w:tr>
      <w:tr w14:paraId="7E5B21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08" w:type="dxa"/>
            <w:gridSpan w:val="2"/>
            <w:tcBorders>
              <w:tl2br w:val="nil"/>
              <w:tr2bl w:val="nil"/>
            </w:tcBorders>
            <w:noWrap w:val="0"/>
            <w:vAlign w:val="center"/>
          </w:tcPr>
          <w:p w14:paraId="35E5812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snapToGrid/>
                <w:color w:val="auto"/>
                <w:spacing w:val="0"/>
                <w:kern w:val="0"/>
                <w:position w:val="0"/>
                <w:sz w:val="24"/>
                <w:szCs w:val="24"/>
              </w:rPr>
            </w:pPr>
            <w:r>
              <w:rPr>
                <w:rFonts w:hint="eastAsia" w:ascii="宋体" w:hAnsi="宋体" w:eastAsia="宋体" w:cs="宋体"/>
                <w:b w:val="0"/>
                <w:bCs w:val="0"/>
                <w:snapToGrid/>
                <w:color w:val="auto"/>
                <w:spacing w:val="0"/>
                <w:kern w:val="0"/>
                <w:position w:val="0"/>
                <w:sz w:val="24"/>
                <w:szCs w:val="24"/>
              </w:rPr>
              <w:t>规划情况</w:t>
            </w:r>
          </w:p>
        </w:tc>
        <w:tc>
          <w:tcPr>
            <w:tcW w:w="7262" w:type="dxa"/>
            <w:gridSpan w:val="3"/>
            <w:tcBorders>
              <w:tl2br w:val="nil"/>
              <w:tr2bl w:val="nil"/>
            </w:tcBorders>
            <w:noWrap w:val="0"/>
            <w:vAlign w:val="center"/>
          </w:tcPr>
          <w:p w14:paraId="5874C631">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jc w:val="left"/>
              <w:textAlignment w:val="auto"/>
              <w:rPr>
                <w:rFonts w:hint="eastAsia"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b/>
                <w:bCs/>
                <w:color w:val="auto"/>
                <w:kern w:val="0"/>
                <w:sz w:val="24"/>
                <w:szCs w:val="24"/>
                <w:highlight w:val="none"/>
              </w:rPr>
              <w:t>规划名称</w:t>
            </w:r>
            <w:r>
              <w:rPr>
                <w:rFonts w:hint="default" w:ascii="Times New Roman" w:hAnsi="Times New Roman" w:eastAsia="宋体" w:cs="Times New Roman"/>
                <w:color w:val="auto"/>
                <w:kern w:val="0"/>
                <w:sz w:val="24"/>
                <w:szCs w:val="24"/>
                <w:highlight w:val="none"/>
              </w:rPr>
              <w:t>：《</w:t>
            </w:r>
            <w:r>
              <w:rPr>
                <w:rFonts w:hint="eastAsia" w:cs="Times New Roman"/>
                <w:color w:val="auto"/>
                <w:kern w:val="0"/>
                <w:sz w:val="24"/>
                <w:szCs w:val="24"/>
                <w:highlight w:val="none"/>
                <w:lang w:eastAsia="zh-CN"/>
              </w:rPr>
              <w:t>关于尹集镇新型乡村工业园区的规划</w:t>
            </w:r>
            <w:r>
              <w:rPr>
                <w:rFonts w:hint="default" w:ascii="Times New Roman" w:hAnsi="Times New Roman" w:eastAsia="宋体" w:cs="Times New Roman"/>
                <w:color w:val="auto"/>
                <w:kern w:val="0"/>
                <w:sz w:val="24"/>
                <w:szCs w:val="24"/>
                <w:highlight w:val="none"/>
              </w:rPr>
              <w:t>》</w:t>
            </w:r>
            <w:r>
              <w:rPr>
                <w:rFonts w:hint="eastAsia" w:cs="Times New Roman"/>
                <w:color w:val="auto"/>
                <w:kern w:val="0"/>
                <w:sz w:val="24"/>
                <w:szCs w:val="24"/>
                <w:highlight w:val="none"/>
                <w:lang w:eastAsia="zh-CN"/>
              </w:rPr>
              <w:t>（尹发【</w:t>
            </w:r>
            <w:r>
              <w:rPr>
                <w:rFonts w:hint="eastAsia" w:cs="Times New Roman"/>
                <w:color w:val="auto"/>
                <w:kern w:val="0"/>
                <w:sz w:val="24"/>
                <w:szCs w:val="24"/>
                <w:highlight w:val="none"/>
                <w:lang w:val="en-US" w:eastAsia="zh-CN"/>
              </w:rPr>
              <w:t>2010</w:t>
            </w:r>
            <w:r>
              <w:rPr>
                <w:rFonts w:hint="eastAsia" w:cs="Times New Roman"/>
                <w:color w:val="auto"/>
                <w:kern w:val="0"/>
                <w:sz w:val="24"/>
                <w:szCs w:val="24"/>
                <w:highlight w:val="none"/>
                <w:lang w:eastAsia="zh-CN"/>
              </w:rPr>
              <w:t>】</w:t>
            </w:r>
            <w:r>
              <w:rPr>
                <w:rFonts w:hint="eastAsia" w:cs="Times New Roman"/>
                <w:color w:val="auto"/>
                <w:kern w:val="0"/>
                <w:sz w:val="24"/>
                <w:szCs w:val="24"/>
                <w:highlight w:val="none"/>
                <w:lang w:val="en-US" w:eastAsia="zh-CN"/>
              </w:rPr>
              <w:t>10号</w:t>
            </w:r>
            <w:r>
              <w:rPr>
                <w:rFonts w:hint="eastAsia" w:cs="Times New Roman"/>
                <w:color w:val="auto"/>
                <w:kern w:val="0"/>
                <w:sz w:val="24"/>
                <w:szCs w:val="24"/>
                <w:highlight w:val="none"/>
                <w:lang w:eastAsia="zh-CN"/>
              </w:rPr>
              <w:t>）；</w:t>
            </w:r>
          </w:p>
          <w:p w14:paraId="789B8A9E">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snapToGrid/>
                <w:color w:val="auto"/>
                <w:spacing w:val="0"/>
                <w:kern w:val="0"/>
                <w:position w:val="0"/>
                <w:sz w:val="24"/>
                <w:szCs w:val="24"/>
                <w:lang w:val="en-US" w:eastAsia="zh-CN"/>
              </w:rPr>
            </w:pPr>
            <w:r>
              <w:rPr>
                <w:rFonts w:hint="default" w:ascii="Times New Roman" w:hAnsi="Times New Roman" w:eastAsia="宋体" w:cs="Times New Roman"/>
                <w:b/>
                <w:bCs/>
                <w:color w:val="auto"/>
                <w:kern w:val="0"/>
                <w:sz w:val="24"/>
                <w:szCs w:val="24"/>
                <w:highlight w:val="none"/>
              </w:rPr>
              <w:t>审批机关</w:t>
            </w:r>
            <w:r>
              <w:rPr>
                <w:rFonts w:hint="default" w:ascii="Times New Roman" w:hAnsi="Times New Roman" w:eastAsia="宋体" w:cs="Times New Roman"/>
                <w:color w:val="auto"/>
                <w:kern w:val="0"/>
                <w:sz w:val="24"/>
                <w:szCs w:val="24"/>
                <w:highlight w:val="none"/>
              </w:rPr>
              <w:t>：</w:t>
            </w:r>
            <w:r>
              <w:rPr>
                <w:rFonts w:hint="eastAsia" w:cs="Times New Roman"/>
                <w:color w:val="auto"/>
                <w:kern w:val="0"/>
                <w:sz w:val="24"/>
                <w:szCs w:val="24"/>
                <w:highlight w:val="none"/>
                <w:lang w:eastAsia="zh-CN"/>
              </w:rPr>
              <w:t>尹集镇</w:t>
            </w:r>
            <w:r>
              <w:rPr>
                <w:rFonts w:hint="default" w:ascii="Times New Roman" w:hAnsi="Times New Roman" w:eastAsia="宋体" w:cs="Times New Roman"/>
                <w:color w:val="auto"/>
                <w:kern w:val="0"/>
                <w:sz w:val="24"/>
                <w:szCs w:val="24"/>
                <w:highlight w:val="none"/>
              </w:rPr>
              <w:t>人民政府</w:t>
            </w:r>
            <w:r>
              <w:rPr>
                <w:rFonts w:hint="eastAsia" w:cs="Times New Roman"/>
                <w:color w:val="auto"/>
                <w:kern w:val="0"/>
                <w:sz w:val="24"/>
                <w:szCs w:val="24"/>
                <w:highlight w:val="none"/>
                <w:lang w:eastAsia="zh-CN"/>
              </w:rPr>
              <w:t>。</w:t>
            </w:r>
          </w:p>
        </w:tc>
      </w:tr>
      <w:tr w14:paraId="0873E0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08" w:type="dxa"/>
            <w:gridSpan w:val="2"/>
            <w:tcBorders>
              <w:tl2br w:val="nil"/>
              <w:tr2bl w:val="nil"/>
            </w:tcBorders>
            <w:noWrap w:val="0"/>
            <w:vAlign w:val="center"/>
          </w:tcPr>
          <w:p w14:paraId="6BF38C9D">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b w:val="0"/>
                <w:bCs w:val="0"/>
                <w:snapToGrid/>
                <w:color w:val="auto"/>
                <w:spacing w:val="0"/>
                <w:kern w:val="0"/>
                <w:position w:val="0"/>
                <w:sz w:val="24"/>
                <w:szCs w:val="24"/>
              </w:rPr>
            </w:pPr>
            <w:r>
              <w:rPr>
                <w:rFonts w:hint="eastAsia" w:ascii="宋体" w:hAnsi="宋体" w:eastAsia="宋体" w:cs="宋体"/>
                <w:b w:val="0"/>
                <w:bCs w:val="0"/>
                <w:snapToGrid/>
                <w:color w:val="auto"/>
                <w:spacing w:val="0"/>
                <w:kern w:val="0"/>
                <w:position w:val="0"/>
                <w:sz w:val="24"/>
                <w:szCs w:val="24"/>
              </w:rPr>
              <w:t>规划环境影响评价情况</w:t>
            </w:r>
          </w:p>
        </w:tc>
        <w:tc>
          <w:tcPr>
            <w:tcW w:w="7262" w:type="dxa"/>
            <w:gridSpan w:val="3"/>
            <w:tcBorders>
              <w:tl2br w:val="nil"/>
              <w:tr2bl w:val="nil"/>
            </w:tcBorders>
            <w:noWrap w:val="0"/>
            <w:vAlign w:val="center"/>
          </w:tcPr>
          <w:p w14:paraId="0954D43B">
            <w:pPr>
              <w:keepNext w:val="0"/>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snapToGrid/>
                <w:color w:val="auto"/>
                <w:spacing w:val="0"/>
                <w:kern w:val="0"/>
                <w:position w:val="0"/>
                <w:sz w:val="24"/>
                <w:szCs w:val="24"/>
                <w:lang w:val="en-US" w:eastAsia="zh-CN"/>
              </w:rPr>
            </w:pPr>
            <w:r>
              <w:rPr>
                <w:rFonts w:hint="eastAsia" w:ascii="宋体" w:hAnsi="宋体" w:cs="宋体"/>
                <w:b w:val="0"/>
                <w:bCs w:val="0"/>
                <w:snapToGrid/>
                <w:color w:val="auto"/>
                <w:spacing w:val="0"/>
                <w:kern w:val="0"/>
                <w:position w:val="0"/>
                <w:sz w:val="24"/>
                <w:szCs w:val="24"/>
                <w:highlight w:val="none"/>
                <w:lang w:val="en-US" w:eastAsia="zh-CN"/>
              </w:rPr>
              <w:t>无</w:t>
            </w:r>
          </w:p>
        </w:tc>
      </w:tr>
      <w:tr w14:paraId="599E42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08" w:type="dxa"/>
            <w:gridSpan w:val="2"/>
            <w:tcBorders>
              <w:tl2br w:val="nil"/>
              <w:tr2bl w:val="nil"/>
            </w:tcBorders>
            <w:noWrap w:val="0"/>
            <w:vAlign w:val="center"/>
          </w:tcPr>
          <w:p w14:paraId="0A9EBA06">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b w:val="0"/>
                <w:bCs w:val="0"/>
                <w:snapToGrid/>
                <w:color w:val="auto"/>
                <w:spacing w:val="0"/>
                <w:kern w:val="0"/>
                <w:position w:val="0"/>
                <w:sz w:val="24"/>
                <w:szCs w:val="24"/>
              </w:rPr>
            </w:pPr>
            <w:r>
              <w:rPr>
                <w:rFonts w:hint="eastAsia" w:ascii="宋体" w:hAnsi="宋体" w:eastAsia="宋体" w:cs="宋体"/>
                <w:b w:val="0"/>
                <w:bCs w:val="0"/>
                <w:snapToGrid/>
                <w:color w:val="auto"/>
                <w:spacing w:val="0"/>
                <w:kern w:val="0"/>
                <w:position w:val="0"/>
                <w:sz w:val="24"/>
                <w:szCs w:val="24"/>
              </w:rPr>
              <w:t>规划及规划环境影响评价符合性分析</w:t>
            </w:r>
          </w:p>
        </w:tc>
        <w:tc>
          <w:tcPr>
            <w:tcW w:w="7262" w:type="dxa"/>
            <w:gridSpan w:val="3"/>
            <w:tcBorders>
              <w:tl2br w:val="nil"/>
              <w:tr2bl w:val="nil"/>
            </w:tcBorders>
            <w:noWrap w:val="0"/>
            <w:vAlign w:val="center"/>
          </w:tcPr>
          <w:p w14:paraId="6F57EAA1">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rPr>
                <w:rFonts w:cs="宋体"/>
                <w:b/>
                <w:color w:val="auto"/>
                <w:sz w:val="24"/>
                <w:highlight w:val="none"/>
              </w:rPr>
            </w:pPr>
            <w:r>
              <w:rPr>
                <w:rFonts w:hint="eastAsia" w:cs="宋体"/>
                <w:b/>
                <w:color w:val="auto"/>
                <w:sz w:val="24"/>
                <w:highlight w:val="none"/>
              </w:rPr>
              <w:t>与园区</w:t>
            </w:r>
            <w:r>
              <w:rPr>
                <w:rFonts w:cs="宋体"/>
                <w:b/>
                <w:color w:val="auto"/>
                <w:sz w:val="24"/>
                <w:highlight w:val="none"/>
              </w:rPr>
              <w:t>规划符合性分析</w:t>
            </w:r>
          </w:p>
          <w:p w14:paraId="1BB3C44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snapToGrid/>
                <w:color w:val="auto"/>
                <w:spacing w:val="0"/>
                <w:kern w:val="0"/>
                <w:position w:val="0"/>
                <w:sz w:val="24"/>
                <w:szCs w:val="24"/>
                <w:lang w:eastAsia="zh-CN"/>
              </w:rPr>
            </w:pPr>
            <w:r>
              <w:rPr>
                <w:rFonts w:hint="default" w:ascii="Times New Roman" w:hAnsi="Times New Roman" w:eastAsia="宋体" w:cs="Times New Roman"/>
                <w:snapToGrid/>
                <w:color w:val="auto"/>
                <w:spacing w:val="0"/>
                <w:kern w:val="0"/>
                <w:position w:val="0"/>
                <w:sz w:val="24"/>
                <w:szCs w:val="24"/>
                <w:highlight w:val="none"/>
                <w:lang w:eastAsia="zh-CN"/>
              </w:rPr>
              <w:t>尹集镇新型乡村工业园于2010年11月起步建设，位于201省道34公里处东侧，位于田路村南侧，规划面积600亩，一期占地面积300亩，产业布局以轻工加工、机械制造为主</w:t>
            </w:r>
            <w:r>
              <w:rPr>
                <w:rFonts w:hint="eastAsia" w:cs="Times New Roman"/>
                <w:snapToGrid/>
                <w:color w:val="auto"/>
                <w:spacing w:val="0"/>
                <w:kern w:val="0"/>
                <w:position w:val="0"/>
                <w:sz w:val="24"/>
                <w:szCs w:val="24"/>
                <w:highlight w:val="none"/>
                <w:lang w:eastAsia="zh-CN"/>
              </w:rPr>
              <w:t>导</w:t>
            </w:r>
            <w:r>
              <w:rPr>
                <w:rFonts w:hint="default" w:ascii="Times New Roman" w:hAnsi="Times New Roman" w:eastAsia="宋体" w:cs="Times New Roman"/>
                <w:snapToGrid/>
                <w:color w:val="auto"/>
                <w:spacing w:val="0"/>
                <w:kern w:val="0"/>
                <w:position w:val="0"/>
                <w:sz w:val="24"/>
                <w:szCs w:val="24"/>
                <w:highlight w:val="none"/>
                <w:lang w:eastAsia="zh-CN"/>
              </w:rPr>
              <w:t>工业，本</w:t>
            </w:r>
            <w:r>
              <w:rPr>
                <w:rFonts w:hint="eastAsia" w:ascii="宋体" w:hAnsi="宋体" w:eastAsia="宋体" w:cs="宋体"/>
                <w:snapToGrid/>
                <w:color w:val="auto"/>
                <w:spacing w:val="0"/>
                <w:kern w:val="0"/>
                <w:position w:val="0"/>
                <w:sz w:val="24"/>
                <w:szCs w:val="24"/>
                <w:highlight w:val="none"/>
                <w:lang w:eastAsia="zh-CN"/>
              </w:rPr>
              <w:t>着“整体规划，分期实施，小块起步，滚动发展”的原则，以“政府领导、市场运作、企业经营”的</w:t>
            </w:r>
            <w:r>
              <w:rPr>
                <w:rFonts w:hint="default" w:ascii="Times New Roman" w:hAnsi="Times New Roman" w:eastAsia="宋体" w:cs="Times New Roman"/>
                <w:snapToGrid/>
                <w:color w:val="auto"/>
                <w:spacing w:val="0"/>
                <w:kern w:val="0"/>
                <w:position w:val="0"/>
                <w:sz w:val="24"/>
                <w:szCs w:val="24"/>
                <w:highlight w:val="none"/>
                <w:lang w:eastAsia="zh-CN"/>
              </w:rPr>
              <w:t>运行方式，以培育小企业，推进全镇工业化进程</w:t>
            </w:r>
            <w:r>
              <w:rPr>
                <w:rFonts w:hint="default"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color w:val="auto"/>
                <w:sz w:val="24"/>
                <w:szCs w:val="24"/>
                <w:highlight w:val="none"/>
              </w:rPr>
              <w:t>本项目</w:t>
            </w:r>
            <w:r>
              <w:rPr>
                <w:rFonts w:hint="eastAsia" w:cs="Times New Roman"/>
                <w:color w:val="auto"/>
                <w:sz w:val="24"/>
                <w:szCs w:val="24"/>
                <w:highlight w:val="none"/>
                <w:lang w:eastAsia="zh-CN"/>
              </w:rPr>
              <w:t>位于</w:t>
            </w:r>
            <w:r>
              <w:rPr>
                <w:rFonts w:hint="default" w:ascii="Times New Roman" w:hAnsi="Times New Roman" w:eastAsia="宋体" w:cs="Times New Roman"/>
                <w:snapToGrid/>
                <w:color w:val="auto"/>
                <w:spacing w:val="0"/>
                <w:kern w:val="0"/>
                <w:position w:val="0"/>
                <w:sz w:val="24"/>
                <w:szCs w:val="24"/>
                <w:highlight w:val="none"/>
                <w:lang w:eastAsia="zh-CN"/>
              </w:rPr>
              <w:t>尹集镇新型乡村工业园</w:t>
            </w:r>
            <w:r>
              <w:rPr>
                <w:rFonts w:hint="eastAsia" w:eastAsia="宋体" w:cs="Times New Roman"/>
                <w:snapToGrid/>
                <w:color w:val="auto"/>
                <w:spacing w:val="0"/>
                <w:kern w:val="0"/>
                <w:position w:val="0"/>
                <w:sz w:val="24"/>
                <w:szCs w:val="24"/>
                <w:highlight w:val="none"/>
                <w:lang w:eastAsia="zh-CN"/>
              </w:rPr>
              <w:t>内</w:t>
            </w:r>
            <w:r>
              <w:rPr>
                <w:rFonts w:hint="eastAsia" w:cs="Times New Roman"/>
                <w:bCs/>
                <w:color w:val="auto"/>
                <w:sz w:val="24"/>
                <w:szCs w:val="24"/>
                <w:highlight w:val="none"/>
                <w:lang w:val="en-US" w:eastAsia="zh-CN"/>
              </w:rPr>
              <w:t>，项目为</w:t>
            </w:r>
            <w:r>
              <w:rPr>
                <w:rFonts w:hint="eastAsia" w:cs="Times New Roman"/>
                <w:snapToGrid/>
                <w:color w:val="auto"/>
                <w:spacing w:val="0"/>
                <w:kern w:val="0"/>
                <w:position w:val="0"/>
                <w:sz w:val="24"/>
                <w:szCs w:val="24"/>
                <w:lang w:eastAsia="zh-CN"/>
              </w:rPr>
              <w:t>钨合金渔坠制造，属于机械制造，符合</w:t>
            </w:r>
            <w:r>
              <w:rPr>
                <w:rFonts w:hint="default" w:ascii="Times New Roman" w:hAnsi="Times New Roman" w:eastAsia="宋体" w:cs="Times New Roman"/>
                <w:snapToGrid/>
                <w:color w:val="auto"/>
                <w:spacing w:val="0"/>
                <w:kern w:val="0"/>
                <w:position w:val="0"/>
                <w:sz w:val="24"/>
                <w:szCs w:val="24"/>
                <w:highlight w:val="none"/>
                <w:lang w:eastAsia="zh-CN"/>
              </w:rPr>
              <w:t>尹集镇新型乡村工业园</w:t>
            </w:r>
            <w:r>
              <w:rPr>
                <w:rFonts w:hint="eastAsia" w:eastAsia="宋体" w:cs="Times New Roman"/>
                <w:snapToGrid/>
                <w:color w:val="auto"/>
                <w:spacing w:val="0"/>
                <w:kern w:val="0"/>
                <w:position w:val="0"/>
                <w:sz w:val="24"/>
                <w:szCs w:val="24"/>
                <w:highlight w:val="none"/>
                <w:lang w:eastAsia="zh-CN"/>
              </w:rPr>
              <w:t>产业布局要求，项目</w:t>
            </w:r>
            <w:r>
              <w:rPr>
                <w:rFonts w:hint="eastAsia" w:cs="Times New Roman"/>
                <w:bCs/>
                <w:color w:val="auto"/>
                <w:sz w:val="24"/>
                <w:szCs w:val="24"/>
                <w:highlight w:val="none"/>
                <w:lang w:val="en-US" w:eastAsia="zh-CN"/>
              </w:rPr>
              <w:t>用地为工业用地</w:t>
            </w:r>
            <w:r>
              <w:rPr>
                <w:rFonts w:hint="eastAsia"/>
                <w:color w:val="auto"/>
                <w:sz w:val="24"/>
                <w:highlight w:val="none"/>
              </w:rPr>
              <w:t>，项目用地符合园区</w:t>
            </w:r>
            <w:r>
              <w:rPr>
                <w:rFonts w:hint="eastAsia"/>
                <w:color w:val="auto"/>
                <w:sz w:val="24"/>
                <w:highlight w:val="none"/>
                <w:lang w:val="en-US" w:eastAsia="zh-CN"/>
              </w:rPr>
              <w:t>土地利用</w:t>
            </w:r>
            <w:r>
              <w:rPr>
                <w:rFonts w:hint="eastAsia"/>
                <w:color w:val="auto"/>
                <w:sz w:val="24"/>
                <w:highlight w:val="none"/>
              </w:rPr>
              <w:t>规划要求</w:t>
            </w:r>
            <w:r>
              <w:rPr>
                <w:rFonts w:hint="eastAsia"/>
                <w:color w:val="auto"/>
                <w:sz w:val="24"/>
                <w:highlight w:val="none"/>
                <w:lang w:eastAsia="zh-CN"/>
              </w:rPr>
              <w:t>。</w:t>
            </w:r>
          </w:p>
        </w:tc>
      </w:tr>
      <w:tr w14:paraId="4341FF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73" w:type="dxa"/>
            <w:tcBorders>
              <w:tl2br w:val="nil"/>
              <w:tr2bl w:val="nil"/>
            </w:tcBorders>
            <w:noWrap w:val="0"/>
            <w:vAlign w:val="center"/>
          </w:tcPr>
          <w:p w14:paraId="60E84624">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b w:val="0"/>
                <w:bCs w:val="0"/>
                <w:snapToGrid/>
                <w:color w:val="auto"/>
                <w:spacing w:val="0"/>
                <w:kern w:val="0"/>
                <w:position w:val="0"/>
                <w:sz w:val="24"/>
                <w:szCs w:val="24"/>
              </w:rPr>
            </w:pPr>
            <w:r>
              <w:rPr>
                <w:rFonts w:hint="eastAsia" w:ascii="宋体" w:hAnsi="宋体" w:eastAsia="宋体" w:cs="宋体"/>
                <w:b w:val="0"/>
                <w:bCs w:val="0"/>
                <w:snapToGrid/>
                <w:color w:val="auto"/>
                <w:spacing w:val="0"/>
                <w:kern w:val="0"/>
                <w:position w:val="0"/>
                <w:sz w:val="24"/>
                <w:szCs w:val="24"/>
              </w:rPr>
              <w:t>其他符合性分析</w:t>
            </w:r>
          </w:p>
        </w:tc>
        <w:tc>
          <w:tcPr>
            <w:tcW w:w="8297" w:type="dxa"/>
            <w:gridSpan w:val="4"/>
            <w:tcBorders>
              <w:tl2br w:val="nil"/>
              <w:tr2bl w:val="nil"/>
            </w:tcBorders>
            <w:noWrap w:val="0"/>
            <w:vAlign w:val="center"/>
          </w:tcPr>
          <w:p w14:paraId="3CC94154">
            <w:pPr>
              <w:numPr>
                <w:ilvl w:val="0"/>
                <w:numId w:val="0"/>
              </w:numPr>
              <w:autoSpaceDE w:val="0"/>
              <w:autoSpaceDN w:val="0"/>
              <w:adjustRightInd w:val="0"/>
              <w:snapToGrid w:val="0"/>
              <w:spacing w:beforeLines="50" w:line="360" w:lineRule="auto"/>
              <w:jc w:val="left"/>
              <w:rPr>
                <w:rFonts w:hint="default"/>
                <w:b/>
                <w:bCs/>
                <w:color w:val="auto"/>
                <w:sz w:val="24"/>
                <w:szCs w:val="24"/>
                <w:highlight w:val="none"/>
                <w:lang w:val="en-US" w:eastAsia="zh-CN"/>
              </w:rPr>
            </w:pPr>
            <w:r>
              <w:rPr>
                <w:rFonts w:hint="eastAsia"/>
                <w:b/>
                <w:bCs/>
                <w:color w:val="auto"/>
                <w:sz w:val="24"/>
                <w:szCs w:val="24"/>
                <w:highlight w:val="none"/>
                <w:lang w:val="en-US" w:eastAsia="zh-CN"/>
              </w:rPr>
              <w:t>1、分区管控与“三线一单”相符性分析</w:t>
            </w:r>
          </w:p>
          <w:p w14:paraId="4ADD5F21">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安徽省人民政府于2020年7月13日发布了《安徽省人民政府关于加快实施</w:t>
            </w:r>
            <w:r>
              <w:rPr>
                <w:rFonts w:hint="eastAsia" w:ascii="宋体" w:hAnsi="宋体" w:eastAsia="宋体" w:cs="宋体"/>
                <w:color w:val="auto"/>
                <w:kern w:val="2"/>
                <w:sz w:val="24"/>
                <w:szCs w:val="24"/>
                <w:highlight w:val="none"/>
                <w:lang w:val="en-US" w:eastAsia="zh-CN" w:bidi="ar-SA"/>
              </w:rPr>
              <w:t>“三线一单”生态</w:t>
            </w:r>
            <w:r>
              <w:rPr>
                <w:rFonts w:hint="default" w:ascii="Times New Roman" w:hAnsi="Times New Roman" w:eastAsia="宋体" w:cs="Times New Roman"/>
                <w:color w:val="auto"/>
                <w:kern w:val="2"/>
                <w:sz w:val="24"/>
                <w:szCs w:val="24"/>
                <w:highlight w:val="none"/>
                <w:lang w:val="en-US" w:eastAsia="zh-CN" w:bidi="ar-SA"/>
              </w:rPr>
              <w:t>环境分区管控的通知》，安徽省生态环境厅皖环发〔2022〕5号发布了《安徽省生态环境厅关于印发安徽</w:t>
            </w:r>
            <w:r>
              <w:rPr>
                <w:rFonts w:hint="eastAsia" w:ascii="宋体" w:hAnsi="宋体" w:eastAsia="宋体" w:cs="宋体"/>
                <w:color w:val="auto"/>
                <w:kern w:val="2"/>
                <w:sz w:val="24"/>
                <w:szCs w:val="24"/>
                <w:highlight w:val="none"/>
                <w:lang w:val="en-US" w:eastAsia="zh-CN" w:bidi="ar-SA"/>
              </w:rPr>
              <w:t>省“三线一单”生态</w:t>
            </w:r>
            <w:r>
              <w:rPr>
                <w:rFonts w:hint="default" w:ascii="Times New Roman" w:hAnsi="Times New Roman" w:eastAsia="宋体" w:cs="Times New Roman"/>
                <w:color w:val="auto"/>
                <w:kern w:val="2"/>
                <w:sz w:val="24"/>
                <w:szCs w:val="24"/>
                <w:highlight w:val="none"/>
                <w:lang w:val="en-US" w:eastAsia="zh-CN" w:bidi="ar-SA"/>
              </w:rPr>
              <w:t>环境分区管控管理办法（暂行）的通知》，明确为贯彻落实《中共中央国务院关于全面加强生态环境保护坚决打好污染防治攻坚战的意见》（中发【2018】17号），就落实生态保护红线、环境质量底线、资源利用上线和生态环境准入清单（统称</w:t>
            </w:r>
            <w:r>
              <w:rPr>
                <w:rFonts w:hint="eastAsia" w:ascii="宋体" w:hAnsi="宋体" w:eastAsia="宋体" w:cs="宋体"/>
                <w:color w:val="auto"/>
                <w:kern w:val="2"/>
                <w:sz w:val="24"/>
                <w:szCs w:val="24"/>
                <w:highlight w:val="none"/>
                <w:lang w:val="en-US" w:eastAsia="zh-CN" w:bidi="ar-SA"/>
              </w:rPr>
              <w:t>“三线一单”）</w:t>
            </w:r>
            <w:r>
              <w:rPr>
                <w:rFonts w:hint="default" w:ascii="Times New Roman" w:hAnsi="Times New Roman" w:eastAsia="宋体" w:cs="Times New Roman"/>
                <w:color w:val="auto"/>
                <w:kern w:val="2"/>
                <w:sz w:val="24"/>
                <w:szCs w:val="24"/>
                <w:highlight w:val="none"/>
                <w:lang w:val="en-US" w:eastAsia="zh-CN" w:bidi="ar-SA"/>
              </w:rPr>
              <w:t>，实施生态环境分区管控。</w:t>
            </w:r>
          </w:p>
          <w:p w14:paraId="30B1CBB7">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（1）生态保护红线</w:t>
            </w:r>
          </w:p>
          <w:p w14:paraId="4281F00A">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2"/>
                <w:sz w:val="24"/>
                <w:szCs w:val="24"/>
                <w:highlight w:val="none"/>
                <w:lang w:val="en-US" w:eastAsia="zh-CN" w:bidi="ar-SA"/>
              </w:rPr>
              <w:t>本项目位于</w:t>
            </w:r>
            <w:r>
              <w:rPr>
                <w:rFonts w:hint="eastAsia" w:cs="Times New Roman"/>
                <w:snapToGrid/>
                <w:color w:val="auto"/>
                <w:spacing w:val="0"/>
                <w:kern w:val="0"/>
                <w:position w:val="0"/>
                <w:sz w:val="24"/>
                <w:szCs w:val="24"/>
                <w:u w:val="none"/>
                <w:lang w:eastAsia="zh-CN"/>
              </w:rPr>
              <w:t>安徽省宿州市灵璧县尹集镇田路村</w:t>
            </w:r>
            <w:r>
              <w:rPr>
                <w:rFonts w:hint="default" w:ascii="Times New Roman" w:hAnsi="Times New Roman" w:eastAsia="宋体" w:cs="Times New Roman"/>
                <w:color w:val="auto"/>
                <w:sz w:val="24"/>
                <w:szCs w:val="24"/>
                <w:highlight w:val="none"/>
                <w:u w:val="none"/>
                <w:lang w:eastAsia="zh-CN"/>
              </w:rPr>
              <w:t>，</w:t>
            </w:r>
            <w:r>
              <w:rPr>
                <w:rFonts w:hint="default" w:ascii="Times New Roman" w:hAnsi="Times New Roman" w:eastAsia="宋体" w:cs="Times New Roman"/>
                <w:color w:val="auto"/>
                <w:kern w:val="2"/>
                <w:sz w:val="24"/>
                <w:szCs w:val="24"/>
                <w:highlight w:val="none"/>
                <w:lang w:val="en-US" w:eastAsia="zh-CN" w:bidi="ar-SA"/>
              </w:rPr>
              <w:t>根据202</w:t>
            </w:r>
            <w:r>
              <w:rPr>
                <w:rFonts w:hint="eastAsia" w:cs="Times New Roman"/>
                <w:color w:val="auto"/>
                <w:kern w:val="2"/>
                <w:sz w:val="24"/>
                <w:szCs w:val="24"/>
                <w:highlight w:val="none"/>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年宿州市</w:t>
            </w:r>
            <w:r>
              <w:rPr>
                <w:rFonts w:hint="eastAsia" w:ascii="宋体" w:hAnsi="宋体" w:eastAsia="宋体" w:cs="宋体"/>
                <w:color w:val="auto"/>
                <w:kern w:val="2"/>
                <w:sz w:val="24"/>
                <w:szCs w:val="24"/>
                <w:highlight w:val="none"/>
                <w:lang w:val="en-US" w:eastAsia="zh-CN" w:bidi="ar-SA"/>
              </w:rPr>
              <w:t>“三线一单”文</w:t>
            </w:r>
            <w:r>
              <w:rPr>
                <w:rFonts w:hint="default" w:ascii="Times New Roman" w:hAnsi="Times New Roman" w:eastAsia="宋体" w:cs="Times New Roman"/>
                <w:color w:val="auto"/>
                <w:kern w:val="2"/>
                <w:sz w:val="24"/>
                <w:szCs w:val="24"/>
                <w:highlight w:val="none"/>
                <w:lang w:val="en-US" w:eastAsia="zh-CN" w:bidi="ar-SA"/>
              </w:rPr>
              <w:t>本，对照宿州市生态保护红线图和宿州市生态空间图，本项目不涉及生态保护红线，不属于一般生态空间。</w:t>
            </w:r>
          </w:p>
          <w:p w14:paraId="1BA7AC93">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kern w:val="2"/>
                <w:sz w:val="24"/>
                <w:szCs w:val="24"/>
                <w:highlight w:val="none"/>
                <w:lang w:val="en-US" w:eastAsia="zh-CN" w:bidi="ar-SA"/>
              </w:rPr>
              <w:t>环境质量底线</w:t>
            </w:r>
          </w:p>
          <w:p w14:paraId="730C44EF">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①大气环境质量底线</w:t>
            </w:r>
          </w:p>
          <w:p w14:paraId="5E94187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color w:val="auto"/>
                <w:sz w:val="24"/>
                <w:szCs w:val="32"/>
              </w:rPr>
              <w:t>根据《宿州市</w:t>
            </w:r>
            <w:r>
              <w:rPr>
                <w:rFonts w:hint="eastAsia"/>
                <w:color w:val="auto"/>
                <w:sz w:val="24"/>
                <w:szCs w:val="32"/>
                <w:lang w:eastAsia="zh-CN"/>
              </w:rPr>
              <w:t>2024</w:t>
            </w:r>
            <w:r>
              <w:rPr>
                <w:color w:val="auto"/>
                <w:sz w:val="24"/>
                <w:szCs w:val="32"/>
              </w:rPr>
              <w:t>年环境质量报告》，O</w:t>
            </w:r>
            <w:r>
              <w:rPr>
                <w:color w:val="auto"/>
                <w:sz w:val="24"/>
                <w:szCs w:val="32"/>
                <w:vertAlign w:val="subscript"/>
              </w:rPr>
              <w:t>3</w:t>
            </w:r>
            <w:r>
              <w:rPr>
                <w:color w:val="auto"/>
                <w:sz w:val="24"/>
                <w:szCs w:val="32"/>
              </w:rPr>
              <w:t>、PM</w:t>
            </w:r>
            <w:r>
              <w:rPr>
                <w:color w:val="auto"/>
                <w:sz w:val="24"/>
                <w:szCs w:val="32"/>
                <w:vertAlign w:val="subscript"/>
              </w:rPr>
              <w:t>2.5</w:t>
            </w:r>
            <w:r>
              <w:rPr>
                <w:color w:val="auto"/>
                <w:sz w:val="24"/>
                <w:szCs w:val="32"/>
              </w:rPr>
              <w:t>、PM</w:t>
            </w:r>
            <w:r>
              <w:rPr>
                <w:color w:val="auto"/>
                <w:sz w:val="24"/>
                <w:szCs w:val="32"/>
                <w:vertAlign w:val="subscript"/>
              </w:rPr>
              <w:t>10</w:t>
            </w:r>
            <w:r>
              <w:rPr>
                <w:color w:val="auto"/>
                <w:sz w:val="24"/>
                <w:szCs w:val="32"/>
              </w:rPr>
              <w:t>超过《环境空气质量标准》（GB3095-2012）中二级标准限值，因此项目所在区域为环境空气质量不达标区。为改善环境空气质量情况，宿州市通过优化产业结构和布局，严控高耗能、高污染项目建设</w:t>
            </w:r>
            <w:r>
              <w:rPr>
                <w:rFonts w:hint="eastAsia" w:ascii="宋体" w:hAnsi="宋体" w:eastAsia="宋体" w:cs="宋体"/>
                <w:color w:val="auto"/>
                <w:sz w:val="24"/>
                <w:szCs w:val="32"/>
              </w:rPr>
              <w:t>，对“散乱污”企业</w:t>
            </w:r>
            <w:r>
              <w:rPr>
                <w:color w:val="auto"/>
                <w:sz w:val="24"/>
                <w:szCs w:val="32"/>
              </w:rPr>
              <w:t>进行综合整治等措施的实施，地区的环境空气质量将逐渐得到改善。</w:t>
            </w:r>
          </w:p>
          <w:p w14:paraId="39F5C6FC">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shd w:val="clear" w:color="auto" w:fill="auto"/>
                <w:lang w:val="en-US" w:eastAsia="zh-CN" w:bidi="ar-SA"/>
              </w:rPr>
              <w:t>本项目涉及主要大气污染物为</w:t>
            </w:r>
            <w:r>
              <w:rPr>
                <w:rFonts w:hint="eastAsia" w:cs="Times New Roman"/>
                <w:color w:val="auto"/>
                <w:kern w:val="2"/>
                <w:sz w:val="24"/>
                <w:szCs w:val="24"/>
                <w:highlight w:val="none"/>
                <w:lang w:val="en-US" w:eastAsia="zh-CN" w:bidi="ar-SA"/>
              </w:rPr>
              <w:t>VOCs</w:t>
            </w:r>
            <w:r>
              <w:rPr>
                <w:rFonts w:hint="eastAsia" w:ascii="Times New Roman" w:hAnsi="Times New Roman" w:eastAsia="宋体" w:cs="Times New Roman"/>
                <w:color w:val="auto"/>
                <w:kern w:val="2"/>
                <w:sz w:val="24"/>
                <w:szCs w:val="24"/>
                <w:highlight w:val="none"/>
                <w:shd w:val="clear" w:color="auto" w:fill="auto"/>
                <w:vertAlign w:val="baseline"/>
                <w:lang w:val="en-US" w:eastAsia="zh-CN" w:bidi="ar-SA"/>
              </w:rPr>
              <w:t>和颗粒物</w:t>
            </w:r>
            <w:r>
              <w:rPr>
                <w:rFonts w:hint="default" w:ascii="Times New Roman" w:hAnsi="Times New Roman" w:eastAsia="宋体" w:cs="Times New Roman"/>
                <w:color w:val="auto"/>
                <w:kern w:val="2"/>
                <w:sz w:val="24"/>
                <w:szCs w:val="24"/>
                <w:highlight w:val="none"/>
                <w:shd w:val="clear" w:color="auto" w:fill="auto"/>
                <w:lang w:val="en-US" w:eastAsia="zh-CN" w:bidi="ar-SA"/>
              </w:rPr>
              <w:t>，</w:t>
            </w:r>
            <w:r>
              <w:rPr>
                <w:rFonts w:hint="default" w:ascii="Times New Roman" w:hAnsi="Times New Roman" w:eastAsia="宋体" w:cs="Times New Roman"/>
                <w:color w:val="auto"/>
                <w:kern w:val="2"/>
                <w:sz w:val="24"/>
                <w:szCs w:val="24"/>
                <w:highlight w:val="none"/>
                <w:lang w:val="en-US" w:eastAsia="zh-CN" w:bidi="ar-SA"/>
              </w:rPr>
              <w:t>本次评价要求</w:t>
            </w:r>
            <w:r>
              <w:rPr>
                <w:rFonts w:hint="default" w:ascii="Times New Roman" w:hAnsi="Times New Roman" w:eastAsia="宋体" w:cs="Times New Roman"/>
                <w:color w:val="auto"/>
                <w:sz w:val="24"/>
                <w:szCs w:val="24"/>
                <w:lang w:val="en-US" w:eastAsia="zh-CN"/>
              </w:rPr>
              <w:t>本项目</w:t>
            </w:r>
            <w:r>
              <w:rPr>
                <w:rFonts w:hint="eastAsia" w:ascii="Times New Roman" w:hAnsi="Times New Roman" w:eastAsia="宋体" w:cs="Times New Roman"/>
                <w:color w:val="auto"/>
                <w:sz w:val="24"/>
                <w:lang w:val="en-US" w:eastAsia="zh-CN"/>
              </w:rPr>
              <w:t>混合</w:t>
            </w:r>
            <w:r>
              <w:rPr>
                <w:rFonts w:hint="default" w:ascii="Times New Roman" w:hAnsi="Times New Roman" w:eastAsia="宋体" w:cs="Times New Roman"/>
                <w:color w:val="auto"/>
                <w:sz w:val="24"/>
                <w:szCs w:val="24"/>
                <w:lang w:val="en-US" w:eastAsia="zh-CN"/>
              </w:rPr>
              <w:t>废气采用</w:t>
            </w:r>
            <w:r>
              <w:rPr>
                <w:rFonts w:hint="eastAsia" w:ascii="宋体" w:hAnsi="宋体" w:eastAsia="宋体" w:cs="宋体"/>
                <w:color w:val="auto"/>
                <w:sz w:val="24"/>
                <w:szCs w:val="24"/>
                <w:lang w:val="en-US" w:eastAsia="zh-CN"/>
              </w:rPr>
              <w:t>“集气罩</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布袋除尘器</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m高排气筒（DA0</w:t>
            </w:r>
            <w:r>
              <w:rPr>
                <w:rFonts w:hint="eastAsia" w:ascii="宋体" w:hAnsi="宋体" w:eastAsia="宋体" w:cs="宋体"/>
                <w:color w:val="auto"/>
                <w:sz w:val="24"/>
                <w:szCs w:val="24"/>
                <w:lang w:val="en-US" w:eastAsia="zh-CN"/>
              </w:rPr>
              <w:t>01）”处</w:t>
            </w:r>
            <w:r>
              <w:rPr>
                <w:rFonts w:hint="default" w:ascii="Times New Roman" w:hAnsi="Times New Roman" w:eastAsia="宋体" w:cs="Times New Roman"/>
                <w:color w:val="auto"/>
                <w:sz w:val="24"/>
                <w:szCs w:val="24"/>
                <w:lang w:val="en-US" w:eastAsia="zh-CN"/>
              </w:rPr>
              <w:t>理后排放；</w:t>
            </w:r>
            <w:r>
              <w:rPr>
                <w:rFonts w:hint="eastAsia" w:ascii="Times New Roman" w:hAnsi="Times New Roman" w:eastAsia="宋体" w:cs="Times New Roman"/>
                <w:color w:val="auto"/>
                <w:sz w:val="24"/>
                <w:lang w:val="en-US" w:eastAsia="zh-CN"/>
              </w:rPr>
              <w:t>加热</w:t>
            </w:r>
            <w:r>
              <w:rPr>
                <w:rFonts w:hint="eastAsia" w:ascii="Times New Roman" w:hAnsi="Times New Roman" w:cs="Times New Roman"/>
                <w:color w:val="auto"/>
                <w:sz w:val="24"/>
                <w:lang w:val="en-US" w:eastAsia="zh-CN"/>
              </w:rPr>
              <w:t>废气</w:t>
            </w:r>
            <w:r>
              <w:rPr>
                <w:rFonts w:hint="eastAsia" w:ascii="宋体" w:hAnsi="宋体" w:eastAsia="宋体" w:cs="宋体"/>
                <w:color w:val="auto"/>
                <w:sz w:val="24"/>
                <w:szCs w:val="24"/>
                <w:lang w:val="en-US" w:eastAsia="zh-CN"/>
              </w:rPr>
              <w:t>“集气罩</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二级活性炭吸附装置</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m高排气筒（DA00</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w:t>
            </w:r>
            <w:r>
              <w:rPr>
                <w:rFonts w:hint="eastAsia" w:ascii="宋体" w:hAnsi="宋体" w:eastAsia="宋体" w:cs="宋体"/>
                <w:color w:val="auto"/>
                <w:sz w:val="24"/>
                <w:szCs w:val="24"/>
                <w:lang w:val="en-US" w:eastAsia="zh-CN"/>
              </w:rPr>
              <w:t>”处理后</w:t>
            </w:r>
            <w:r>
              <w:rPr>
                <w:rFonts w:hint="default" w:ascii="Times New Roman" w:hAnsi="Times New Roman" w:eastAsia="宋体" w:cs="Times New Roman"/>
                <w:color w:val="auto"/>
                <w:sz w:val="24"/>
                <w:szCs w:val="24"/>
                <w:lang w:val="en-US" w:eastAsia="zh-CN"/>
              </w:rPr>
              <w:t>排放</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b w:val="0"/>
                <w:bCs w:val="0"/>
                <w:snapToGrid w:val="0"/>
                <w:color w:val="auto"/>
                <w:kern w:val="2"/>
                <w:sz w:val="24"/>
                <w:szCs w:val="24"/>
                <w:lang w:val="en-US" w:eastAsia="zh-CN"/>
              </w:rPr>
              <w:t>1#</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w:t>
            </w:r>
            <w:r>
              <w:rPr>
                <w:rFonts w:hint="default" w:ascii="Times New Roman" w:hAnsi="Times New Roman" w:eastAsia="宋体" w:cs="Times New Roman"/>
                <w:color w:val="auto"/>
                <w:sz w:val="24"/>
                <w:szCs w:val="24"/>
                <w:lang w:val="en-US" w:eastAsia="zh-CN"/>
              </w:rPr>
              <w:t>废气</w:t>
            </w:r>
            <w:r>
              <w:rPr>
                <w:rFonts w:hint="eastAsia" w:cs="Times New Roman"/>
                <w:color w:val="auto"/>
                <w:sz w:val="24"/>
                <w:szCs w:val="24"/>
                <w:lang w:val="en-US" w:eastAsia="zh-CN"/>
              </w:rPr>
              <w:t>和固化废气</w:t>
            </w:r>
            <w:r>
              <w:rPr>
                <w:rFonts w:hint="default" w:ascii="Times New Roman" w:hAnsi="Times New Roman" w:eastAsia="宋体" w:cs="Times New Roman"/>
                <w:color w:val="auto"/>
                <w:sz w:val="24"/>
                <w:szCs w:val="24"/>
                <w:lang w:val="en-US" w:eastAsia="zh-CN"/>
              </w:rPr>
              <w:t>采用</w:t>
            </w:r>
            <w:r>
              <w:rPr>
                <w:rFonts w:hint="eastAsia" w:cs="Times New Roman"/>
                <w:color w:val="auto"/>
                <w:sz w:val="24"/>
                <w:szCs w:val="24"/>
                <w:lang w:val="en-US" w:eastAsia="zh-CN"/>
              </w:rPr>
              <w:t>“</w:t>
            </w:r>
            <w:r>
              <w:rPr>
                <w:rFonts w:hint="eastAsia" w:ascii="宋体" w:hAnsi="宋体" w:eastAsia="宋体" w:cs="宋体"/>
                <w:color w:val="auto"/>
                <w:sz w:val="24"/>
                <w:szCs w:val="24"/>
                <w:lang w:val="en-US" w:eastAsia="zh-CN"/>
              </w:rPr>
              <w:t>集气罩</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二级活性炭吸附装置</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m高排气筒（DA00</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w:t>
            </w:r>
            <w:r>
              <w:rPr>
                <w:rFonts w:hint="eastAsia" w:ascii="宋体" w:hAnsi="宋体" w:eastAsia="宋体" w:cs="宋体"/>
                <w:color w:val="auto"/>
                <w:sz w:val="24"/>
                <w:szCs w:val="24"/>
                <w:lang w:val="en-US" w:eastAsia="zh-CN"/>
              </w:rPr>
              <w:t>处</w:t>
            </w:r>
            <w:r>
              <w:rPr>
                <w:rFonts w:hint="default" w:ascii="Times New Roman" w:hAnsi="Times New Roman" w:eastAsia="宋体" w:cs="Times New Roman"/>
                <w:color w:val="auto"/>
                <w:sz w:val="24"/>
                <w:szCs w:val="24"/>
                <w:lang w:val="en-US" w:eastAsia="zh-CN"/>
              </w:rPr>
              <w:t>理后排放；</w:t>
            </w:r>
            <w:r>
              <w:rPr>
                <w:rFonts w:hint="eastAsia" w:cs="Times New Roman"/>
                <w:color w:val="auto"/>
                <w:sz w:val="24"/>
                <w:szCs w:val="24"/>
                <w:lang w:val="en-US" w:eastAsia="zh-CN"/>
              </w:rPr>
              <w:t>2</w:t>
            </w:r>
            <w:r>
              <w:rPr>
                <w:rFonts w:hint="eastAsia" w:ascii="Times New Roman" w:hAnsi="Times New Roman" w:eastAsia="宋体" w:cs="Times New Roman"/>
                <w:b w:val="0"/>
                <w:bCs w:val="0"/>
                <w:snapToGrid w:val="0"/>
                <w:color w:val="auto"/>
                <w:kern w:val="2"/>
                <w:sz w:val="24"/>
                <w:szCs w:val="24"/>
                <w:lang w:val="en-US" w:eastAsia="zh-CN"/>
              </w:rPr>
              <w:t>#</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w:t>
            </w:r>
            <w:r>
              <w:rPr>
                <w:rFonts w:hint="default" w:ascii="Times New Roman" w:hAnsi="Times New Roman" w:eastAsia="宋体" w:cs="Times New Roman"/>
                <w:color w:val="auto"/>
                <w:sz w:val="24"/>
                <w:szCs w:val="24"/>
                <w:lang w:val="en-US" w:eastAsia="zh-CN"/>
              </w:rPr>
              <w:t>废气采用</w:t>
            </w:r>
            <w:r>
              <w:rPr>
                <w:rFonts w:hint="eastAsia" w:cs="Times New Roman"/>
                <w:color w:val="auto"/>
                <w:sz w:val="24"/>
                <w:szCs w:val="24"/>
                <w:lang w:val="en-US" w:eastAsia="zh-CN"/>
              </w:rPr>
              <w:t>“</w:t>
            </w:r>
            <w:r>
              <w:rPr>
                <w:rFonts w:hint="eastAsia" w:ascii="宋体" w:hAnsi="宋体" w:eastAsia="宋体" w:cs="宋体"/>
                <w:color w:val="auto"/>
                <w:sz w:val="24"/>
                <w:szCs w:val="24"/>
                <w:lang w:val="en-US" w:eastAsia="zh-CN"/>
              </w:rPr>
              <w:t>集气罩</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二级活性炭吸附装置</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m高排气筒（DA00</w:t>
            </w: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w:t>
            </w:r>
            <w:r>
              <w:rPr>
                <w:rFonts w:hint="eastAsia" w:ascii="宋体" w:hAnsi="宋体" w:eastAsia="宋体" w:cs="宋体"/>
                <w:color w:val="auto"/>
                <w:sz w:val="24"/>
                <w:szCs w:val="24"/>
                <w:lang w:val="en-US" w:eastAsia="zh-CN"/>
              </w:rPr>
              <w:t>处</w:t>
            </w:r>
            <w:r>
              <w:rPr>
                <w:rFonts w:hint="default" w:ascii="Times New Roman" w:hAnsi="Times New Roman" w:eastAsia="宋体" w:cs="Times New Roman"/>
                <w:color w:val="auto"/>
                <w:sz w:val="24"/>
                <w:szCs w:val="24"/>
                <w:lang w:val="en-US" w:eastAsia="zh-CN"/>
              </w:rPr>
              <w:t>理后排放；</w:t>
            </w:r>
            <w:r>
              <w:rPr>
                <w:rFonts w:hint="eastAsia" w:cs="Times New Roman"/>
                <w:b w:val="0"/>
                <w:bCs w:val="0"/>
                <w:snapToGrid w:val="0"/>
                <w:color w:val="auto"/>
                <w:kern w:val="2"/>
                <w:sz w:val="24"/>
                <w:szCs w:val="24"/>
                <w:lang w:val="en-US" w:eastAsia="zh-CN"/>
              </w:rPr>
              <w:t>喷塑废气采用“</w:t>
            </w:r>
            <w:r>
              <w:rPr>
                <w:rFonts w:hint="default" w:ascii="Times New Roman" w:hAnsi="Times New Roman" w:eastAsia="宋体" w:cs="Times New Roman"/>
                <w:b w:val="0"/>
                <w:bCs w:val="0"/>
                <w:color w:val="auto"/>
                <w:spacing w:val="-2"/>
                <w:sz w:val="24"/>
                <w:szCs w:val="24"/>
                <w:highlight w:val="none"/>
                <w:lang w:val="en-US" w:eastAsia="zh-CN"/>
              </w:rPr>
              <w:t>侧向集气罩</w:t>
            </w:r>
            <w:r>
              <w:rPr>
                <w:rFonts w:hint="eastAsia" w:ascii="Times New Roman" w:hAnsi="Times New Roman" w:cs="Times New Roman"/>
                <w:b w:val="0"/>
                <w:bCs w:val="0"/>
                <w:color w:val="auto"/>
                <w:spacing w:val="-2"/>
                <w:sz w:val="24"/>
                <w:szCs w:val="24"/>
                <w:highlight w:val="none"/>
                <w:lang w:val="en-US" w:eastAsia="zh-CN"/>
              </w:rPr>
              <w:t>+</w:t>
            </w:r>
            <w:r>
              <w:rPr>
                <w:rFonts w:hint="eastAsia" w:cs="Times New Roman"/>
                <w:color w:val="auto"/>
                <w:sz w:val="24"/>
                <w:szCs w:val="24"/>
                <w:lang w:val="en-US" w:eastAsia="zh-CN"/>
              </w:rPr>
              <w:t>布袋除尘器</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m高排气筒（DA00</w:t>
            </w: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w:t>
            </w:r>
            <w:r>
              <w:rPr>
                <w:rFonts w:hint="eastAsia" w:ascii="宋体" w:hAnsi="宋体" w:eastAsia="宋体" w:cs="宋体"/>
                <w:color w:val="auto"/>
                <w:sz w:val="24"/>
                <w:szCs w:val="24"/>
                <w:lang w:val="en-US" w:eastAsia="zh-CN"/>
              </w:rPr>
              <w:t>处</w:t>
            </w:r>
            <w:r>
              <w:rPr>
                <w:rFonts w:hint="default" w:ascii="Times New Roman" w:hAnsi="Times New Roman" w:eastAsia="宋体" w:cs="Times New Roman"/>
                <w:color w:val="auto"/>
                <w:sz w:val="24"/>
                <w:szCs w:val="24"/>
                <w:lang w:val="en-US" w:eastAsia="zh-CN"/>
              </w:rPr>
              <w:t>理后排放；</w:t>
            </w:r>
            <w:r>
              <w:rPr>
                <w:rFonts w:hint="eastAsia" w:cs="Times New Roman"/>
                <w:color w:val="auto"/>
                <w:sz w:val="24"/>
                <w:szCs w:val="24"/>
                <w:lang w:val="en-US" w:eastAsia="zh-CN"/>
              </w:rPr>
              <w:t>液氨储罐呼吸废气加强车间通风，</w:t>
            </w:r>
            <w:r>
              <w:rPr>
                <w:rFonts w:hint="default" w:ascii="Times New Roman" w:hAnsi="Times New Roman" w:eastAsia="宋体" w:cs="Times New Roman"/>
                <w:color w:val="auto"/>
                <w:sz w:val="24"/>
                <w:szCs w:val="24"/>
                <w:highlight w:val="none"/>
                <w:lang w:val="en-US" w:eastAsia="zh-CN"/>
              </w:rPr>
              <w:t>在车间内无组织排放</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大气污染物均可达标排放，</w:t>
            </w:r>
            <w:r>
              <w:rPr>
                <w:rFonts w:hint="default" w:ascii="Times New Roman" w:hAnsi="Times New Roman" w:eastAsia="宋体" w:cs="Times New Roman"/>
                <w:color w:val="auto"/>
                <w:kern w:val="2"/>
                <w:sz w:val="24"/>
                <w:szCs w:val="24"/>
                <w:highlight w:val="none"/>
                <w:lang w:val="en-US" w:eastAsia="zh-CN" w:bidi="ar-SA"/>
              </w:rPr>
              <w:t>对周围环境影响较小。</w:t>
            </w:r>
          </w:p>
          <w:p w14:paraId="734BFCED">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②水环境质量底线</w:t>
            </w:r>
          </w:p>
          <w:p w14:paraId="26F126B1">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color w:val="auto"/>
              </w:rPr>
              <w:t>根据《宿州市202</w:t>
            </w:r>
            <w:r>
              <w:rPr>
                <w:rFonts w:hint="eastAsia"/>
                <w:color w:val="auto"/>
                <w:lang w:val="en-US" w:eastAsia="zh-CN"/>
              </w:rPr>
              <w:t>4</w:t>
            </w:r>
            <w:r>
              <w:rPr>
                <w:color w:val="auto"/>
              </w:rPr>
              <w:t>年环境质量报告》，</w:t>
            </w:r>
            <w:r>
              <w:rPr>
                <w:rFonts w:hint="default" w:ascii="Times New Roman" w:hAnsi="Times New Roman" w:eastAsia="宋体" w:cs="Times New Roman"/>
                <w:color w:val="auto"/>
                <w:kern w:val="2"/>
                <w:sz w:val="24"/>
                <w:szCs w:val="24"/>
                <w:highlight w:val="none"/>
                <w:lang w:val="en-US" w:eastAsia="zh-CN" w:bidi="ar-SA"/>
              </w:rPr>
              <w:t>本项目评价区域内地表水新濉河满足《地表水环境质量标准》（GB3838-2002）中</w:t>
            </w:r>
            <w:r>
              <w:rPr>
                <w:rFonts w:hint="default" w:ascii="Times New Roman" w:hAnsi="Times New Roman" w:eastAsia="微软雅黑" w:cs="Times New Roman"/>
                <w:color w:val="auto"/>
                <w:kern w:val="2"/>
                <w:sz w:val="24"/>
                <w:szCs w:val="24"/>
                <w:highlight w:val="none"/>
                <w:lang w:val="en-US" w:eastAsia="zh-CN" w:bidi="ar-SA"/>
              </w:rPr>
              <w:t>Ⅳ</w:t>
            </w:r>
            <w:r>
              <w:rPr>
                <w:rFonts w:hint="default" w:ascii="Times New Roman" w:hAnsi="Times New Roman" w:eastAsia="宋体" w:cs="Times New Roman"/>
                <w:color w:val="auto"/>
                <w:kern w:val="2"/>
                <w:sz w:val="24"/>
                <w:szCs w:val="24"/>
                <w:highlight w:val="none"/>
                <w:lang w:val="en-US" w:eastAsia="zh-CN" w:bidi="ar-SA"/>
              </w:rPr>
              <w:t>类标准要求。</w:t>
            </w:r>
          </w:p>
          <w:p w14:paraId="2C3D31D1">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本项目位于淮河流域，项目建设符合《安徽省淮河流域水污染防治条例》的要求。</w:t>
            </w:r>
            <w:r>
              <w:rPr>
                <w:rFonts w:hint="eastAsia" w:ascii="Times New Roman" w:hAnsi="Times New Roman" w:eastAsia="宋体" w:cs="Times New Roman"/>
                <w:color w:val="auto"/>
                <w:kern w:val="2"/>
                <w:sz w:val="24"/>
                <w:szCs w:val="24"/>
                <w:highlight w:val="none"/>
                <w:lang w:val="en-US" w:eastAsia="zh-CN" w:bidi="ar-SA"/>
              </w:rPr>
              <w:t>本项目为</w:t>
            </w:r>
            <w:r>
              <w:rPr>
                <w:rFonts w:hint="eastAsia" w:cs="Times New Roman"/>
                <w:color w:val="auto"/>
                <w:kern w:val="2"/>
                <w:sz w:val="24"/>
                <w:szCs w:val="24"/>
                <w:highlight w:val="none"/>
                <w:lang w:val="en-US" w:eastAsia="zh-CN" w:bidi="ar-SA"/>
              </w:rPr>
              <w:t>钨合金渔坠制造</w:t>
            </w:r>
            <w:r>
              <w:rPr>
                <w:rFonts w:hint="eastAsia" w:ascii="Times New Roman" w:hAnsi="Times New Roman" w:eastAsia="宋体" w:cs="Times New Roman"/>
                <w:color w:val="auto"/>
                <w:kern w:val="2"/>
                <w:sz w:val="24"/>
                <w:szCs w:val="24"/>
                <w:highlight w:val="none"/>
                <w:lang w:val="en-US" w:eastAsia="zh-CN" w:bidi="ar-SA"/>
              </w:rPr>
              <w:t>，项目采用雨污分流制，雨水经雨水管网排入周边沟渠；项目无生产废水排放，冷却水循环使用，不外排至环境水体中，只需定期补充损耗即可，生活污水经化粪池处理，定期清掏用作厂区周围农田施肥，不外排。</w:t>
            </w:r>
            <w:r>
              <w:rPr>
                <w:rFonts w:hint="default" w:ascii="Times New Roman" w:hAnsi="Times New Roman" w:eastAsia="宋体" w:cs="Times New Roman"/>
                <w:color w:val="auto"/>
                <w:kern w:val="2"/>
                <w:sz w:val="24"/>
                <w:szCs w:val="24"/>
                <w:highlight w:val="none"/>
                <w:lang w:val="en-US" w:eastAsia="zh-CN" w:bidi="ar-SA"/>
              </w:rPr>
              <w:t>对周围水环境影响较小。</w:t>
            </w:r>
          </w:p>
          <w:p w14:paraId="02100F95">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③土壤环境风险防控底线</w:t>
            </w:r>
          </w:p>
          <w:p w14:paraId="56FB0B99">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项目评价区域内土壤现状满足《土壤环境质量</w:t>
            </w:r>
            <w:r>
              <w:rPr>
                <w:rFonts w:hint="eastAsia" w:ascii="Times New Roman" w:hAnsi="Times New Roman" w:eastAsia="宋体" w:cs="Times New Roman"/>
                <w:color w:val="auto"/>
                <w:kern w:val="2"/>
                <w:sz w:val="24"/>
                <w:szCs w:val="24"/>
                <w:highlight w:val="none"/>
                <w:lang w:val="en-US" w:eastAsia="zh-CN" w:bidi="ar-SA"/>
              </w:rPr>
              <w:t xml:space="preserve"> </w:t>
            </w:r>
            <w:r>
              <w:rPr>
                <w:rFonts w:hint="default" w:ascii="Times New Roman" w:hAnsi="Times New Roman" w:eastAsia="宋体" w:cs="Times New Roman"/>
                <w:color w:val="auto"/>
                <w:kern w:val="2"/>
                <w:sz w:val="24"/>
                <w:szCs w:val="24"/>
                <w:highlight w:val="none"/>
                <w:lang w:val="en-US" w:eastAsia="zh-CN" w:bidi="ar-SA"/>
              </w:rPr>
              <w:t>建设用地土壤污染风险管控标准（试行）》（GB36600-2018）中第二类用地筛选值要求。</w:t>
            </w:r>
          </w:p>
          <w:p w14:paraId="2F503D7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项目建设不占用永久基本农田；项目对可能产生地下水、土壤影响的各项途径均进行有效预防，在确保各项防渗措施得以落实，并加强维护和厂区环境管理的前提下，可有效控制厂区内的废水污染物下渗现象，避免污染土壤，因此本项目不会对区域土壤环境产生明显影响。</w:t>
            </w:r>
          </w:p>
          <w:p w14:paraId="48EE1E0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bidi="ar-SA"/>
              </w:rPr>
              <w:t>综上所述，本项目在加强环境管理并落实本评价要求的各项环保措施的情况下，本项目废水、废气、固废均得到合理处置，符合环境质量底线要求。</w:t>
            </w:r>
          </w:p>
          <w:p w14:paraId="14A3680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（3）与资源利用上线相符性分析</w:t>
            </w:r>
          </w:p>
          <w:p w14:paraId="5D229FA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本项目给水来自</w:t>
            </w:r>
            <w:r>
              <w:rPr>
                <w:rFonts w:hint="default" w:ascii="Times New Roman" w:hAnsi="Times New Roman" w:eastAsia="宋体" w:cs="Times New Roman"/>
                <w:color w:val="auto"/>
                <w:sz w:val="24"/>
                <w:szCs w:val="24"/>
                <w:highlight w:val="none"/>
                <w:lang w:eastAsia="zh-CN"/>
              </w:rPr>
              <w:t>供水管网</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总用</w:t>
            </w:r>
            <w:r>
              <w:rPr>
                <w:rFonts w:hint="default" w:ascii="Times New Roman" w:hAnsi="Times New Roman" w:eastAsia="宋体" w:cs="Times New Roman"/>
                <w:color w:val="auto"/>
                <w:sz w:val="24"/>
                <w:szCs w:val="24"/>
                <w:highlight w:val="none"/>
              </w:rPr>
              <w:t>水量为</w:t>
            </w:r>
            <w:r>
              <w:rPr>
                <w:rFonts w:hint="eastAsia" w:cs="Times New Roman"/>
                <w:color w:val="auto"/>
                <w:sz w:val="24"/>
                <w:szCs w:val="24"/>
                <w:highlight w:val="none"/>
                <w:lang w:val="en-US" w:eastAsia="zh-CN"/>
              </w:rPr>
              <w:t>2445</w:t>
            </w:r>
            <w:r>
              <w:rPr>
                <w:rFonts w:hint="default" w:ascii="Times New Roman" w:hAnsi="Times New Roman" w:eastAsia="宋体" w:cs="Times New Roman"/>
                <w:color w:val="auto"/>
                <w:sz w:val="24"/>
                <w:szCs w:val="24"/>
                <w:highlight w:val="none"/>
              </w:rPr>
              <w:t>t/a，不会达到资源利用上线；项目用电由市政电网所供给，</w:t>
            </w:r>
            <w:r>
              <w:rPr>
                <w:rFonts w:hint="eastAsia" w:cs="Times New Roman"/>
                <w:color w:val="auto"/>
                <w:sz w:val="24"/>
                <w:szCs w:val="24"/>
                <w:highlight w:val="none"/>
                <w:lang w:val="en-US" w:eastAsia="zh-CN"/>
              </w:rPr>
              <w:t>总</w:t>
            </w:r>
            <w:r>
              <w:rPr>
                <w:rFonts w:hint="default" w:ascii="Times New Roman" w:hAnsi="Times New Roman" w:eastAsia="宋体" w:cs="Times New Roman"/>
                <w:color w:val="auto"/>
                <w:sz w:val="24"/>
                <w:szCs w:val="24"/>
                <w:highlight w:val="none"/>
              </w:rPr>
              <w:t>用电量为</w:t>
            </w:r>
            <w:r>
              <w:rPr>
                <w:rFonts w:hint="eastAsia" w:cs="Times New Roman"/>
                <w:color w:val="auto"/>
                <w:sz w:val="24"/>
                <w:szCs w:val="24"/>
                <w:highlight w:val="none"/>
                <w:lang w:val="en-US" w:eastAsia="zh-CN"/>
              </w:rPr>
              <w:t>120</w:t>
            </w:r>
            <w:r>
              <w:rPr>
                <w:rFonts w:hint="default" w:ascii="Times New Roman" w:hAnsi="Times New Roman" w:eastAsia="宋体" w:cs="Times New Roman"/>
                <w:color w:val="auto"/>
                <w:sz w:val="24"/>
                <w:szCs w:val="24"/>
                <w:highlight w:val="none"/>
              </w:rPr>
              <w:t>万kW·h/a，不会达到资源利用上线；项目用地符合当地土地规划要求，不会达到资源利用上线</w:t>
            </w:r>
            <w:r>
              <w:rPr>
                <w:rFonts w:hint="eastAsia" w:ascii="Times New Roman" w:hAnsi="Times New Roman" w:eastAsia="宋体" w:cs="Times New Roman"/>
                <w:color w:val="auto"/>
                <w:sz w:val="24"/>
                <w:szCs w:val="24"/>
                <w:highlight w:val="none"/>
                <w:lang w:eastAsia="zh-CN"/>
              </w:rPr>
              <w:t>。</w:t>
            </w:r>
          </w:p>
          <w:p w14:paraId="61D8B23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本项目成熟可靠的工艺技术，自动化控制手段，符合资源利用上线要求。</w:t>
            </w:r>
          </w:p>
          <w:p w14:paraId="69FEEE3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（4）与环境准入负面清单相符性分析</w:t>
            </w:r>
          </w:p>
          <w:p w14:paraId="0C114D5A">
            <w:pPr>
              <w:pStyle w:val="27"/>
              <w:keepNext w:val="0"/>
              <w:keepLines w:val="0"/>
              <w:pageBreakBefore w:val="0"/>
              <w:kinsoku/>
              <w:wordWrap/>
              <w:overflowPunct/>
              <w:topLinePunct w:val="0"/>
              <w:bidi w:val="0"/>
              <w:snapToGrid w:val="0"/>
              <w:spacing w:line="360" w:lineRule="auto"/>
              <w:ind w:leftChars="0" w:firstLine="480" w:firstLineChars="200"/>
              <w:rPr>
                <w:rFonts w:hint="eastAsia" w:ascii="宋体" w:hAnsi="宋体" w:eastAsia="宋体" w:cs="宋体"/>
                <w:b w:val="0"/>
                <w:bCs w:val="0"/>
                <w:color w:val="auto"/>
                <w:sz w:val="24"/>
                <w:szCs w:val="24"/>
                <w:lang w:val="en-US" w:eastAsia="zh-CN"/>
              </w:rPr>
            </w:pPr>
            <w:r>
              <w:rPr>
                <w:rFonts w:hint="default" w:ascii="Times New Roman" w:hAnsi="Times New Roman" w:eastAsia="宋体" w:cs="Times New Roman"/>
                <w:snapToGrid/>
                <w:color w:val="auto"/>
                <w:spacing w:val="0"/>
                <w:kern w:val="0"/>
                <w:position w:val="0"/>
                <w:sz w:val="24"/>
                <w:szCs w:val="24"/>
                <w:highlight w:val="none"/>
              </w:rPr>
              <w:t>本项目</w:t>
            </w:r>
            <w:r>
              <w:rPr>
                <w:rFonts w:hint="default" w:ascii="Times New Roman" w:hAnsi="Times New Roman" w:eastAsia="宋体" w:cs="Times New Roman"/>
                <w:snapToGrid/>
                <w:color w:val="auto"/>
                <w:spacing w:val="0"/>
                <w:kern w:val="0"/>
                <w:position w:val="0"/>
                <w:sz w:val="24"/>
                <w:szCs w:val="24"/>
                <w:highlight w:val="none"/>
                <w:lang w:eastAsia="zh-CN"/>
              </w:rPr>
              <w:t>位于</w:t>
            </w:r>
            <w:r>
              <w:rPr>
                <w:rFonts w:hint="eastAsia" w:cs="Times New Roman"/>
                <w:snapToGrid/>
                <w:color w:val="auto"/>
                <w:spacing w:val="0"/>
                <w:kern w:val="0"/>
                <w:position w:val="0"/>
                <w:sz w:val="24"/>
                <w:szCs w:val="24"/>
                <w:u w:val="none"/>
                <w:lang w:eastAsia="zh-CN"/>
              </w:rPr>
              <w:t>安徽省宿州市灵璧县尹集镇田路村</w:t>
            </w:r>
            <w:r>
              <w:rPr>
                <w:rFonts w:hint="default" w:ascii="Times New Roman" w:hAnsi="Times New Roman" w:eastAsia="宋体" w:cs="Times New Roman"/>
                <w:snapToGrid/>
                <w:color w:val="auto"/>
                <w:spacing w:val="0"/>
                <w:kern w:val="0"/>
                <w:position w:val="0"/>
                <w:sz w:val="24"/>
                <w:szCs w:val="24"/>
                <w:highlight w:val="none"/>
              </w:rPr>
              <w:t>，</w:t>
            </w:r>
            <w:r>
              <w:rPr>
                <w:rFonts w:hint="eastAsia" w:ascii="宋体" w:hAnsi="宋体" w:eastAsia="宋体" w:cs="宋体"/>
                <w:b w:val="0"/>
                <w:bCs w:val="0"/>
                <w:color w:val="auto"/>
                <w:sz w:val="24"/>
                <w:szCs w:val="24"/>
                <w:lang w:val="en-US" w:eastAsia="zh-CN"/>
              </w:rPr>
              <w:t>对照《宿州市“三线一单”生态环境准入清单》（宿州市生态环境局，二〇二</w:t>
            </w:r>
            <w:r>
              <w:rPr>
                <w:rFonts w:hint="eastAsia" w:ascii="宋体" w:hAnsi="宋体" w:cs="宋体"/>
                <w:b w:val="0"/>
                <w:bCs w:val="0"/>
                <w:color w:val="auto"/>
                <w:sz w:val="24"/>
                <w:szCs w:val="24"/>
                <w:lang w:val="en-US" w:eastAsia="zh-CN"/>
              </w:rPr>
              <w:t>三</w:t>
            </w:r>
            <w:r>
              <w:rPr>
                <w:rFonts w:hint="eastAsia" w:ascii="宋体" w:hAnsi="宋体" w:eastAsia="宋体" w:cs="宋体"/>
                <w:b w:val="0"/>
                <w:bCs w:val="0"/>
                <w:color w:val="auto"/>
                <w:sz w:val="24"/>
                <w:szCs w:val="24"/>
                <w:lang w:val="en-US" w:eastAsia="zh-CN"/>
              </w:rPr>
              <w:t>年十二月）附件</w:t>
            </w:r>
            <w:r>
              <w:rPr>
                <w:rFonts w:hint="default" w:ascii="Times New Roman" w:hAnsi="Times New Roman" w:eastAsia="宋体" w:cs="Times New Roman"/>
                <w:b w:val="0"/>
                <w:bCs w:val="0"/>
                <w:color w:val="auto"/>
                <w:sz w:val="24"/>
                <w:szCs w:val="24"/>
                <w:lang w:val="en-US" w:eastAsia="zh-CN"/>
              </w:rPr>
              <w:t>3</w:t>
            </w:r>
            <w:r>
              <w:rPr>
                <w:rFonts w:hint="eastAsia" w:ascii="宋体" w:hAnsi="宋体" w:eastAsia="宋体" w:cs="宋体"/>
                <w:b w:val="0"/>
                <w:bCs w:val="0"/>
                <w:color w:val="auto"/>
                <w:sz w:val="24"/>
                <w:szCs w:val="24"/>
                <w:lang w:val="en-US" w:eastAsia="zh-CN"/>
              </w:rPr>
              <w:t xml:space="preserve"> 宿州市生态环境准入清单，本项目不在风景名胜区、集中式饮用水水源保护区、自然保护区、湿地公园、森林公园、地质公园、水产种质资源保护区。世界文化遗产地（大运河宿州段）等优先保护单元内，不属于禁止开发建设活动及不符合空间布局要求活动的重点管控单元内。</w:t>
            </w:r>
          </w:p>
          <w:p w14:paraId="4DFEA757">
            <w:pPr>
              <w:pStyle w:val="27"/>
              <w:keepNext w:val="0"/>
              <w:keepLines w:val="0"/>
              <w:pageBreakBefore w:val="0"/>
              <w:kinsoku/>
              <w:wordWrap/>
              <w:overflowPunct/>
              <w:topLinePunct w:val="0"/>
              <w:bidi w:val="0"/>
              <w:snapToGrid w:val="0"/>
              <w:spacing w:line="360" w:lineRule="auto"/>
              <w:ind w:leftChars="0" w:firstLine="480" w:firstLineChars="200"/>
              <w:rPr>
                <w:rFonts w:hint="eastAsia" w:ascii="宋体" w:hAnsi="宋体" w:eastAsia="宋体" w:cs="宋体"/>
                <w:snapToGrid/>
                <w:color w:val="auto"/>
                <w:spacing w:val="0"/>
                <w:kern w:val="0"/>
                <w:position w:val="0"/>
                <w:sz w:val="24"/>
                <w:szCs w:val="24"/>
              </w:rPr>
            </w:pPr>
            <w:r>
              <w:rPr>
                <w:rFonts w:hint="eastAsia" w:ascii="宋体" w:hAnsi="宋体" w:eastAsia="宋体" w:cs="宋体"/>
                <w:b w:val="0"/>
                <w:bCs w:val="0"/>
                <w:color w:val="auto"/>
                <w:sz w:val="24"/>
                <w:szCs w:val="24"/>
                <w:lang w:val="en-US" w:eastAsia="zh-CN"/>
              </w:rPr>
              <w:t>综上，本项目建设符合“三线一单”要求</w:t>
            </w:r>
            <w:r>
              <w:rPr>
                <w:rFonts w:hint="eastAsia" w:ascii="宋体" w:hAnsi="宋体" w:cs="宋体"/>
                <w:b w:val="0"/>
                <w:bCs w:val="0"/>
                <w:color w:val="auto"/>
                <w:sz w:val="24"/>
                <w:szCs w:val="24"/>
                <w:lang w:val="en-US" w:eastAsia="zh-CN"/>
              </w:rPr>
              <w:t>。</w:t>
            </w:r>
          </w:p>
          <w:p w14:paraId="0AF6470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b w:val="0"/>
                <w:bCs w:val="0"/>
                <w:color w:val="auto"/>
              </w:rPr>
            </w:pPr>
            <w:r>
              <w:rPr>
                <w:rFonts w:hint="eastAsia" w:ascii="宋体" w:hAnsi="宋体" w:eastAsia="宋体" w:cs="宋体"/>
                <w:b w:val="0"/>
                <w:bCs w:val="0"/>
                <w:color w:val="auto"/>
                <w:kern w:val="0"/>
                <w:sz w:val="24"/>
                <w:szCs w:val="24"/>
                <w:lang w:val="en-US" w:eastAsia="zh-CN" w:bidi="ar"/>
              </w:rPr>
              <w:t>(</w:t>
            </w:r>
            <w:r>
              <w:rPr>
                <w:rFonts w:hint="default" w:ascii="Times New Roman" w:hAnsi="Times New Roman" w:eastAsia="宋体" w:cs="Times New Roman"/>
                <w:b w:val="0"/>
                <w:bCs w:val="0"/>
                <w:color w:val="auto"/>
                <w:kern w:val="0"/>
                <w:sz w:val="24"/>
                <w:szCs w:val="24"/>
                <w:lang w:val="en-US" w:eastAsia="zh-CN" w:bidi="ar"/>
              </w:rPr>
              <w:t>5</w:t>
            </w:r>
            <w:r>
              <w:rPr>
                <w:rFonts w:hint="eastAsia" w:ascii="宋体" w:hAnsi="宋体" w:eastAsia="宋体" w:cs="宋体"/>
                <w:b w:val="0"/>
                <w:bCs w:val="0"/>
                <w:color w:val="auto"/>
                <w:kern w:val="0"/>
                <w:sz w:val="24"/>
                <w:szCs w:val="24"/>
                <w:lang w:val="en-US" w:eastAsia="zh-CN" w:bidi="ar"/>
              </w:rPr>
              <w:t>)</w:t>
            </w:r>
            <w:r>
              <w:rPr>
                <w:rFonts w:hint="default" w:ascii="Times New Roman" w:hAnsi="Times New Roman" w:eastAsia="宋体" w:cs="Times New Roman"/>
                <w:b w:val="0"/>
                <w:bCs w:val="0"/>
                <w:color w:val="auto"/>
                <w:kern w:val="0"/>
                <w:sz w:val="24"/>
                <w:szCs w:val="24"/>
                <w:lang w:val="en-US" w:eastAsia="zh-CN" w:bidi="ar"/>
              </w:rPr>
              <w:t>生态环境分区管控相符性分析</w:t>
            </w:r>
          </w:p>
          <w:p w14:paraId="766347E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根据《宿州</w:t>
            </w:r>
            <w:r>
              <w:rPr>
                <w:rFonts w:hint="eastAsia" w:ascii="宋体" w:hAnsi="宋体" w:eastAsia="宋体" w:cs="宋体"/>
                <w:color w:val="auto"/>
                <w:sz w:val="24"/>
              </w:rPr>
              <w:t>市“三线一单”》</w:t>
            </w:r>
            <w:r>
              <w:rPr>
                <w:rFonts w:hint="default" w:ascii="Times New Roman" w:hAnsi="Times New Roman" w:cs="Times New Roman"/>
                <w:color w:val="auto"/>
                <w:sz w:val="24"/>
              </w:rPr>
              <w:t>，宿州市共划定重点管控单元22个，面积为1641.71平方公里，占全市国土面积的16.52%，一般管控单元5个，面积为7225.23平方公里，占全市国土面积的72.7%。本项目位于宿州市</w:t>
            </w:r>
            <w:r>
              <w:rPr>
                <w:rFonts w:hint="eastAsia" w:ascii="宋体" w:hAnsi="宋体" w:eastAsia="宋体" w:cs="宋体"/>
                <w:color w:val="auto"/>
                <w:sz w:val="24"/>
              </w:rPr>
              <w:t>“三线一单”</w:t>
            </w:r>
            <w:r>
              <w:rPr>
                <w:rFonts w:hint="default" w:ascii="Times New Roman" w:hAnsi="Times New Roman" w:cs="Times New Roman"/>
                <w:color w:val="auto"/>
                <w:sz w:val="24"/>
              </w:rPr>
              <w:t>生态环境分区管控的</w:t>
            </w:r>
            <w:r>
              <w:rPr>
                <w:rFonts w:hint="eastAsia" w:cs="Times New Roman"/>
                <w:color w:val="auto"/>
                <w:sz w:val="24"/>
                <w:lang w:val="en-US" w:eastAsia="zh-CN"/>
              </w:rPr>
              <w:t>重点</w:t>
            </w:r>
            <w:r>
              <w:rPr>
                <w:rFonts w:hint="default" w:ascii="Times New Roman" w:hAnsi="Times New Roman" w:cs="Times New Roman"/>
                <w:color w:val="auto"/>
                <w:sz w:val="24"/>
              </w:rPr>
              <w:t>管控单元内（环境管控单元编码：ZH3413</w:t>
            </w:r>
            <w:r>
              <w:rPr>
                <w:rFonts w:hint="eastAsia" w:cs="Times New Roman"/>
                <w:color w:val="auto"/>
                <w:sz w:val="24"/>
                <w:lang w:val="en-US" w:eastAsia="zh-CN"/>
              </w:rPr>
              <w:t>2320017</w:t>
            </w:r>
            <w:r>
              <w:rPr>
                <w:rFonts w:hint="default" w:ascii="Times New Roman" w:hAnsi="Times New Roman" w:cs="Times New Roman"/>
                <w:color w:val="auto"/>
                <w:sz w:val="24"/>
              </w:rPr>
              <w:t>）</w:t>
            </w:r>
            <w:r>
              <w:rPr>
                <w:rFonts w:hint="eastAsia" w:cs="Times New Roman"/>
                <w:color w:val="auto"/>
                <w:sz w:val="24"/>
                <w:lang w:eastAsia="zh-CN"/>
              </w:rPr>
              <w:t>，</w:t>
            </w:r>
            <w:r>
              <w:rPr>
                <w:rFonts w:hint="eastAsia" w:ascii="宋体" w:hAnsi="宋体" w:eastAsia="宋体" w:cs="宋体"/>
                <w:color w:val="auto"/>
                <w:kern w:val="0"/>
                <w:sz w:val="24"/>
                <w:szCs w:val="24"/>
                <w:lang w:val="en-US" w:eastAsia="zh-CN" w:bidi="ar"/>
              </w:rPr>
              <w:t>对照</w:t>
            </w:r>
            <w:r>
              <w:rPr>
                <w:rFonts w:hint="eastAsia" w:ascii="宋体" w:hAnsi="宋体" w:cs="宋体"/>
                <w:color w:val="auto"/>
                <w:kern w:val="0"/>
                <w:sz w:val="24"/>
                <w:szCs w:val="24"/>
                <w:lang w:val="en-US" w:eastAsia="zh-CN" w:bidi="ar"/>
              </w:rPr>
              <w:t>宿州</w:t>
            </w:r>
            <w:r>
              <w:rPr>
                <w:rFonts w:hint="eastAsia" w:ascii="宋体" w:hAnsi="宋体" w:eastAsia="宋体" w:cs="宋体"/>
                <w:color w:val="auto"/>
                <w:kern w:val="0"/>
                <w:sz w:val="24"/>
                <w:szCs w:val="24"/>
                <w:lang w:val="en-US" w:eastAsia="zh-CN" w:bidi="ar"/>
              </w:rPr>
              <w:t>市大气环境分区管控图，项目在受体敏感重点管控区内</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对照</w:t>
            </w:r>
            <w:r>
              <w:rPr>
                <w:rFonts w:hint="eastAsia" w:ascii="宋体" w:hAnsi="宋体" w:cs="宋体"/>
                <w:color w:val="auto"/>
                <w:kern w:val="0"/>
                <w:sz w:val="24"/>
                <w:szCs w:val="24"/>
                <w:lang w:val="en-US" w:eastAsia="zh-CN" w:bidi="ar"/>
              </w:rPr>
              <w:t>宿州</w:t>
            </w:r>
            <w:r>
              <w:rPr>
                <w:rFonts w:hint="eastAsia" w:ascii="宋体" w:hAnsi="宋体" w:eastAsia="宋体" w:cs="宋体"/>
                <w:color w:val="auto"/>
                <w:kern w:val="0"/>
                <w:sz w:val="24"/>
                <w:szCs w:val="24"/>
                <w:lang w:val="en-US" w:eastAsia="zh-CN" w:bidi="ar"/>
              </w:rPr>
              <w:t>市水环境分区管控图，项目在工业污染重点管控区内，对照</w:t>
            </w:r>
            <w:r>
              <w:rPr>
                <w:rFonts w:hint="eastAsia" w:ascii="宋体" w:hAnsi="宋体" w:cs="宋体"/>
                <w:color w:val="auto"/>
                <w:kern w:val="0"/>
                <w:sz w:val="24"/>
                <w:szCs w:val="24"/>
                <w:lang w:val="en-US" w:eastAsia="zh-CN" w:bidi="ar"/>
              </w:rPr>
              <w:t>宿州</w:t>
            </w:r>
            <w:r>
              <w:rPr>
                <w:rFonts w:hint="eastAsia" w:ascii="宋体" w:hAnsi="宋体" w:eastAsia="宋体" w:cs="宋体"/>
                <w:color w:val="auto"/>
                <w:kern w:val="0"/>
                <w:sz w:val="24"/>
                <w:szCs w:val="24"/>
                <w:lang w:val="en-US" w:eastAsia="zh-CN" w:bidi="ar"/>
              </w:rPr>
              <w:t>市土壤污染风险分区管控图，项目位于一般防控区内</w:t>
            </w:r>
            <w:r>
              <w:rPr>
                <w:rFonts w:hint="eastAsia" w:eastAsia="宋体" w:cs="Times New Roman"/>
                <w:color w:val="auto"/>
                <w:sz w:val="24"/>
                <w:lang w:eastAsia="zh-CN"/>
              </w:rPr>
              <w:t>，</w:t>
            </w:r>
            <w:r>
              <w:rPr>
                <w:rFonts w:hint="default" w:ascii="Times New Roman" w:hAnsi="Times New Roman" w:cs="Times New Roman"/>
                <w:color w:val="auto"/>
                <w:sz w:val="24"/>
              </w:rPr>
              <w:t>详见下图。与宿州市分区管控要求分析内容见</w:t>
            </w:r>
            <w:r>
              <w:rPr>
                <w:rFonts w:hint="eastAsia" w:ascii="Times New Roman" w:hAnsi="Times New Roman" w:cs="Times New Roman"/>
                <w:color w:val="auto"/>
                <w:sz w:val="24"/>
                <w:lang w:eastAsia="zh-CN"/>
              </w:rPr>
              <w:t>表</w:t>
            </w:r>
            <w:r>
              <w:rPr>
                <w:rFonts w:hint="eastAsia" w:ascii="Times New Roman" w:hAnsi="Times New Roman" w:cs="Times New Roman"/>
                <w:color w:val="auto"/>
                <w:sz w:val="24"/>
                <w:lang w:val="en-US" w:eastAsia="zh-CN"/>
              </w:rPr>
              <w:t>1.</w:t>
            </w:r>
            <w:r>
              <w:rPr>
                <w:rFonts w:hint="eastAsia" w:cs="Times New Roman"/>
                <w:color w:val="auto"/>
                <w:sz w:val="24"/>
                <w:lang w:val="en-US" w:eastAsia="zh-CN"/>
              </w:rPr>
              <w:t>1</w:t>
            </w:r>
            <w:r>
              <w:rPr>
                <w:rFonts w:hint="default" w:ascii="Times New Roman" w:hAnsi="Times New Roman" w:cs="Times New Roman"/>
                <w:color w:val="auto"/>
                <w:sz w:val="24"/>
              </w:rPr>
              <w:t>。</w:t>
            </w:r>
          </w:p>
          <w:p w14:paraId="00D9137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eastAsia="宋体"/>
                <w:color w:val="auto"/>
                <w:sz w:val="24"/>
                <w:szCs w:val="24"/>
                <w:highlight w:val="none"/>
                <w:lang w:val="en-US" w:eastAsia="zh-CN"/>
              </w:rPr>
            </w:pPr>
            <w:r>
              <w:rPr>
                <w:color w:val="auto"/>
                <w:sz w:val="24"/>
              </w:rPr>
              <mc:AlternateContent>
                <mc:Choice Requires="wps">
                  <w:drawing>
                    <wp:anchor distT="0" distB="0" distL="114300" distR="114300" simplePos="0" relativeHeight="251659264" behindDoc="0" locked="0" layoutInCell="1" allowOverlap="1">
                      <wp:simplePos x="0" y="0"/>
                      <wp:positionH relativeFrom="column">
                        <wp:posOffset>1675765</wp:posOffset>
                      </wp:positionH>
                      <wp:positionV relativeFrom="paragraph">
                        <wp:posOffset>124460</wp:posOffset>
                      </wp:positionV>
                      <wp:extent cx="934085" cy="333375"/>
                      <wp:effectExtent l="6350" t="6350" r="659765" b="346075"/>
                      <wp:wrapNone/>
                      <wp:docPr id="4" name="矩形标注 4"/>
                      <wp:cNvGraphicFramePr/>
                      <a:graphic xmlns:a="http://schemas.openxmlformats.org/drawingml/2006/main">
                        <a:graphicData uri="http://schemas.microsoft.com/office/word/2010/wordprocessingShape">
                          <wps:wsp>
                            <wps:cNvSpPr/>
                            <wps:spPr>
                              <a:xfrm>
                                <a:off x="2604135" y="4533265"/>
                                <a:ext cx="934085" cy="333375"/>
                              </a:xfrm>
                              <a:prstGeom prst="wedgeRectCallout">
                                <a:avLst>
                                  <a:gd name="adj1" fmla="val 113766"/>
                                  <a:gd name="adj2" fmla="val 142571"/>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5125B8E">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项目所在地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131.95pt;margin-top:9.8pt;height:26.25pt;width:73.55pt;z-index:251659264;v-text-anchor:middle;mso-width-relative:page;mso-height-relative:page;" fillcolor="#FFFFFF [3212]" filled="t" stroked="t" coordsize="21600,21600" o:gfxdata="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BvxtGM2AAAAAkBAAAPAAAAAAAAAAEAIAAA&#10;ACIAAABkcnMvZG93bnJldi54bWxQSwECFAAUAAAACACHTuJASlvaRbcCAABvBQAADgAAAAAAAAAB&#10;ACAAAAAnAQAAZHJzL2Uyb0RvYy54bWxQSwUGAAAAAAYABgBZAQAAUAYAAAAA&#10;" adj="35373,41595">
                      <v:fill on="t" focussize="0,0"/>
                      <v:stroke weight="1pt" color="#000000 [3213]" miterlimit="8" joinstyle="miter"/>
                      <v:imagedata o:title=""/>
                      <o:lock v:ext="edit" aspectratio="f"/>
                      <v:textbox>
                        <w:txbxContent>
                          <w:p w14:paraId="55125B8E">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项目所在地</w:t>
                            </w:r>
                          </w:p>
                        </w:txbxContent>
                      </v:textbox>
                    </v:shape>
                  </w:pict>
                </mc:Fallback>
              </mc:AlternateContent>
            </w:r>
            <w:r>
              <w:rPr>
                <w:color w:val="auto"/>
              </w:rPr>
              <w:drawing>
                <wp:inline distT="0" distB="0" distL="114300" distR="114300">
                  <wp:extent cx="5195570" cy="2526030"/>
                  <wp:effectExtent l="0" t="0" r="5080" b="762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6"/>
                          <a:stretch>
                            <a:fillRect/>
                          </a:stretch>
                        </pic:blipFill>
                        <pic:spPr>
                          <a:xfrm>
                            <a:off x="0" y="0"/>
                            <a:ext cx="5195570" cy="2526030"/>
                          </a:xfrm>
                          <a:prstGeom prst="rect">
                            <a:avLst/>
                          </a:prstGeom>
                          <a:noFill/>
                          <a:ln>
                            <a:noFill/>
                          </a:ln>
                        </pic:spPr>
                      </pic:pic>
                    </a:graphicData>
                  </a:graphic>
                </wp:inline>
              </w:drawing>
            </w:r>
          </w:p>
          <w:p w14:paraId="3A557803">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宋体" w:hAnsi="宋体" w:cs="宋体"/>
                <w:snapToGrid/>
                <w:color w:val="auto"/>
                <w:spacing w:val="0"/>
                <w:kern w:val="0"/>
                <w:position w:val="0"/>
                <w:sz w:val="24"/>
                <w:szCs w:val="24"/>
                <w:highlight w:val="none"/>
                <w:lang w:val="en-US" w:eastAsia="zh-CN"/>
              </w:rPr>
            </w:pPr>
            <w:r>
              <w:rPr>
                <w:rFonts w:hint="eastAsia" w:ascii="宋体" w:hAnsi="宋体" w:cs="宋体"/>
                <w:b/>
                <w:bCs/>
                <w:snapToGrid/>
                <w:color w:val="auto"/>
                <w:spacing w:val="0"/>
                <w:kern w:val="0"/>
                <w:position w:val="0"/>
                <w:sz w:val="24"/>
                <w:szCs w:val="24"/>
                <w:highlight w:val="none"/>
                <w:lang w:val="en-US" w:eastAsia="zh-CN"/>
              </w:rPr>
              <w:t xml:space="preserve">图1.1 </w:t>
            </w:r>
            <w:r>
              <w:rPr>
                <w:rFonts w:hint="default" w:ascii="Times New Roman" w:hAnsi="Times New Roman" w:eastAsia="宋体" w:cs="Times New Roman"/>
                <w:b/>
                <w:bCs/>
                <w:color w:val="auto"/>
                <w:kern w:val="0"/>
                <w:sz w:val="24"/>
                <w:szCs w:val="24"/>
                <w:lang w:val="en-US" w:eastAsia="zh-CN" w:bidi="ar"/>
              </w:rPr>
              <w:t>管控单元位置示意图</w:t>
            </w:r>
          </w:p>
          <w:p w14:paraId="3ADED28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color w:val="auto"/>
              </w:rPr>
            </w:pPr>
            <w:r>
              <w:rPr>
                <w:rFonts w:hint="eastAsia" w:ascii="宋体" w:hAnsi="宋体" w:eastAsia="宋体" w:cs="宋体"/>
                <w:b/>
                <w:bCs/>
                <w:color w:val="auto"/>
                <w:kern w:val="0"/>
                <w:sz w:val="24"/>
                <w:szCs w:val="24"/>
                <w:lang w:val="en-US" w:eastAsia="zh-CN" w:bidi="ar"/>
              </w:rPr>
              <w:t>表</w:t>
            </w:r>
            <w:r>
              <w:rPr>
                <w:rFonts w:hint="default" w:ascii="Times New Roman" w:hAnsi="Times New Roman" w:eastAsia="宋体" w:cs="Times New Roman"/>
                <w:b/>
                <w:bCs/>
                <w:color w:val="auto"/>
                <w:kern w:val="0"/>
                <w:sz w:val="24"/>
                <w:szCs w:val="24"/>
                <w:lang w:val="en-US" w:eastAsia="zh-CN" w:bidi="ar"/>
              </w:rPr>
              <w:t>1</w:t>
            </w:r>
            <w:r>
              <w:rPr>
                <w:rFonts w:hint="eastAsia" w:ascii="Times New Roman" w:hAnsi="Times New Roman" w:eastAsia="宋体" w:cs="Times New Roman"/>
                <w:b/>
                <w:bCs/>
                <w:color w:val="auto"/>
                <w:kern w:val="0"/>
                <w:sz w:val="24"/>
                <w:szCs w:val="24"/>
                <w:lang w:val="en-US" w:eastAsia="zh-CN" w:bidi="ar"/>
              </w:rPr>
              <w:t>.</w:t>
            </w:r>
            <w:r>
              <w:rPr>
                <w:rFonts w:hint="eastAsia" w:cs="Times New Roman"/>
                <w:b/>
                <w:bCs/>
                <w:color w:val="auto"/>
                <w:kern w:val="0"/>
                <w:sz w:val="24"/>
                <w:szCs w:val="24"/>
                <w:lang w:val="en-US" w:eastAsia="zh-CN" w:bidi="ar"/>
              </w:rPr>
              <w:t>1</w:t>
            </w:r>
            <w:r>
              <w:rPr>
                <w:rFonts w:hint="eastAsia" w:ascii="Times New Roman" w:hAnsi="Times New Roman" w:eastAsia="宋体" w:cs="Times New Roman"/>
                <w:b/>
                <w:bCs/>
                <w:color w:val="auto"/>
                <w:kern w:val="0"/>
                <w:sz w:val="24"/>
                <w:szCs w:val="24"/>
                <w:lang w:val="en-US" w:eastAsia="zh-CN" w:bidi="ar"/>
              </w:rPr>
              <w:t xml:space="preserve"> </w:t>
            </w:r>
            <w:r>
              <w:rPr>
                <w:rFonts w:hint="eastAsia" w:ascii="宋体" w:hAnsi="宋体" w:eastAsia="宋体" w:cs="宋体"/>
                <w:b/>
                <w:bCs/>
                <w:color w:val="auto"/>
                <w:kern w:val="0"/>
                <w:sz w:val="24"/>
                <w:szCs w:val="24"/>
                <w:lang w:val="en-US" w:eastAsia="zh-CN" w:bidi="ar"/>
              </w:rPr>
              <w:t>本项目涉及“三线一单”管控单元及管控要求</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3"/>
              <w:gridCol w:w="888"/>
              <w:gridCol w:w="5364"/>
              <w:gridCol w:w="731"/>
            </w:tblGrid>
            <w:tr w14:paraId="4DBD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 w:type="pct"/>
                  <w:vAlign w:val="center"/>
                </w:tcPr>
                <w:p w14:paraId="5F5EFA2F">
                  <w:pPr>
                    <w:pStyle w:val="27"/>
                    <w:snapToGrid/>
                    <w:spacing w:line="240" w:lineRule="auto"/>
                    <w:ind w:firstLine="0" w:firstLineChars="0"/>
                    <w:jc w:val="center"/>
                    <w:rPr>
                      <w:color w:val="auto"/>
                      <w:sz w:val="21"/>
                      <w:szCs w:val="21"/>
                    </w:rPr>
                  </w:pPr>
                  <w:r>
                    <w:rPr>
                      <w:color w:val="auto"/>
                      <w:sz w:val="21"/>
                      <w:szCs w:val="21"/>
                    </w:rPr>
                    <w:t>序号</w:t>
                  </w:r>
                </w:p>
              </w:tc>
              <w:tc>
                <w:tcPr>
                  <w:tcW w:w="516" w:type="pct"/>
                  <w:vAlign w:val="center"/>
                </w:tcPr>
                <w:p w14:paraId="4E49B6A5">
                  <w:pPr>
                    <w:pStyle w:val="27"/>
                    <w:snapToGrid/>
                    <w:spacing w:line="240" w:lineRule="auto"/>
                    <w:ind w:firstLine="0" w:firstLineChars="0"/>
                    <w:jc w:val="center"/>
                    <w:rPr>
                      <w:color w:val="auto"/>
                      <w:sz w:val="21"/>
                      <w:szCs w:val="21"/>
                    </w:rPr>
                  </w:pPr>
                  <w:r>
                    <w:rPr>
                      <w:color w:val="auto"/>
                      <w:sz w:val="21"/>
                      <w:szCs w:val="21"/>
                    </w:rPr>
                    <w:t>管控名称</w:t>
                  </w:r>
                </w:p>
              </w:tc>
              <w:tc>
                <w:tcPr>
                  <w:tcW w:w="3785" w:type="pct"/>
                  <w:gridSpan w:val="2"/>
                  <w:vAlign w:val="center"/>
                </w:tcPr>
                <w:p w14:paraId="52C24A82">
                  <w:pPr>
                    <w:pStyle w:val="27"/>
                    <w:snapToGrid/>
                    <w:spacing w:line="240" w:lineRule="auto"/>
                    <w:ind w:firstLine="0" w:firstLineChars="0"/>
                    <w:jc w:val="center"/>
                    <w:rPr>
                      <w:color w:val="auto"/>
                      <w:sz w:val="21"/>
                      <w:szCs w:val="21"/>
                    </w:rPr>
                  </w:pPr>
                  <w:r>
                    <w:rPr>
                      <w:color w:val="auto"/>
                      <w:sz w:val="21"/>
                      <w:szCs w:val="21"/>
                    </w:rPr>
                    <w:t>管控要求</w:t>
                  </w:r>
                </w:p>
              </w:tc>
              <w:tc>
                <w:tcPr>
                  <w:tcW w:w="443" w:type="pct"/>
                  <w:vAlign w:val="center"/>
                </w:tcPr>
                <w:p w14:paraId="51055AAB">
                  <w:pPr>
                    <w:pStyle w:val="27"/>
                    <w:snapToGrid/>
                    <w:spacing w:line="240" w:lineRule="auto"/>
                    <w:ind w:firstLine="0" w:firstLineChars="0"/>
                    <w:jc w:val="center"/>
                    <w:rPr>
                      <w:color w:val="auto"/>
                      <w:sz w:val="21"/>
                      <w:szCs w:val="21"/>
                    </w:rPr>
                  </w:pPr>
                  <w:r>
                    <w:rPr>
                      <w:color w:val="auto"/>
                      <w:sz w:val="21"/>
                      <w:szCs w:val="21"/>
                    </w:rPr>
                    <w:t>相符性分析</w:t>
                  </w:r>
                </w:p>
              </w:tc>
            </w:tr>
            <w:tr w14:paraId="134C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 w:type="pct"/>
                  <w:vAlign w:val="center"/>
                </w:tcPr>
                <w:p w14:paraId="5559055D">
                  <w:pPr>
                    <w:pStyle w:val="27"/>
                    <w:snapToGrid/>
                    <w:spacing w:line="240" w:lineRule="auto"/>
                    <w:ind w:firstLine="0" w:firstLineChars="0"/>
                    <w:jc w:val="center"/>
                    <w:rPr>
                      <w:color w:val="auto"/>
                      <w:sz w:val="21"/>
                      <w:szCs w:val="21"/>
                    </w:rPr>
                  </w:pPr>
                  <w:r>
                    <w:rPr>
                      <w:color w:val="auto"/>
                      <w:sz w:val="21"/>
                      <w:szCs w:val="21"/>
                    </w:rPr>
                    <w:t>1</w:t>
                  </w:r>
                </w:p>
              </w:tc>
              <w:tc>
                <w:tcPr>
                  <w:tcW w:w="516" w:type="pct"/>
                  <w:vMerge w:val="restart"/>
                  <w:vAlign w:val="center"/>
                </w:tcPr>
                <w:p w14:paraId="25B86D42">
                  <w:pPr>
                    <w:pStyle w:val="27"/>
                    <w:snapToGrid/>
                    <w:spacing w:line="240" w:lineRule="auto"/>
                    <w:ind w:firstLine="0" w:firstLineChars="0"/>
                    <w:jc w:val="center"/>
                    <w:rPr>
                      <w:color w:val="auto"/>
                      <w:sz w:val="21"/>
                      <w:szCs w:val="21"/>
                    </w:rPr>
                  </w:pPr>
                  <w:r>
                    <w:rPr>
                      <w:rFonts w:hint="eastAsia"/>
                      <w:color w:val="auto"/>
                      <w:sz w:val="21"/>
                      <w:szCs w:val="21"/>
                      <w:lang w:val="en-US" w:eastAsia="zh-CN"/>
                    </w:rPr>
                    <w:t>重点</w:t>
                  </w:r>
                  <w:r>
                    <w:rPr>
                      <w:color w:val="auto"/>
                      <w:sz w:val="21"/>
                      <w:szCs w:val="21"/>
                    </w:rPr>
                    <w:t>管控单元</w:t>
                  </w:r>
                </w:p>
              </w:tc>
              <w:tc>
                <w:tcPr>
                  <w:tcW w:w="538" w:type="pct"/>
                  <w:vAlign w:val="center"/>
                </w:tcPr>
                <w:p w14:paraId="516782F4">
                  <w:pPr>
                    <w:widowControl/>
                    <w:jc w:val="left"/>
                    <w:rPr>
                      <w:color w:val="auto"/>
                      <w:sz w:val="21"/>
                      <w:szCs w:val="21"/>
                    </w:rPr>
                  </w:pPr>
                  <w:r>
                    <w:rPr>
                      <w:color w:val="auto"/>
                      <w:sz w:val="21"/>
                      <w:szCs w:val="21"/>
                    </w:rPr>
                    <w:t>空间布局约束</w:t>
                  </w:r>
                </w:p>
              </w:tc>
              <w:tc>
                <w:tcPr>
                  <w:tcW w:w="3247" w:type="pct"/>
                  <w:vAlign w:val="center"/>
                </w:tcPr>
                <w:p w14:paraId="5A6B6494">
                  <w:pPr>
                    <w:widowControl/>
                    <w:jc w:val="left"/>
                    <w:rPr>
                      <w:rFonts w:hint="eastAsia"/>
                      <w:color w:val="auto"/>
                      <w:sz w:val="21"/>
                      <w:szCs w:val="21"/>
                    </w:rPr>
                  </w:pPr>
                  <w:r>
                    <w:rPr>
                      <w:rFonts w:hint="eastAsia"/>
                      <w:color w:val="auto"/>
                      <w:sz w:val="21"/>
                      <w:szCs w:val="21"/>
                    </w:rPr>
                    <w:t>1严格城市规划蓝线管理，城市规划区范围内应保留一定比例的水域面积，现有水域面积不得减少。新建项目一律不得违规占用水域。</w:t>
                  </w:r>
                </w:p>
                <w:p w14:paraId="6484E9CD">
                  <w:pPr>
                    <w:widowControl/>
                    <w:jc w:val="left"/>
                    <w:rPr>
                      <w:rFonts w:hint="eastAsia"/>
                      <w:color w:val="auto"/>
                      <w:sz w:val="21"/>
                      <w:szCs w:val="21"/>
                    </w:rPr>
                  </w:pPr>
                  <w:r>
                    <w:rPr>
                      <w:rFonts w:hint="eastAsia"/>
                      <w:color w:val="auto"/>
                      <w:sz w:val="21"/>
                      <w:szCs w:val="21"/>
                    </w:rPr>
                    <w:t>2坚持以水定城、以水定地、以水定人、以水定产，严格控制缺水地区、水污染严重地区和敏感区域高耗水、高污染行业发展，鼓励推动高耗水企业向水资源条件允许的工业园区集中。</w:t>
                  </w:r>
                </w:p>
                <w:p w14:paraId="4F41CCA8">
                  <w:pPr>
                    <w:widowControl/>
                    <w:jc w:val="left"/>
                    <w:rPr>
                      <w:rFonts w:hint="eastAsia"/>
                      <w:color w:val="auto"/>
                      <w:sz w:val="21"/>
                      <w:szCs w:val="21"/>
                    </w:rPr>
                  </w:pPr>
                  <w:r>
                    <w:rPr>
                      <w:rFonts w:hint="eastAsia"/>
                      <w:color w:val="auto"/>
                      <w:sz w:val="21"/>
                      <w:szCs w:val="21"/>
                    </w:rPr>
                    <w:t>3引导石化、化工、钢铁、建材、有色金属等重点行业合理布局，提高化工、有色金属、农副食品加工、印染、制革、原料药制造、电镀等行业集聚水平。</w:t>
                  </w:r>
                </w:p>
                <w:p w14:paraId="36C686DD">
                  <w:pPr>
                    <w:widowControl/>
                    <w:jc w:val="left"/>
                    <w:rPr>
                      <w:rFonts w:hint="eastAsia"/>
                      <w:color w:val="auto"/>
                      <w:sz w:val="21"/>
                      <w:szCs w:val="21"/>
                    </w:rPr>
                  </w:pPr>
                  <w:r>
                    <w:rPr>
                      <w:rFonts w:hint="eastAsia"/>
                      <w:color w:val="auto"/>
                      <w:sz w:val="21"/>
                      <w:szCs w:val="21"/>
                    </w:rPr>
                    <w:t>4严格控制缺水地区、水污染严重地区和敏感区域高耗水、高污染行业发展，鼓励推动高耗水企业向水资源条件允许的工业园区集中。</w:t>
                  </w:r>
                </w:p>
                <w:p w14:paraId="6C5C37CE">
                  <w:pPr>
                    <w:widowControl/>
                    <w:jc w:val="left"/>
                    <w:rPr>
                      <w:rFonts w:hint="eastAsia"/>
                      <w:color w:val="auto"/>
                      <w:sz w:val="21"/>
                      <w:szCs w:val="21"/>
                    </w:rPr>
                  </w:pPr>
                  <w:r>
                    <w:rPr>
                      <w:rFonts w:hint="eastAsia"/>
                      <w:color w:val="auto"/>
                      <w:sz w:val="21"/>
                      <w:szCs w:val="21"/>
                    </w:rPr>
                    <w:t>5持续开展涉水“散乱污”企业清理整治，严把能耗、环保等标准，促使一批达不到标准或淘汰类产能的企业，依法依规关停退出。</w:t>
                  </w:r>
                </w:p>
                <w:p w14:paraId="76F66558">
                  <w:pPr>
                    <w:widowControl/>
                    <w:jc w:val="left"/>
                    <w:rPr>
                      <w:rFonts w:hint="eastAsia"/>
                      <w:color w:val="auto"/>
                      <w:sz w:val="21"/>
                      <w:szCs w:val="21"/>
                    </w:rPr>
                  </w:pPr>
                  <w:r>
                    <w:rPr>
                      <w:rFonts w:hint="eastAsia"/>
                      <w:color w:val="auto"/>
                      <w:sz w:val="21"/>
                      <w:szCs w:val="21"/>
                    </w:rPr>
                    <w:t>6推动污染企业退出。城市建成区内现有钢铁、有色金属、造纸、印染、原料药制造、化工等污染较重的企业应有序搬迁改造或依法关闭。</w:t>
                  </w:r>
                </w:p>
                <w:p w14:paraId="13A47481">
                  <w:pPr>
                    <w:widowControl/>
                    <w:jc w:val="left"/>
                    <w:rPr>
                      <w:rFonts w:hint="eastAsia"/>
                      <w:color w:val="auto"/>
                      <w:sz w:val="21"/>
                      <w:szCs w:val="21"/>
                    </w:rPr>
                  </w:pPr>
                  <w:r>
                    <w:rPr>
                      <w:rFonts w:hint="eastAsia"/>
                      <w:color w:val="auto"/>
                      <w:sz w:val="21"/>
                      <w:szCs w:val="21"/>
                    </w:rPr>
                    <w:t>7严格水域岸线用途管制，土地开发利用应按照有关法律法规和技术标准要求，留足河道、湖泊的管理和保护范围，非法挤占的应限期退出。</w:t>
                  </w:r>
                </w:p>
                <w:p w14:paraId="1830FEE0">
                  <w:pPr>
                    <w:widowControl/>
                    <w:jc w:val="left"/>
                    <w:rPr>
                      <w:rFonts w:hint="eastAsia"/>
                      <w:color w:val="auto"/>
                      <w:sz w:val="21"/>
                      <w:szCs w:val="21"/>
                    </w:rPr>
                  </w:pPr>
                  <w:r>
                    <w:rPr>
                      <w:rFonts w:hint="eastAsia"/>
                      <w:color w:val="auto"/>
                      <w:sz w:val="21"/>
                      <w:szCs w:val="21"/>
                    </w:rPr>
                    <w:t>8国家禁止新建不符合国家产业政策的小型造纸、制革、印染、染料、炼焦、炼硫、炼砷、炼汞、炼油、电镀、农药、石棉、水泥、玻璃、钢铁、火电以及其他严重污染水环境的生产项目。</w:t>
                  </w:r>
                </w:p>
                <w:p w14:paraId="106668C6">
                  <w:pPr>
                    <w:widowControl/>
                    <w:jc w:val="left"/>
                    <w:rPr>
                      <w:rFonts w:hint="eastAsia"/>
                      <w:color w:val="auto"/>
                      <w:sz w:val="21"/>
                      <w:szCs w:val="21"/>
                    </w:rPr>
                  </w:pPr>
                  <w:r>
                    <w:rPr>
                      <w:rFonts w:hint="eastAsia"/>
                      <w:color w:val="auto"/>
                      <w:sz w:val="21"/>
                      <w:szCs w:val="21"/>
                    </w:rPr>
                    <w:t>1查明河道两岸和水体周边所有排污口，对污水直排的排污口实施截污纳管，实现旱季污水不入河。严格实施排污许可和排水许可制度，加强入河排污口监督监测。加强对小餐饮、理发店、洗车店等排污的执法管理，加大对乱排、偷排行为的整治和处罚力度。</w:t>
                  </w:r>
                </w:p>
                <w:p w14:paraId="10E65231">
                  <w:pPr>
                    <w:widowControl/>
                    <w:jc w:val="left"/>
                    <w:rPr>
                      <w:rFonts w:hint="eastAsia"/>
                      <w:color w:val="auto"/>
                      <w:sz w:val="21"/>
                      <w:szCs w:val="21"/>
                    </w:rPr>
                  </w:pPr>
                  <w:r>
                    <w:rPr>
                      <w:rFonts w:hint="eastAsia"/>
                      <w:color w:val="auto"/>
                      <w:sz w:val="21"/>
                      <w:szCs w:val="21"/>
                    </w:rPr>
                    <w:t>2城市建成区排放污水的工业企业应依法持有排污许可证，并严格按证排污。排入城镇水体的工业污水应符合相关行业标准及地方标准要求，严禁任何企业、单位超标和超总量排污，对超标或超总量的排污单位一律限制生产或停产整顿。</w:t>
                  </w:r>
                </w:p>
                <w:p w14:paraId="69A3880A">
                  <w:pPr>
                    <w:widowControl/>
                    <w:jc w:val="left"/>
                    <w:rPr>
                      <w:rFonts w:hint="eastAsia"/>
                      <w:color w:val="auto"/>
                      <w:sz w:val="21"/>
                      <w:szCs w:val="21"/>
                    </w:rPr>
                  </w:pPr>
                  <w:r>
                    <w:rPr>
                      <w:rFonts w:hint="eastAsia"/>
                      <w:color w:val="auto"/>
                      <w:sz w:val="21"/>
                      <w:szCs w:val="21"/>
                    </w:rPr>
                    <w:t>3严肃执法监督，严格执行排污许可、排水许可制度，严禁生活污水和工业废水直排水体。</w:t>
                  </w:r>
                </w:p>
                <w:p w14:paraId="0F81C500">
                  <w:pPr>
                    <w:widowControl/>
                    <w:jc w:val="left"/>
                    <w:rPr>
                      <w:rFonts w:hint="eastAsia" w:eastAsia="宋体"/>
                      <w:color w:val="auto"/>
                      <w:sz w:val="21"/>
                      <w:szCs w:val="21"/>
                      <w:lang w:eastAsia="zh-CN"/>
                    </w:rPr>
                  </w:pPr>
                  <w:r>
                    <w:rPr>
                      <w:rFonts w:hint="eastAsia"/>
                      <w:color w:val="auto"/>
                      <w:sz w:val="21"/>
                      <w:szCs w:val="21"/>
                    </w:rPr>
                    <w:t>禁止开发建设活动的要求</w:t>
                  </w:r>
                  <w:r>
                    <w:rPr>
                      <w:rFonts w:hint="eastAsia"/>
                      <w:color w:val="auto"/>
                      <w:sz w:val="21"/>
                      <w:szCs w:val="21"/>
                      <w:lang w:eastAsia="zh-CN"/>
                    </w:rPr>
                    <w:t>：</w:t>
                  </w:r>
                </w:p>
                <w:p w14:paraId="4942F087">
                  <w:pPr>
                    <w:widowControl/>
                    <w:jc w:val="left"/>
                    <w:rPr>
                      <w:rFonts w:hint="eastAsia"/>
                      <w:color w:val="auto"/>
                      <w:sz w:val="21"/>
                      <w:szCs w:val="21"/>
                    </w:rPr>
                  </w:pPr>
                  <w:r>
                    <w:rPr>
                      <w:rFonts w:hint="eastAsia"/>
                      <w:color w:val="auto"/>
                      <w:sz w:val="21"/>
                      <w:szCs w:val="21"/>
                    </w:rPr>
                    <w:t>1在城市城区及其近郊禁止新建、扩建钢铁、有色、石化、水泥、化工等重污染企业。</w:t>
                  </w:r>
                </w:p>
                <w:p w14:paraId="5AAF67A9">
                  <w:pPr>
                    <w:widowControl/>
                    <w:jc w:val="left"/>
                    <w:rPr>
                      <w:rFonts w:hint="eastAsia"/>
                      <w:color w:val="auto"/>
                      <w:sz w:val="21"/>
                      <w:szCs w:val="21"/>
                    </w:rPr>
                  </w:pPr>
                  <w:r>
                    <w:rPr>
                      <w:rFonts w:hint="eastAsia"/>
                      <w:color w:val="auto"/>
                      <w:sz w:val="21"/>
                      <w:szCs w:val="21"/>
                    </w:rPr>
                    <w:t>2禁止新建燃料类煤气发生炉（园区现有企业统一建设的清洁煤制气中心除外）。</w:t>
                  </w:r>
                </w:p>
                <w:p w14:paraId="00106E1B">
                  <w:pPr>
                    <w:widowControl/>
                    <w:jc w:val="left"/>
                    <w:rPr>
                      <w:rFonts w:hint="eastAsia"/>
                      <w:color w:val="auto"/>
                      <w:sz w:val="21"/>
                      <w:szCs w:val="21"/>
                    </w:rPr>
                  </w:pPr>
                  <w:r>
                    <w:rPr>
                      <w:rFonts w:hint="eastAsia"/>
                      <w:color w:val="auto"/>
                      <w:sz w:val="21"/>
                      <w:szCs w:val="21"/>
                    </w:rPr>
                    <w:t>3严禁新增钢铁、焦化、电解铝、铸造、水泥和平板玻璃等产能；严格执行钢铁、水泥、平板玻璃等行业产能置换实施办法。</w:t>
                  </w:r>
                </w:p>
                <w:p w14:paraId="676F311B">
                  <w:pPr>
                    <w:widowControl/>
                    <w:jc w:val="left"/>
                    <w:rPr>
                      <w:rFonts w:hint="eastAsia"/>
                      <w:color w:val="auto"/>
                      <w:sz w:val="21"/>
                      <w:szCs w:val="21"/>
                    </w:rPr>
                  </w:pPr>
                  <w:r>
                    <w:rPr>
                      <w:rFonts w:hint="eastAsia"/>
                      <w:color w:val="auto"/>
                      <w:sz w:val="21"/>
                      <w:szCs w:val="21"/>
                    </w:rPr>
                    <w:t>4严格执行国家关于“两高”产业准入目录和产能总量控制政策措施。严禁新增钢铁、焦化、电解铝、铸造、水泥和平板玻璃等产能；新、改、扩建涉及大宗物料运输的建设项目，原则上不得采用公路运输。</w:t>
                  </w:r>
                </w:p>
                <w:p w14:paraId="197C890B">
                  <w:pPr>
                    <w:widowControl/>
                    <w:jc w:val="left"/>
                    <w:rPr>
                      <w:rFonts w:hint="eastAsia"/>
                      <w:color w:val="auto"/>
                      <w:sz w:val="21"/>
                      <w:szCs w:val="21"/>
                    </w:rPr>
                  </w:pPr>
                  <w:r>
                    <w:rPr>
                      <w:rFonts w:hint="eastAsia"/>
                      <w:color w:val="auto"/>
                      <w:sz w:val="21"/>
                      <w:szCs w:val="21"/>
                    </w:rPr>
                    <w:t>7非电行业新建项目，禁止配套建设自备纯凝、抽凝燃煤电站。</w:t>
                  </w:r>
                </w:p>
                <w:p w14:paraId="1B82216A">
                  <w:pPr>
                    <w:widowControl/>
                    <w:jc w:val="left"/>
                    <w:rPr>
                      <w:rFonts w:hint="eastAsia"/>
                      <w:color w:val="auto"/>
                      <w:sz w:val="21"/>
                      <w:szCs w:val="21"/>
                    </w:rPr>
                  </w:pPr>
                  <w:r>
                    <w:rPr>
                      <w:rFonts w:hint="eastAsia"/>
                      <w:color w:val="auto"/>
                      <w:sz w:val="21"/>
                      <w:szCs w:val="21"/>
                    </w:rPr>
                    <w:t>8在城市建成区及居民区、医院、学校等环境敏感区域，严禁现场露天灰土拌合。</w:t>
                  </w:r>
                </w:p>
                <w:p w14:paraId="7E5EEF24">
                  <w:pPr>
                    <w:widowControl/>
                    <w:jc w:val="left"/>
                    <w:rPr>
                      <w:rFonts w:hint="eastAsia"/>
                      <w:color w:val="auto"/>
                      <w:sz w:val="21"/>
                      <w:szCs w:val="21"/>
                    </w:rPr>
                  </w:pPr>
                  <w:r>
                    <w:rPr>
                      <w:rFonts w:hint="eastAsia"/>
                      <w:color w:val="auto"/>
                      <w:sz w:val="21"/>
                      <w:szCs w:val="21"/>
                    </w:rPr>
                    <w:t>9严格控制新增“两高”项目审批，认真分析评估拟建项目必要性、可行性和对产业高质量发展、能耗双控、碳排放和环境质量的影响，严格审查项目是否符合产业政策、产业规划、“三线一单”、规划环评要求，是否</w:t>
                  </w:r>
                </w:p>
                <w:p w14:paraId="50D0682B">
                  <w:pPr>
                    <w:widowControl/>
                    <w:jc w:val="left"/>
                    <w:rPr>
                      <w:rFonts w:hint="eastAsia"/>
                      <w:color w:val="auto"/>
                      <w:sz w:val="21"/>
                      <w:szCs w:val="21"/>
                    </w:rPr>
                  </w:pPr>
                  <w:r>
                    <w:rPr>
                      <w:rFonts w:hint="eastAsia"/>
                      <w:color w:val="auto"/>
                      <w:sz w:val="21"/>
                      <w:szCs w:val="21"/>
                    </w:rPr>
                    <w:t>依法依规落实产能置换、能耗置换、煤炭消费减量替代、污染物排放区域削减等要求。对已建成投产的存量“两高”项目，有节能减排潜力的加快改造升级，属于落后产能的加快淘汰。</w:t>
                  </w:r>
                </w:p>
                <w:p w14:paraId="39241917">
                  <w:pPr>
                    <w:widowControl/>
                    <w:jc w:val="left"/>
                    <w:rPr>
                      <w:rFonts w:hint="eastAsia"/>
                      <w:color w:val="auto"/>
                      <w:sz w:val="21"/>
                      <w:szCs w:val="21"/>
                    </w:rPr>
                  </w:pPr>
                  <w:r>
                    <w:rPr>
                      <w:rFonts w:hint="eastAsia"/>
                      <w:color w:val="auto"/>
                      <w:sz w:val="21"/>
                      <w:szCs w:val="21"/>
                    </w:rPr>
                    <w:t>10禁止建设生产和使用高挥发性有机物含量涂料、油墨、胶粘剂、清洗剂等项目。</w:t>
                  </w:r>
                </w:p>
                <w:p w14:paraId="75A524B3">
                  <w:pPr>
                    <w:widowControl/>
                    <w:jc w:val="left"/>
                    <w:rPr>
                      <w:rFonts w:hint="eastAsia"/>
                      <w:color w:val="auto"/>
                      <w:sz w:val="21"/>
                      <w:szCs w:val="21"/>
                    </w:rPr>
                  </w:pPr>
                  <w:r>
                    <w:rPr>
                      <w:rFonts w:hint="eastAsia"/>
                      <w:color w:val="auto"/>
                      <w:sz w:val="21"/>
                      <w:szCs w:val="21"/>
                    </w:rPr>
                    <w:t>11禁止新建不符合国家规定的燃煤发电机组、燃油发电机组和燃煤热电机组。</w:t>
                  </w:r>
                </w:p>
                <w:p w14:paraId="5028E744">
                  <w:pPr>
                    <w:widowControl/>
                    <w:jc w:val="left"/>
                    <w:rPr>
                      <w:rFonts w:hint="eastAsia"/>
                      <w:color w:val="auto"/>
                      <w:sz w:val="21"/>
                      <w:szCs w:val="21"/>
                    </w:rPr>
                  </w:pPr>
                  <w:r>
                    <w:rPr>
                      <w:rFonts w:hint="eastAsia"/>
                      <w:color w:val="auto"/>
                      <w:sz w:val="21"/>
                      <w:szCs w:val="21"/>
                    </w:rPr>
                    <w:t>12禁止新建、扩建分散燃煤供热锅炉。</w:t>
                  </w:r>
                </w:p>
                <w:p w14:paraId="75514F10">
                  <w:pPr>
                    <w:widowControl/>
                    <w:jc w:val="left"/>
                    <w:rPr>
                      <w:rFonts w:hint="eastAsia"/>
                      <w:color w:val="auto"/>
                      <w:sz w:val="21"/>
                      <w:szCs w:val="21"/>
                    </w:rPr>
                  </w:pPr>
                  <w:r>
                    <w:rPr>
                      <w:rFonts w:hint="eastAsia"/>
                      <w:color w:val="auto"/>
                      <w:sz w:val="21"/>
                      <w:szCs w:val="21"/>
                    </w:rPr>
                    <w:t>13在城市规划区内禁止新建、扩建大气污染严重的建设项目。</w:t>
                  </w:r>
                </w:p>
                <w:p w14:paraId="0E460191">
                  <w:pPr>
                    <w:widowControl/>
                    <w:jc w:val="left"/>
                    <w:rPr>
                      <w:rFonts w:hint="eastAsia"/>
                      <w:color w:val="auto"/>
                      <w:sz w:val="21"/>
                      <w:szCs w:val="21"/>
                    </w:rPr>
                  </w:pPr>
                  <w:r>
                    <w:rPr>
                      <w:rFonts w:hint="eastAsia"/>
                      <w:color w:val="auto"/>
                      <w:sz w:val="21"/>
                      <w:szCs w:val="21"/>
                    </w:rPr>
                    <w:t>14禁止高灰分、高硫分煤炭进入市场。新建煤矿应当同步建设煤炭洗选设施，已建成的煤矿所采煤炭属于高灰分、高硫分的，应当在国家和省规定的期限内建成配套的煤炭洗选设施，使煤炭中的灰分、硫分达到规定的标准。</w:t>
                  </w:r>
                </w:p>
                <w:p w14:paraId="6E508881">
                  <w:pPr>
                    <w:widowControl/>
                    <w:jc w:val="left"/>
                    <w:rPr>
                      <w:rFonts w:hint="eastAsia"/>
                      <w:color w:val="auto"/>
                      <w:sz w:val="21"/>
                      <w:szCs w:val="21"/>
                    </w:rPr>
                  </w:pPr>
                  <w:r>
                    <w:rPr>
                      <w:rFonts w:hint="eastAsia"/>
                      <w:color w:val="auto"/>
                      <w:sz w:val="21"/>
                      <w:szCs w:val="21"/>
                    </w:rPr>
                    <w:t>15禁止在人口集中地区、机场周围、交通干线附近以及当地人民政府划定的区域露天焚烧秸秆、落叶、垃圾等产生烟尘污染的物质。</w:t>
                  </w:r>
                </w:p>
                <w:p w14:paraId="633035E6">
                  <w:pPr>
                    <w:widowControl/>
                    <w:jc w:val="left"/>
                    <w:rPr>
                      <w:rFonts w:hint="eastAsia"/>
                      <w:color w:val="auto"/>
                      <w:sz w:val="21"/>
                      <w:szCs w:val="21"/>
                    </w:rPr>
                  </w:pPr>
                  <w:r>
                    <w:rPr>
                      <w:rFonts w:hint="eastAsia"/>
                      <w:color w:val="auto"/>
                      <w:sz w:val="21"/>
                      <w:szCs w:val="21"/>
                    </w:rPr>
                    <w:t>16在燃气管网和集中供热管网覆盖的区域，不得新建、扩建、改建燃烧煤炭、重油、渣油的供热设施；原有分散的中小型燃煤供热锅炉应当限期拆除。</w:t>
                  </w:r>
                </w:p>
                <w:p w14:paraId="77F05BE0">
                  <w:pPr>
                    <w:widowControl/>
                    <w:jc w:val="left"/>
                    <w:rPr>
                      <w:rFonts w:hint="eastAsia"/>
                      <w:color w:val="auto"/>
                      <w:sz w:val="21"/>
                      <w:szCs w:val="21"/>
                    </w:rPr>
                  </w:pPr>
                  <w:r>
                    <w:rPr>
                      <w:rFonts w:hint="eastAsia"/>
                      <w:color w:val="auto"/>
                      <w:sz w:val="21"/>
                      <w:szCs w:val="21"/>
                    </w:rPr>
                    <w:t>17严禁钢铁、水泥、电解铝、平板玻璃等行业新增产能，对确有必要新建的必须实施等量或减量置换。</w:t>
                  </w:r>
                </w:p>
                <w:p w14:paraId="1948E9D2">
                  <w:pPr>
                    <w:widowControl/>
                    <w:jc w:val="left"/>
                    <w:rPr>
                      <w:rFonts w:hint="eastAsia"/>
                      <w:color w:val="auto"/>
                      <w:sz w:val="21"/>
                      <w:szCs w:val="21"/>
                    </w:rPr>
                  </w:pPr>
                  <w:r>
                    <w:rPr>
                      <w:rFonts w:hint="eastAsia"/>
                      <w:color w:val="auto"/>
                      <w:sz w:val="21"/>
                      <w:szCs w:val="21"/>
                      <w:lang w:val="en-US" w:eastAsia="zh-CN"/>
                    </w:rPr>
                    <w:t>18</w:t>
                  </w:r>
                  <w:r>
                    <w:rPr>
                      <w:rFonts w:hint="eastAsia"/>
                      <w:color w:val="auto"/>
                      <w:sz w:val="21"/>
                      <w:szCs w:val="21"/>
                    </w:rPr>
                    <w:t>禁止淘汰落后类的产业进入开发区。</w:t>
                  </w:r>
                </w:p>
                <w:p w14:paraId="76FC13B1">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eastAsia="宋体"/>
                      <w:color w:val="auto"/>
                      <w:sz w:val="21"/>
                      <w:szCs w:val="21"/>
                      <w:lang w:val="en-US" w:eastAsia="zh-CN"/>
                    </w:rPr>
                  </w:pPr>
                  <w:r>
                    <w:rPr>
                      <w:rFonts w:hint="eastAsia"/>
                      <w:color w:val="auto"/>
                      <w:sz w:val="21"/>
                      <w:szCs w:val="21"/>
                    </w:rPr>
                    <w:t>限制开发建设活动的要求</w:t>
                  </w:r>
                  <w:r>
                    <w:rPr>
                      <w:rFonts w:hint="eastAsia"/>
                      <w:color w:val="auto"/>
                      <w:sz w:val="21"/>
                      <w:szCs w:val="21"/>
                      <w:lang w:eastAsia="zh-CN"/>
                    </w:rPr>
                    <w:t>：</w:t>
                  </w:r>
                </w:p>
                <w:p w14:paraId="1F5E7FC2">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color w:val="auto"/>
                      <w:sz w:val="21"/>
                      <w:szCs w:val="21"/>
                    </w:rPr>
                  </w:pPr>
                  <w:r>
                    <w:rPr>
                      <w:rFonts w:hint="eastAsia"/>
                      <w:color w:val="auto"/>
                      <w:sz w:val="21"/>
                      <w:szCs w:val="21"/>
                      <w:lang w:val="en-US" w:eastAsia="zh-CN"/>
                    </w:rPr>
                    <w:t>19</w:t>
                  </w:r>
                  <w:r>
                    <w:rPr>
                      <w:rFonts w:hint="eastAsia"/>
                      <w:color w:val="auto"/>
                      <w:sz w:val="21"/>
                      <w:szCs w:val="21"/>
                    </w:rPr>
                    <w:t>加大钢铁、铸造、炼焦、建材、电解铝等产能压减力度。</w:t>
                  </w:r>
                </w:p>
                <w:p w14:paraId="34BB6787">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color w:val="auto"/>
                      <w:sz w:val="21"/>
                      <w:szCs w:val="21"/>
                    </w:rPr>
                  </w:pPr>
                  <w:r>
                    <w:rPr>
                      <w:rFonts w:hint="eastAsia"/>
                      <w:color w:val="auto"/>
                      <w:sz w:val="21"/>
                      <w:szCs w:val="21"/>
                      <w:lang w:val="en-US" w:eastAsia="zh-CN"/>
                    </w:rPr>
                    <w:t>20</w:t>
                  </w:r>
                  <w:r>
                    <w:rPr>
                      <w:rFonts w:hint="eastAsia"/>
                      <w:color w:val="auto"/>
                      <w:sz w:val="21"/>
                      <w:szCs w:val="21"/>
                    </w:rPr>
                    <w:t>严格资源节约和环保准入门槛，转入项目必须符合国家产业政策、资源节约和污染物排放强度要求，避免产业转移中的资源浪费和污染扩散。</w:t>
                  </w:r>
                </w:p>
                <w:p w14:paraId="3AD14870">
                  <w:pPr>
                    <w:widowControl/>
                    <w:jc w:val="left"/>
                    <w:rPr>
                      <w:rFonts w:hint="eastAsia"/>
                      <w:color w:val="auto"/>
                      <w:sz w:val="21"/>
                      <w:szCs w:val="21"/>
                    </w:rPr>
                  </w:pPr>
                  <w:r>
                    <w:rPr>
                      <w:rFonts w:hint="eastAsia"/>
                      <w:color w:val="auto"/>
                      <w:sz w:val="21"/>
                      <w:szCs w:val="21"/>
                      <w:lang w:val="en-US" w:eastAsia="zh-CN"/>
                    </w:rPr>
                    <w:t>21</w:t>
                  </w:r>
                  <w:r>
                    <w:rPr>
                      <w:rFonts w:hint="eastAsia"/>
                      <w:color w:val="auto"/>
                      <w:sz w:val="21"/>
                      <w:szCs w:val="21"/>
                    </w:rPr>
                    <w:t>加大落后产能淘汰和过剩产能压减力度。严防“地条钢”死灰复燃。</w:t>
                  </w:r>
                </w:p>
                <w:p w14:paraId="1C922B5E">
                  <w:pPr>
                    <w:widowControl/>
                    <w:jc w:val="left"/>
                    <w:rPr>
                      <w:rFonts w:hint="eastAsia"/>
                      <w:color w:val="auto"/>
                      <w:sz w:val="21"/>
                      <w:szCs w:val="21"/>
                    </w:rPr>
                  </w:pPr>
                  <w:r>
                    <w:rPr>
                      <w:rFonts w:hint="eastAsia"/>
                      <w:color w:val="auto"/>
                      <w:sz w:val="21"/>
                      <w:szCs w:val="21"/>
                      <w:lang w:val="en-US" w:eastAsia="zh-CN"/>
                    </w:rPr>
                    <w:t>22</w:t>
                  </w:r>
                  <w:r>
                    <w:rPr>
                      <w:rFonts w:hint="eastAsia"/>
                      <w:color w:val="auto"/>
                      <w:sz w:val="21"/>
                      <w:szCs w:val="21"/>
                    </w:rPr>
                    <w:t>重点区域钢铁、水泥、焦化、石化、化工、有色等行业，二氧化硫、氮氧化物、颗粒物、挥发性有机物（VOCs）排放全面执行大气污染物特别排放限值。</w:t>
                  </w:r>
                </w:p>
                <w:p w14:paraId="32564D7A">
                  <w:pPr>
                    <w:widowControl/>
                    <w:jc w:val="left"/>
                    <w:rPr>
                      <w:rFonts w:hint="eastAsia"/>
                      <w:color w:val="auto"/>
                      <w:sz w:val="21"/>
                      <w:szCs w:val="21"/>
                    </w:rPr>
                  </w:pPr>
                  <w:r>
                    <w:rPr>
                      <w:rFonts w:hint="eastAsia"/>
                      <w:color w:val="auto"/>
                      <w:sz w:val="21"/>
                      <w:szCs w:val="21"/>
                      <w:lang w:val="en-US" w:eastAsia="zh-CN"/>
                    </w:rPr>
                    <w:t>23</w:t>
                  </w:r>
                  <w:r>
                    <w:rPr>
                      <w:rFonts w:hint="eastAsia"/>
                      <w:color w:val="auto"/>
                      <w:sz w:val="21"/>
                      <w:szCs w:val="21"/>
                    </w:rPr>
                    <w:t>加大工业涂装、包装印刷等行业低挥发性有机物含量原辅材料替代力度，严格执行涂料、油墨、胶粘剂、清洗剂挥发性有机物含量限值标准，确保生产、销售、进口、使用符合标准的产品。</w:t>
                  </w:r>
                </w:p>
                <w:p w14:paraId="124B775D">
                  <w:pPr>
                    <w:widowControl/>
                    <w:jc w:val="left"/>
                    <w:rPr>
                      <w:rFonts w:hint="eastAsia"/>
                      <w:color w:val="auto"/>
                      <w:sz w:val="21"/>
                      <w:szCs w:val="21"/>
                    </w:rPr>
                  </w:pPr>
                  <w:r>
                    <w:rPr>
                      <w:rFonts w:hint="eastAsia"/>
                      <w:color w:val="auto"/>
                      <w:sz w:val="21"/>
                      <w:szCs w:val="21"/>
                      <w:lang w:val="en-US" w:eastAsia="zh-CN"/>
                    </w:rPr>
                    <w:t>24</w:t>
                  </w:r>
                  <w:r>
                    <w:rPr>
                      <w:rFonts w:hint="eastAsia"/>
                      <w:color w:val="auto"/>
                      <w:sz w:val="21"/>
                      <w:szCs w:val="21"/>
                    </w:rPr>
                    <w:t>严格合理控制煤炭消费增长，大气污染防治重点区域内新建、改扩建用煤项目严格实施煤炭消费等量或减量替代。</w:t>
                  </w:r>
                </w:p>
                <w:p w14:paraId="2BF8BE67">
                  <w:pPr>
                    <w:widowControl/>
                    <w:jc w:val="left"/>
                    <w:rPr>
                      <w:rFonts w:hint="eastAsia"/>
                      <w:color w:val="auto"/>
                      <w:sz w:val="21"/>
                      <w:szCs w:val="21"/>
                    </w:rPr>
                  </w:pPr>
                  <w:r>
                    <w:rPr>
                      <w:rFonts w:hint="eastAsia"/>
                      <w:color w:val="auto"/>
                      <w:sz w:val="21"/>
                      <w:szCs w:val="21"/>
                      <w:lang w:val="en-US" w:eastAsia="zh-CN"/>
                    </w:rPr>
                    <w:t>25</w:t>
                  </w:r>
                  <w:r>
                    <w:rPr>
                      <w:rFonts w:hint="eastAsia"/>
                      <w:color w:val="auto"/>
                      <w:sz w:val="21"/>
                      <w:szCs w:val="21"/>
                    </w:rPr>
                    <w:t>推动钢铁行业碳达峰。严格执行产能置换，严禁新增产能，依法依规淘汰落后产能。</w:t>
                  </w:r>
                </w:p>
                <w:p w14:paraId="29EB4DB4">
                  <w:pPr>
                    <w:widowControl/>
                    <w:jc w:val="left"/>
                    <w:rPr>
                      <w:rFonts w:hint="eastAsia"/>
                      <w:color w:val="auto"/>
                      <w:sz w:val="21"/>
                      <w:szCs w:val="21"/>
                    </w:rPr>
                  </w:pPr>
                  <w:r>
                    <w:rPr>
                      <w:rFonts w:hint="eastAsia"/>
                      <w:color w:val="auto"/>
                      <w:sz w:val="21"/>
                      <w:szCs w:val="21"/>
                      <w:lang w:val="en-US" w:eastAsia="zh-CN"/>
                    </w:rPr>
                    <w:t>26</w:t>
                  </w:r>
                  <w:r>
                    <w:rPr>
                      <w:rFonts w:hint="eastAsia"/>
                      <w:color w:val="auto"/>
                      <w:sz w:val="21"/>
                      <w:szCs w:val="21"/>
                    </w:rPr>
                    <w:t>优化产能规模和布局，引导化工企业向产业园区转移，提高集聚发展水平。</w:t>
                  </w:r>
                </w:p>
                <w:p w14:paraId="525670E2">
                  <w:pPr>
                    <w:widowControl/>
                    <w:jc w:val="left"/>
                    <w:rPr>
                      <w:rFonts w:hint="eastAsia"/>
                      <w:color w:val="auto"/>
                      <w:sz w:val="21"/>
                      <w:szCs w:val="21"/>
                    </w:rPr>
                  </w:pPr>
                  <w:r>
                    <w:rPr>
                      <w:rFonts w:hint="eastAsia"/>
                      <w:color w:val="auto"/>
                      <w:sz w:val="21"/>
                      <w:szCs w:val="21"/>
                    </w:rPr>
                    <w:t>不符合空间布局要求活动的退出要求</w:t>
                  </w:r>
                  <w:r>
                    <w:rPr>
                      <w:rFonts w:hint="eastAsia"/>
                      <w:color w:val="auto"/>
                      <w:sz w:val="21"/>
                      <w:szCs w:val="21"/>
                      <w:lang w:eastAsia="zh-CN"/>
                    </w:rPr>
                    <w:t>：</w:t>
                  </w:r>
                </w:p>
                <w:p w14:paraId="6C65ECAE">
                  <w:pPr>
                    <w:widowControl/>
                    <w:jc w:val="left"/>
                    <w:rPr>
                      <w:rFonts w:hint="eastAsia"/>
                      <w:color w:val="auto"/>
                      <w:sz w:val="21"/>
                      <w:szCs w:val="21"/>
                    </w:rPr>
                  </w:pPr>
                  <w:r>
                    <w:rPr>
                      <w:rFonts w:hint="eastAsia"/>
                      <w:color w:val="auto"/>
                      <w:sz w:val="21"/>
                      <w:szCs w:val="21"/>
                      <w:lang w:val="en-US" w:eastAsia="zh-CN"/>
                    </w:rPr>
                    <w:t>27</w:t>
                  </w:r>
                  <w:r>
                    <w:rPr>
                      <w:rFonts w:hint="eastAsia"/>
                      <w:color w:val="auto"/>
                      <w:sz w:val="21"/>
                      <w:szCs w:val="21"/>
                    </w:rPr>
                    <w:t>严格执行环境保护法律法规，对超过大气和水等污染物排放标准排污，以及超过重点污染物总量控制指标排污的企业，责令限制生产、停产整治等；情节严重的，报经有批准权的地方政府批准，责令停业、关闭。依法打击违反固体废物管理法律法规行为。</w:t>
                  </w:r>
                </w:p>
                <w:p w14:paraId="45DC15F1">
                  <w:pPr>
                    <w:widowControl/>
                    <w:jc w:val="left"/>
                    <w:rPr>
                      <w:rFonts w:hint="eastAsia"/>
                      <w:color w:val="auto"/>
                      <w:sz w:val="21"/>
                      <w:szCs w:val="21"/>
                    </w:rPr>
                  </w:pPr>
                  <w:r>
                    <w:rPr>
                      <w:rFonts w:hint="eastAsia"/>
                      <w:color w:val="auto"/>
                      <w:sz w:val="21"/>
                      <w:szCs w:val="21"/>
                      <w:lang w:val="en-US" w:eastAsia="zh-CN"/>
                    </w:rPr>
                    <w:t>28</w:t>
                  </w:r>
                  <w:r>
                    <w:rPr>
                      <w:rFonts w:hint="eastAsia"/>
                      <w:color w:val="auto"/>
                      <w:sz w:val="21"/>
                      <w:szCs w:val="21"/>
                    </w:rPr>
                    <w:t>加快区域产业调整。加快城市建成区重污染企业搬迁改造或关闭退出；城市钢铁企业要切实采取彻底关停、转型发展、就地改造、域外搬迁等方式，推动转型升级。加大现有化工园区整治力度。退城企业，逾期不退城的予以停产。</w:t>
                  </w:r>
                </w:p>
                <w:p w14:paraId="7F62AB61">
                  <w:pPr>
                    <w:widowControl/>
                    <w:jc w:val="left"/>
                    <w:rPr>
                      <w:rFonts w:hint="eastAsia"/>
                      <w:color w:val="auto"/>
                      <w:sz w:val="21"/>
                      <w:szCs w:val="21"/>
                    </w:rPr>
                  </w:pPr>
                  <w:r>
                    <w:rPr>
                      <w:rFonts w:hint="eastAsia"/>
                      <w:color w:val="auto"/>
                      <w:sz w:val="21"/>
                      <w:szCs w:val="21"/>
                      <w:lang w:val="en-US" w:eastAsia="zh-CN"/>
                    </w:rPr>
                    <w:t>29</w:t>
                  </w:r>
                  <w:r>
                    <w:rPr>
                      <w:rFonts w:hint="eastAsia"/>
                      <w:color w:val="auto"/>
                      <w:sz w:val="21"/>
                      <w:szCs w:val="21"/>
                    </w:rPr>
                    <w:t>对违反资源环境法律法规、规划，污染环境、破坏生态、乱采滥挖的露天矿山，依法予以关闭；对污染治理不规范的露天矿山，依法责令停产整治，对拒不停产或擅自恢复生产的依法强制关闭。</w:t>
                  </w:r>
                </w:p>
                <w:p w14:paraId="670B0B5E">
                  <w:pPr>
                    <w:widowControl/>
                    <w:jc w:val="left"/>
                    <w:rPr>
                      <w:rFonts w:hint="eastAsia"/>
                      <w:color w:val="auto"/>
                      <w:sz w:val="21"/>
                      <w:szCs w:val="21"/>
                    </w:rPr>
                  </w:pPr>
                  <w:r>
                    <w:rPr>
                      <w:rFonts w:hint="eastAsia"/>
                      <w:color w:val="auto"/>
                      <w:sz w:val="21"/>
                      <w:szCs w:val="21"/>
                      <w:lang w:val="en-US" w:eastAsia="zh-CN"/>
                    </w:rPr>
                    <w:t>30</w:t>
                  </w:r>
                  <w:r>
                    <w:rPr>
                      <w:rFonts w:hint="eastAsia"/>
                      <w:color w:val="auto"/>
                      <w:sz w:val="21"/>
                      <w:szCs w:val="21"/>
                    </w:rPr>
                    <w:t>对热效率低下、敞开未封闭，装备简易落后、自动化程度低，无组织排放突出，以及无治理设施或治理设施工艺落后等严重污染环境的工业炉窑，依法责令停业关闭。</w:t>
                  </w:r>
                </w:p>
                <w:p w14:paraId="02F59B9D">
                  <w:pPr>
                    <w:widowControl/>
                    <w:jc w:val="left"/>
                    <w:rPr>
                      <w:rFonts w:hint="eastAsia"/>
                      <w:color w:val="auto"/>
                      <w:sz w:val="21"/>
                      <w:szCs w:val="21"/>
                    </w:rPr>
                  </w:pPr>
                  <w:r>
                    <w:rPr>
                      <w:rFonts w:hint="eastAsia"/>
                      <w:color w:val="auto"/>
                      <w:sz w:val="21"/>
                      <w:szCs w:val="21"/>
                      <w:lang w:val="en-US" w:eastAsia="zh-CN"/>
                    </w:rPr>
                    <w:t>31</w:t>
                  </w:r>
                  <w:r>
                    <w:rPr>
                      <w:rFonts w:hint="eastAsia"/>
                      <w:color w:val="auto"/>
                      <w:sz w:val="21"/>
                      <w:szCs w:val="21"/>
                    </w:rPr>
                    <w:t>对以煤、石油焦、渣油、重油等为燃料的工业炉窑，加快使用清洁低碳能源以及利用工厂余热、电厂热力等进行替代。重点区域禁止掺烧高硫石油焦（硫含量大于3%）。玻璃行业全面禁止掺烧高硫石油焦。</w:t>
                  </w:r>
                </w:p>
                <w:p w14:paraId="564CD50C">
                  <w:pPr>
                    <w:widowControl/>
                    <w:jc w:val="left"/>
                    <w:rPr>
                      <w:rFonts w:hint="eastAsia"/>
                      <w:color w:val="auto"/>
                      <w:sz w:val="21"/>
                      <w:szCs w:val="21"/>
                    </w:rPr>
                  </w:pPr>
                  <w:r>
                    <w:rPr>
                      <w:rFonts w:hint="eastAsia"/>
                      <w:color w:val="auto"/>
                      <w:sz w:val="21"/>
                      <w:szCs w:val="21"/>
                      <w:lang w:val="en-US" w:eastAsia="zh-CN"/>
                    </w:rPr>
                    <w:t>32</w:t>
                  </w:r>
                  <w:r>
                    <w:rPr>
                      <w:rFonts w:hint="eastAsia"/>
                      <w:color w:val="auto"/>
                      <w:sz w:val="21"/>
                      <w:szCs w:val="21"/>
                    </w:rPr>
                    <w:t>重点区域取缔燃煤热风炉，基本淘汰热电联产供热管网覆盖范围内的燃煤加热、烘干炉（窑）。加快推动铸造（10吨/小时及以下）、岩棉等行业冲天炉改为电炉。</w:t>
                  </w:r>
                </w:p>
                <w:p w14:paraId="399D7AEE">
                  <w:pPr>
                    <w:widowControl/>
                    <w:jc w:val="left"/>
                    <w:rPr>
                      <w:rFonts w:hint="eastAsia"/>
                      <w:color w:val="auto"/>
                      <w:sz w:val="21"/>
                      <w:szCs w:val="21"/>
                    </w:rPr>
                  </w:pPr>
                  <w:r>
                    <w:rPr>
                      <w:rFonts w:hint="eastAsia"/>
                      <w:color w:val="auto"/>
                      <w:sz w:val="21"/>
                      <w:szCs w:val="21"/>
                      <w:lang w:val="en-US" w:eastAsia="zh-CN"/>
                    </w:rPr>
                    <w:t>33</w:t>
                  </w:r>
                  <w:r>
                    <w:rPr>
                      <w:rFonts w:hint="eastAsia"/>
                      <w:color w:val="auto"/>
                      <w:sz w:val="21"/>
                      <w:szCs w:val="21"/>
                    </w:rPr>
                    <w:t>严格执行水泥熟料、平板玻璃产能置换要求，实施水泥常态化错峰生产，有序退出低效产能。推进燃煤窑炉清洁能源替代，逐步淘汰钢铁企业煤气发生炉。</w:t>
                  </w:r>
                </w:p>
                <w:p w14:paraId="5BE7DFDD">
                  <w:pPr>
                    <w:widowControl/>
                    <w:jc w:val="left"/>
                    <w:rPr>
                      <w:rFonts w:hint="eastAsia"/>
                      <w:color w:val="auto"/>
                      <w:sz w:val="21"/>
                      <w:szCs w:val="21"/>
                    </w:rPr>
                  </w:pPr>
                  <w:r>
                    <w:rPr>
                      <w:rFonts w:hint="eastAsia"/>
                      <w:color w:val="auto"/>
                      <w:sz w:val="21"/>
                      <w:szCs w:val="21"/>
                    </w:rPr>
                    <w:t>其他空间布局约束要求</w:t>
                  </w:r>
                  <w:r>
                    <w:rPr>
                      <w:rFonts w:hint="eastAsia"/>
                      <w:color w:val="auto"/>
                      <w:sz w:val="21"/>
                      <w:szCs w:val="21"/>
                      <w:lang w:eastAsia="zh-CN"/>
                    </w:rPr>
                    <w:t>：</w:t>
                  </w:r>
                  <w:r>
                    <w:rPr>
                      <w:rFonts w:hint="eastAsia"/>
                      <w:color w:val="auto"/>
                      <w:sz w:val="21"/>
                      <w:szCs w:val="21"/>
                      <w:lang w:val="en-US" w:eastAsia="zh-CN"/>
                    </w:rPr>
                    <w:t>3</w:t>
                  </w:r>
                  <w:r>
                    <w:rPr>
                      <w:rFonts w:hint="eastAsia"/>
                      <w:color w:val="auto"/>
                      <w:sz w:val="21"/>
                      <w:szCs w:val="21"/>
                    </w:rPr>
                    <w:t>4强化“散乱污”企业综合整治。全面开展“散乱污”企业及集群综合整治行动。根据产业政策、产业布局规划，以及土地、环保、质量、安全、能耗等要求，制定“散乱污”企业及集群整治标准。按照“先停后治”的原则，实施分类处置。</w:t>
                  </w:r>
                </w:p>
                <w:p w14:paraId="09A45642">
                  <w:pPr>
                    <w:widowControl/>
                    <w:jc w:val="left"/>
                    <w:rPr>
                      <w:rFonts w:hint="eastAsia"/>
                      <w:color w:val="auto"/>
                      <w:sz w:val="21"/>
                      <w:szCs w:val="21"/>
                    </w:rPr>
                  </w:pPr>
                  <w:r>
                    <w:rPr>
                      <w:rFonts w:hint="eastAsia"/>
                      <w:color w:val="auto"/>
                      <w:sz w:val="21"/>
                      <w:szCs w:val="21"/>
                      <w:lang w:val="en-US" w:eastAsia="zh-CN"/>
                    </w:rPr>
                    <w:t>3</w:t>
                  </w:r>
                  <w:r>
                    <w:rPr>
                      <w:rFonts w:hint="eastAsia"/>
                      <w:color w:val="auto"/>
                      <w:sz w:val="21"/>
                      <w:szCs w:val="21"/>
                    </w:rPr>
                    <w:t>5企业应当全面推进清洁生产，优先采用能源和原材料利用效率高、污染物排放量少的清洁生产技术、工艺和设备，淘汰严重污染大气环境质量的产品、落后工艺和落后设备，减少大气污染物的产生和排放。</w:t>
                  </w:r>
                </w:p>
                <w:p w14:paraId="7C5A03C3">
                  <w:pPr>
                    <w:widowControl/>
                    <w:jc w:val="left"/>
                    <w:rPr>
                      <w:rFonts w:hint="eastAsia"/>
                      <w:color w:val="auto"/>
                      <w:sz w:val="21"/>
                      <w:szCs w:val="21"/>
                    </w:rPr>
                  </w:pPr>
                  <w:r>
                    <w:rPr>
                      <w:rFonts w:hint="eastAsia"/>
                      <w:color w:val="auto"/>
                      <w:sz w:val="21"/>
                      <w:szCs w:val="21"/>
                    </w:rPr>
                    <w:t>禁止开发建设活动的要求：1 禁止在淮河流域新建化学制浆造纸企业和印染、制革、化工、电镀、酿造等污染严重的小型企业。</w:t>
                  </w:r>
                </w:p>
                <w:p w14:paraId="2F497CFD">
                  <w:pPr>
                    <w:widowControl/>
                    <w:jc w:val="left"/>
                    <w:rPr>
                      <w:rFonts w:hint="eastAsia"/>
                      <w:color w:val="auto"/>
                      <w:sz w:val="21"/>
                      <w:szCs w:val="21"/>
                    </w:rPr>
                  </w:pPr>
                  <w:r>
                    <w:rPr>
                      <w:rFonts w:hint="eastAsia"/>
                      <w:color w:val="auto"/>
                      <w:sz w:val="21"/>
                      <w:szCs w:val="21"/>
                    </w:rPr>
                    <w:t>2 在饮用水水源保护区内，禁止设置排污口。在风景名胜区水体、重要渔业水体和其他具有特殊经济文化价值的水体的保护区内，不得新建排污口。</w:t>
                  </w:r>
                </w:p>
                <w:p w14:paraId="65819B64">
                  <w:pPr>
                    <w:widowControl/>
                    <w:jc w:val="left"/>
                    <w:rPr>
                      <w:rFonts w:hint="eastAsia"/>
                      <w:color w:val="auto"/>
                      <w:sz w:val="21"/>
                      <w:szCs w:val="21"/>
                    </w:rPr>
                  </w:pPr>
                  <w:r>
                    <w:rPr>
                      <w:rFonts w:hint="eastAsia"/>
                      <w:color w:val="auto"/>
                      <w:sz w:val="21"/>
                      <w:szCs w:val="21"/>
                    </w:rPr>
                    <w:t>3 禁止下列行为：(一)向水体排放或者倾倒油类、酸液、碱液和其他有毒有害液体；(二)在水体中清洗装贮过有毒有害污染物的车辆、船舶和容器；(三)向水体排放、倾倒含有汞、镉、砷、铬、铅、氰化物、黄磷等可溶</w:t>
                  </w:r>
                </w:p>
                <w:p w14:paraId="37404F85">
                  <w:pPr>
                    <w:widowControl/>
                    <w:jc w:val="left"/>
                    <w:rPr>
                      <w:rFonts w:hint="eastAsia"/>
                      <w:color w:val="auto"/>
                      <w:sz w:val="21"/>
                      <w:szCs w:val="21"/>
                    </w:rPr>
                  </w:pPr>
                  <w:r>
                    <w:rPr>
                      <w:rFonts w:hint="eastAsia"/>
                      <w:color w:val="auto"/>
                      <w:sz w:val="21"/>
                      <w:szCs w:val="21"/>
                    </w:rPr>
                    <w:t>性剧毒废液或者将上述物质直接埋入地下；(四)向水体排放、倾倒工业废渣、城镇垃圾和其他废弃物；(五)向水体排放、倾倒放射性固体废弃物或者放射性废水；(六)利用渗井、渗坑、裂隙、溶洞、塌陷区和废弃矿坑排放、倾倒，或者利用无防渗措施的沟渠、坑塘输送或者存贮含毒污染物或者病原体的废水和其他废弃物；(七)在河流、湖泊、运河、渠道、水库最高水位线以下的滩地和岸坡堆放、贮存固体废弃物和其他污染物；(八)围湖和其他破坏水环境生态平衡的活动；(九)引进不符合国家环境保护规定要求的技术和设备；(十)法律、法规禁止的其他行为。</w:t>
                  </w:r>
                </w:p>
                <w:p w14:paraId="5CAA5C44">
                  <w:pPr>
                    <w:widowControl/>
                    <w:jc w:val="left"/>
                    <w:rPr>
                      <w:rFonts w:hint="eastAsia"/>
                      <w:color w:val="auto"/>
                      <w:sz w:val="21"/>
                      <w:szCs w:val="21"/>
                    </w:rPr>
                  </w:pPr>
                  <w:r>
                    <w:rPr>
                      <w:rFonts w:hint="eastAsia"/>
                      <w:color w:val="auto"/>
                      <w:sz w:val="21"/>
                      <w:szCs w:val="21"/>
                    </w:rPr>
                    <w:t>限制开发建设活动的要求：</w:t>
                  </w:r>
                </w:p>
                <w:p w14:paraId="1EF4338E">
                  <w:pPr>
                    <w:widowControl/>
                    <w:jc w:val="left"/>
                    <w:rPr>
                      <w:rFonts w:hint="eastAsia"/>
                      <w:color w:val="auto"/>
                      <w:sz w:val="21"/>
                      <w:szCs w:val="21"/>
                    </w:rPr>
                  </w:pPr>
                  <w:r>
                    <w:rPr>
                      <w:rFonts w:hint="eastAsia"/>
                      <w:color w:val="auto"/>
                      <w:sz w:val="21"/>
                      <w:szCs w:val="21"/>
                      <w:lang w:val="en-US" w:eastAsia="zh-CN"/>
                    </w:rPr>
                    <w:t>4</w:t>
                  </w:r>
                  <w:r>
                    <w:rPr>
                      <w:rFonts w:hint="eastAsia"/>
                      <w:color w:val="auto"/>
                      <w:sz w:val="21"/>
                      <w:szCs w:val="21"/>
                    </w:rPr>
                    <w:t xml:space="preserve"> 严格限制在淮河流域新建印染、制革、化工、电镀、酿造等大中型项目或者其他污染严重的项目；建设该类项目的，应当事前征得省人民政府生态环境行政主管部门的同意，并按照规定办理有关手续。</w:t>
                  </w:r>
                </w:p>
                <w:p w14:paraId="43A80D7D">
                  <w:pPr>
                    <w:widowControl/>
                    <w:jc w:val="left"/>
                    <w:rPr>
                      <w:rFonts w:hint="eastAsia"/>
                      <w:color w:val="auto"/>
                      <w:sz w:val="21"/>
                      <w:szCs w:val="21"/>
                    </w:rPr>
                  </w:pPr>
                  <w:r>
                    <w:rPr>
                      <w:rFonts w:hint="eastAsia"/>
                      <w:color w:val="auto"/>
                      <w:sz w:val="21"/>
                      <w:szCs w:val="21"/>
                      <w:lang w:val="en-US" w:eastAsia="zh-CN"/>
                    </w:rPr>
                    <w:t>5</w:t>
                  </w:r>
                  <w:r>
                    <w:rPr>
                      <w:rFonts w:hint="eastAsia"/>
                      <w:color w:val="auto"/>
                      <w:sz w:val="21"/>
                      <w:szCs w:val="21"/>
                    </w:rPr>
                    <w:t xml:space="preserve"> 新建、改建、扩建直接或者间接向水体排放污染物的建设项目和其他水上设施，应当依法进行环境影响评价。建设项目的水污染防治设施，应当符合经批准或者备案的环境影响评价文件的要求，并与主体工程同时设计、同时施工、同时投入使用。新建、扩建、改建项目，除执行前款规定外，还应当遵守下列规定：（一）新建项目的选址应符合城市总体规划，避开饮用水水源地和对环境有特殊要求的功能区；（二）采用资源利用率高、污染物排放量少的先进设备和先进工艺；（三）改建、扩建项目和技改项目应当把水污染治理纳入项目内容。工程配套建设的水污染防治设施竣工后，建设单位应当按照国务院生态环境行政主管部门规定的标准和程序进行验收。验收合格后，方可投入使用；未经验收或者验收不合格的，不得投入生产或者使用。</w:t>
                  </w:r>
                </w:p>
                <w:p w14:paraId="7D417EA8">
                  <w:pPr>
                    <w:widowControl/>
                    <w:jc w:val="left"/>
                    <w:rPr>
                      <w:rFonts w:hint="eastAsia"/>
                      <w:color w:val="auto"/>
                      <w:sz w:val="21"/>
                      <w:szCs w:val="21"/>
                    </w:rPr>
                  </w:pPr>
                  <w:r>
                    <w:rPr>
                      <w:rFonts w:hint="eastAsia"/>
                      <w:color w:val="auto"/>
                      <w:sz w:val="21"/>
                      <w:szCs w:val="21"/>
                      <w:lang w:val="en-US" w:eastAsia="zh-CN"/>
                    </w:rPr>
                    <w:t>6</w:t>
                  </w:r>
                  <w:r>
                    <w:rPr>
                      <w:rFonts w:hint="eastAsia"/>
                      <w:color w:val="auto"/>
                      <w:sz w:val="21"/>
                      <w:szCs w:val="21"/>
                    </w:rPr>
                    <w:t xml:space="preserve"> 在保护区附近新建排污口，应当保证保护区水体不受污染。</w:t>
                  </w:r>
                </w:p>
                <w:p w14:paraId="261D9F41">
                  <w:pPr>
                    <w:widowControl/>
                    <w:jc w:val="left"/>
                    <w:rPr>
                      <w:rFonts w:hint="eastAsia"/>
                      <w:color w:val="auto"/>
                      <w:sz w:val="21"/>
                      <w:szCs w:val="21"/>
                    </w:rPr>
                  </w:pPr>
                  <w:r>
                    <w:rPr>
                      <w:rFonts w:hint="eastAsia"/>
                      <w:color w:val="auto"/>
                      <w:sz w:val="21"/>
                      <w:szCs w:val="21"/>
                      <w:lang w:val="en-US" w:eastAsia="zh-CN"/>
                    </w:rPr>
                    <w:t>7</w:t>
                  </w:r>
                  <w:r>
                    <w:rPr>
                      <w:rFonts w:hint="eastAsia"/>
                      <w:color w:val="auto"/>
                      <w:sz w:val="21"/>
                      <w:szCs w:val="21"/>
                    </w:rPr>
                    <w:t xml:space="preserve"> 严格环境准入，在水污染防治重点控制单元的区域内，限制新建耗水量大、废水排放量大的项目和单纯扩大产能的项目。严格控制缺水地区、水污染严重地区和敏感区域高耗水、高污染行业发展。</w:t>
                  </w:r>
                </w:p>
                <w:p w14:paraId="0003FACD">
                  <w:pPr>
                    <w:widowControl/>
                    <w:jc w:val="left"/>
                    <w:rPr>
                      <w:rFonts w:hint="eastAsia"/>
                      <w:color w:val="auto"/>
                      <w:sz w:val="21"/>
                      <w:szCs w:val="21"/>
                    </w:rPr>
                  </w:pPr>
                  <w:r>
                    <w:rPr>
                      <w:rFonts w:hint="eastAsia"/>
                      <w:color w:val="auto"/>
                      <w:sz w:val="21"/>
                      <w:szCs w:val="21"/>
                    </w:rPr>
                    <w:t>不符合空间布局要求活动的退出要求：</w:t>
                  </w:r>
                </w:p>
                <w:p w14:paraId="5C794E43">
                  <w:pPr>
                    <w:widowControl/>
                    <w:jc w:val="left"/>
                    <w:rPr>
                      <w:rFonts w:hint="eastAsia"/>
                      <w:color w:val="auto"/>
                      <w:sz w:val="21"/>
                      <w:szCs w:val="21"/>
                    </w:rPr>
                  </w:pPr>
                  <w:r>
                    <w:rPr>
                      <w:rFonts w:hint="eastAsia"/>
                      <w:color w:val="auto"/>
                      <w:sz w:val="21"/>
                      <w:szCs w:val="21"/>
                      <w:lang w:val="en-US" w:eastAsia="zh-CN"/>
                    </w:rPr>
                    <w:t>8</w:t>
                  </w:r>
                  <w:r>
                    <w:rPr>
                      <w:rFonts w:hint="eastAsia"/>
                      <w:color w:val="auto"/>
                      <w:sz w:val="21"/>
                      <w:szCs w:val="21"/>
                    </w:rPr>
                    <w:t xml:space="preserve"> 加强重金属污染源头控制和重金属重点防控区域治理，对重要粮食生产区域周边的工矿企业实施重金属排</w:t>
                  </w:r>
                </w:p>
                <w:p w14:paraId="7B014961">
                  <w:pPr>
                    <w:widowControl/>
                    <w:jc w:val="left"/>
                    <w:rPr>
                      <w:rFonts w:hint="eastAsia"/>
                      <w:color w:val="auto"/>
                      <w:sz w:val="21"/>
                      <w:szCs w:val="21"/>
                    </w:rPr>
                  </w:pPr>
                  <w:r>
                    <w:rPr>
                      <w:rFonts w:hint="eastAsia"/>
                      <w:color w:val="auto"/>
                      <w:sz w:val="21"/>
                      <w:szCs w:val="21"/>
                    </w:rPr>
                    <w:t>放总量控制，对达不到环保要求的企业要限期升级改造或依法关闭、搬迁。</w:t>
                  </w:r>
                </w:p>
                <w:p w14:paraId="203D2A02">
                  <w:pPr>
                    <w:widowControl/>
                    <w:jc w:val="left"/>
                    <w:rPr>
                      <w:rFonts w:hint="eastAsia"/>
                      <w:color w:val="auto"/>
                      <w:sz w:val="21"/>
                      <w:szCs w:val="21"/>
                    </w:rPr>
                  </w:pPr>
                  <w:r>
                    <w:rPr>
                      <w:rFonts w:hint="eastAsia"/>
                      <w:color w:val="auto"/>
                      <w:sz w:val="21"/>
                      <w:szCs w:val="21"/>
                      <w:lang w:val="en-US" w:eastAsia="zh-CN"/>
                    </w:rPr>
                    <w:t>9</w:t>
                  </w:r>
                  <w:r>
                    <w:rPr>
                      <w:rFonts w:hint="eastAsia"/>
                      <w:color w:val="auto"/>
                      <w:sz w:val="21"/>
                      <w:szCs w:val="21"/>
                    </w:rPr>
                    <w:t xml:space="preserve"> 依法开展环境影响评价工作，严格落实生态环境损害责任追究问责制度，对不符合要求占用的岸线、河段、土地和布局的产业，必须无条件退出。</w:t>
                  </w:r>
                </w:p>
                <w:p w14:paraId="360AFF8A">
                  <w:pPr>
                    <w:widowControl/>
                    <w:jc w:val="left"/>
                    <w:rPr>
                      <w:rFonts w:hint="eastAsia"/>
                      <w:color w:val="auto"/>
                      <w:sz w:val="21"/>
                      <w:szCs w:val="21"/>
                      <w:lang w:eastAsia="zh-CN"/>
                    </w:rPr>
                  </w:pPr>
                  <w:r>
                    <w:rPr>
                      <w:rFonts w:hint="eastAsia"/>
                      <w:color w:val="auto"/>
                      <w:sz w:val="21"/>
                      <w:szCs w:val="21"/>
                    </w:rPr>
                    <w:t>其他空间布局约束要求</w:t>
                  </w:r>
                  <w:r>
                    <w:rPr>
                      <w:rFonts w:hint="eastAsia"/>
                      <w:color w:val="auto"/>
                      <w:sz w:val="21"/>
                      <w:szCs w:val="21"/>
                      <w:lang w:eastAsia="zh-CN"/>
                    </w:rPr>
                    <w:t>：</w:t>
                  </w:r>
                </w:p>
                <w:p w14:paraId="506B73E2">
                  <w:pPr>
                    <w:widowControl/>
                    <w:jc w:val="left"/>
                    <w:rPr>
                      <w:rFonts w:hint="eastAsia"/>
                      <w:color w:val="auto"/>
                      <w:sz w:val="21"/>
                      <w:szCs w:val="21"/>
                    </w:rPr>
                  </w:pPr>
                  <w:r>
                    <w:rPr>
                      <w:rFonts w:hint="eastAsia"/>
                      <w:color w:val="auto"/>
                      <w:sz w:val="21"/>
                      <w:szCs w:val="21"/>
                    </w:rPr>
                    <w:t>1.禁止新建化工园区，加大现有化工园区整治力度，加快城市建成区和重点流域等环境敏感区的重污染企业和危险化学品企业搬迁改造，2018年年底前，将制定的专项计划并向社会公开。</w:t>
                  </w:r>
                </w:p>
                <w:p w14:paraId="41583BA2">
                  <w:pPr>
                    <w:widowControl/>
                    <w:jc w:val="left"/>
                    <w:rPr>
                      <w:rFonts w:hint="eastAsia"/>
                      <w:color w:val="auto"/>
                      <w:sz w:val="21"/>
                      <w:szCs w:val="21"/>
                    </w:rPr>
                  </w:pPr>
                  <w:r>
                    <w:rPr>
                      <w:rFonts w:hint="eastAsia"/>
                      <w:color w:val="auto"/>
                      <w:sz w:val="21"/>
                      <w:szCs w:val="21"/>
                    </w:rPr>
                    <w:t>2.全面禁止洋垃圾入境，严厉打击走私。</w:t>
                  </w:r>
                </w:p>
                <w:p w14:paraId="6C664C21">
                  <w:pPr>
                    <w:widowControl/>
                    <w:jc w:val="left"/>
                    <w:rPr>
                      <w:rFonts w:hint="eastAsia"/>
                      <w:color w:val="auto"/>
                      <w:sz w:val="21"/>
                      <w:szCs w:val="21"/>
                    </w:rPr>
                  </w:pPr>
                  <w:r>
                    <w:rPr>
                      <w:rFonts w:hint="eastAsia"/>
                      <w:color w:val="auto"/>
                      <w:sz w:val="21"/>
                      <w:szCs w:val="21"/>
                    </w:rPr>
                    <w:t>3.禁止新增化工园区，加大现有化工园区整治力度。已明确的退城企业，要明确时间表，逾期不退城的予以停产。</w:t>
                  </w:r>
                </w:p>
                <w:p w14:paraId="4F554169">
                  <w:pPr>
                    <w:widowControl/>
                    <w:jc w:val="left"/>
                    <w:rPr>
                      <w:rFonts w:hint="eastAsia"/>
                      <w:color w:val="auto"/>
                      <w:sz w:val="21"/>
                      <w:szCs w:val="21"/>
                    </w:rPr>
                  </w:pPr>
                  <w:r>
                    <w:rPr>
                      <w:rFonts w:hint="eastAsia"/>
                      <w:color w:val="auto"/>
                      <w:sz w:val="21"/>
                      <w:szCs w:val="21"/>
                    </w:rPr>
                    <w:t>4.禁止新建企业自备燃煤设施。</w:t>
                  </w:r>
                </w:p>
                <w:p w14:paraId="4F7ECC1C">
                  <w:pPr>
                    <w:widowControl/>
                    <w:jc w:val="left"/>
                    <w:rPr>
                      <w:rFonts w:hint="eastAsia"/>
                      <w:color w:val="auto"/>
                      <w:sz w:val="21"/>
                      <w:szCs w:val="21"/>
                    </w:rPr>
                  </w:pPr>
                  <w:r>
                    <w:rPr>
                      <w:rFonts w:hint="eastAsia"/>
                      <w:color w:val="auto"/>
                      <w:sz w:val="21"/>
                      <w:szCs w:val="21"/>
                    </w:rPr>
                    <w:t>5.在城市规划区内禁止新建废气污染严重的建设项目。</w:t>
                  </w:r>
                </w:p>
                <w:p w14:paraId="340416F2">
                  <w:pPr>
                    <w:widowControl/>
                    <w:jc w:val="left"/>
                    <w:rPr>
                      <w:rFonts w:hint="eastAsia"/>
                      <w:color w:val="auto"/>
                      <w:sz w:val="21"/>
                      <w:szCs w:val="21"/>
                    </w:rPr>
                  </w:pPr>
                  <w:r>
                    <w:rPr>
                      <w:rFonts w:hint="eastAsia"/>
                      <w:color w:val="auto"/>
                      <w:sz w:val="21"/>
                      <w:szCs w:val="21"/>
                    </w:rPr>
                    <w:t>6.优化产业布局，划定并坚守生态红线，严禁在生态脆弱或环境敏感区建设“两高”项目。</w:t>
                  </w:r>
                </w:p>
                <w:p w14:paraId="41E28CBD">
                  <w:pPr>
                    <w:widowControl/>
                    <w:jc w:val="left"/>
                    <w:rPr>
                      <w:rFonts w:hint="eastAsia"/>
                      <w:color w:val="auto"/>
                      <w:sz w:val="21"/>
                      <w:szCs w:val="21"/>
                    </w:rPr>
                  </w:pPr>
                  <w:r>
                    <w:rPr>
                      <w:rFonts w:hint="eastAsia"/>
                      <w:color w:val="auto"/>
                      <w:sz w:val="21"/>
                      <w:szCs w:val="21"/>
                    </w:rPr>
                    <w:t>7.严禁采用国家限制和淘汰的采选技术、工艺和设备，强化矿山环境污染防治与生态恢复治理。加强生产矿山开采活动与造地、复垦、恢复植被等生态修复同步实施。</w:t>
                  </w:r>
                </w:p>
                <w:p w14:paraId="42C8BBF9">
                  <w:pPr>
                    <w:widowControl/>
                    <w:jc w:val="left"/>
                    <w:rPr>
                      <w:rFonts w:hint="eastAsia"/>
                      <w:color w:val="auto"/>
                      <w:sz w:val="21"/>
                      <w:szCs w:val="21"/>
                    </w:rPr>
                  </w:pPr>
                  <w:r>
                    <w:rPr>
                      <w:rFonts w:hint="eastAsia"/>
                      <w:color w:val="auto"/>
                      <w:sz w:val="21"/>
                      <w:szCs w:val="21"/>
                    </w:rPr>
                    <w:t>8.严格禁止超出本地区资源环境承载能力的产业进入，逐步“关停并转”高污染和高耗水产业。</w:t>
                  </w:r>
                </w:p>
                <w:p w14:paraId="1150ECB2">
                  <w:pPr>
                    <w:widowControl/>
                    <w:jc w:val="left"/>
                    <w:rPr>
                      <w:rFonts w:hint="eastAsia"/>
                      <w:color w:val="auto"/>
                      <w:sz w:val="21"/>
                      <w:szCs w:val="21"/>
                    </w:rPr>
                  </w:pPr>
                  <w:r>
                    <w:rPr>
                      <w:rFonts w:hint="eastAsia"/>
                      <w:color w:val="auto"/>
                      <w:sz w:val="21"/>
                      <w:szCs w:val="21"/>
                    </w:rPr>
                    <w:t>9.严格执行相关行业企业布局选址要求，禁止在居民区、学校、医疗和养老机构等周边新建重污染行业企业;结合推进新型城镇化、产业结构调整和化解过剩产能等，有序搬迁或依法关闭对土壤造成严重污染的现有企业。</w:t>
                  </w:r>
                </w:p>
                <w:p w14:paraId="0478237A">
                  <w:pPr>
                    <w:widowControl/>
                    <w:jc w:val="left"/>
                    <w:rPr>
                      <w:rFonts w:hint="eastAsia"/>
                      <w:color w:val="auto"/>
                      <w:sz w:val="21"/>
                      <w:szCs w:val="21"/>
                    </w:rPr>
                  </w:pPr>
                  <w:r>
                    <w:rPr>
                      <w:rFonts w:hint="eastAsia"/>
                      <w:color w:val="auto"/>
                      <w:sz w:val="21"/>
                      <w:szCs w:val="21"/>
                    </w:rPr>
                    <w:t>10.严把项目准入关，严格禁止与主体功能不符的产业进入。</w:t>
                  </w:r>
                </w:p>
                <w:p w14:paraId="43F26303">
                  <w:pPr>
                    <w:widowControl/>
                    <w:jc w:val="left"/>
                    <w:rPr>
                      <w:rFonts w:hint="eastAsia"/>
                      <w:color w:val="auto"/>
                      <w:sz w:val="21"/>
                      <w:szCs w:val="21"/>
                    </w:rPr>
                  </w:pPr>
                  <w:r>
                    <w:rPr>
                      <w:rFonts w:hint="eastAsia"/>
                      <w:color w:val="auto"/>
                      <w:sz w:val="21"/>
                      <w:szCs w:val="21"/>
                    </w:rPr>
                    <w:t>11.禁止新建大规模工业开发区，严格控制开发区范围，已有工业开发区需转型为绿色生态工业区。</w:t>
                  </w:r>
                </w:p>
                <w:p w14:paraId="61B0DD92">
                  <w:pPr>
                    <w:widowControl/>
                    <w:jc w:val="left"/>
                    <w:rPr>
                      <w:rFonts w:hint="eastAsia"/>
                      <w:color w:val="auto"/>
                      <w:sz w:val="21"/>
                      <w:szCs w:val="21"/>
                    </w:rPr>
                  </w:pPr>
                  <w:r>
                    <w:rPr>
                      <w:rFonts w:hint="eastAsia"/>
                      <w:color w:val="auto"/>
                      <w:sz w:val="21"/>
                      <w:szCs w:val="21"/>
                    </w:rPr>
                    <w:t>12.在新型城镇化工业化集聚发展区内，将环境影响较大、土地利用效率低、资源消耗多、产能过剩的产业列入限制类，将高耗水、高污染、高耗能的产业列入禁止类。</w:t>
                  </w:r>
                </w:p>
                <w:p w14:paraId="3DC1694A">
                  <w:pPr>
                    <w:widowControl/>
                    <w:jc w:val="left"/>
                    <w:rPr>
                      <w:rFonts w:hint="eastAsia"/>
                      <w:color w:val="auto"/>
                      <w:sz w:val="21"/>
                      <w:szCs w:val="21"/>
                    </w:rPr>
                  </w:pPr>
                  <w:r>
                    <w:rPr>
                      <w:rFonts w:hint="eastAsia"/>
                      <w:color w:val="auto"/>
                      <w:sz w:val="21"/>
                      <w:szCs w:val="21"/>
                    </w:rPr>
                    <w:t>13.严格落实河长制，加强水源地保护，严禁对地表及地下水有较大污染的企业进入，严格控制面源污染，逐步淘汰与主体功能区不符的产业。</w:t>
                  </w:r>
                </w:p>
                <w:p w14:paraId="38238B5B">
                  <w:pPr>
                    <w:widowControl/>
                    <w:jc w:val="left"/>
                    <w:rPr>
                      <w:rFonts w:hint="eastAsia"/>
                      <w:color w:val="auto"/>
                      <w:sz w:val="21"/>
                      <w:szCs w:val="21"/>
                    </w:rPr>
                  </w:pPr>
                  <w:r>
                    <w:rPr>
                      <w:rFonts w:hint="eastAsia"/>
                      <w:color w:val="auto"/>
                      <w:sz w:val="21"/>
                      <w:szCs w:val="21"/>
                    </w:rPr>
                    <w:t>14.禁止新建企业自备燃煤设施</w:t>
                  </w:r>
                </w:p>
                <w:p w14:paraId="3111D110">
                  <w:pPr>
                    <w:widowControl/>
                    <w:jc w:val="left"/>
                    <w:rPr>
                      <w:rFonts w:hint="eastAsia"/>
                      <w:color w:val="auto"/>
                      <w:sz w:val="21"/>
                      <w:szCs w:val="21"/>
                    </w:rPr>
                  </w:pPr>
                  <w:r>
                    <w:rPr>
                      <w:rFonts w:hint="eastAsia"/>
                      <w:color w:val="auto"/>
                      <w:sz w:val="21"/>
                      <w:szCs w:val="21"/>
                    </w:rPr>
                    <w:t>15.原则上不得新建热电联产和天然气化工项目</w:t>
                  </w:r>
                </w:p>
                <w:p w14:paraId="53D67391">
                  <w:pPr>
                    <w:widowControl/>
                    <w:jc w:val="left"/>
                    <w:rPr>
                      <w:rFonts w:hint="eastAsia"/>
                      <w:color w:val="auto"/>
                      <w:sz w:val="21"/>
                      <w:szCs w:val="21"/>
                    </w:rPr>
                  </w:pPr>
                  <w:r>
                    <w:rPr>
                      <w:rFonts w:hint="eastAsia"/>
                      <w:color w:val="auto"/>
                      <w:sz w:val="21"/>
                      <w:szCs w:val="21"/>
                    </w:rPr>
                    <w:t>16.禁止进口或者销售超过污染物排放标准的非道路移动机械。</w:t>
                  </w:r>
                </w:p>
                <w:p w14:paraId="2DF6FE7B">
                  <w:pPr>
                    <w:widowControl/>
                    <w:jc w:val="left"/>
                    <w:rPr>
                      <w:rFonts w:hint="eastAsia"/>
                      <w:color w:val="auto"/>
                      <w:sz w:val="21"/>
                      <w:szCs w:val="21"/>
                    </w:rPr>
                  </w:pPr>
                  <w:r>
                    <w:rPr>
                      <w:rFonts w:hint="eastAsia"/>
                      <w:color w:val="auto"/>
                      <w:sz w:val="21"/>
                      <w:szCs w:val="21"/>
                    </w:rPr>
                    <w:t>17.禁止生产、进口、销售不符合标准的非道路移动机械用燃料、发动机油、氮氧化物还原剂和润滑油添加剂以及其他添加剂。</w:t>
                  </w:r>
                </w:p>
                <w:p w14:paraId="0096352C">
                  <w:pPr>
                    <w:widowControl/>
                    <w:jc w:val="left"/>
                    <w:rPr>
                      <w:rFonts w:hint="eastAsia"/>
                      <w:color w:val="auto"/>
                      <w:sz w:val="21"/>
                      <w:szCs w:val="21"/>
                    </w:rPr>
                  </w:pPr>
                  <w:r>
                    <w:rPr>
                      <w:rFonts w:hint="eastAsia"/>
                      <w:color w:val="auto"/>
                      <w:sz w:val="21"/>
                      <w:szCs w:val="21"/>
                    </w:rPr>
                    <w:t>18.禁止生产厚度小于0.025毫米超薄塑料购物袋、厚度小于0.01毫米的聚乙烯农用地膜。</w:t>
                  </w:r>
                </w:p>
                <w:p w14:paraId="4E30CFC4">
                  <w:pPr>
                    <w:widowControl/>
                    <w:jc w:val="left"/>
                    <w:rPr>
                      <w:rFonts w:hint="eastAsia"/>
                      <w:color w:val="auto"/>
                      <w:sz w:val="21"/>
                      <w:szCs w:val="21"/>
                    </w:rPr>
                  </w:pPr>
                  <w:r>
                    <w:rPr>
                      <w:rFonts w:hint="eastAsia"/>
                      <w:color w:val="auto"/>
                      <w:sz w:val="21"/>
                      <w:szCs w:val="21"/>
                    </w:rPr>
                    <w:t>19.禁止生产含塑料微珠日化产品等部分危害环境和人体健康的产品。</w:t>
                  </w:r>
                </w:p>
                <w:p w14:paraId="3949DE18">
                  <w:pPr>
                    <w:widowControl/>
                    <w:jc w:val="left"/>
                    <w:rPr>
                      <w:rFonts w:hint="eastAsia"/>
                      <w:color w:val="auto"/>
                      <w:sz w:val="21"/>
                      <w:szCs w:val="21"/>
                    </w:rPr>
                  </w:pPr>
                  <w:r>
                    <w:rPr>
                      <w:rFonts w:hint="eastAsia"/>
                      <w:color w:val="auto"/>
                      <w:sz w:val="21"/>
                      <w:szCs w:val="21"/>
                    </w:rPr>
                    <w:t>20.严禁新建《产业结构调整指导目录》限制类和新（改、扩）建淘</w:t>
                  </w:r>
                  <w:r>
                    <w:rPr>
                      <w:rFonts w:hint="eastAsia"/>
                      <w:color w:val="auto"/>
                      <w:sz w:val="21"/>
                      <w:szCs w:val="21"/>
                      <w:lang w:val="en-US" w:eastAsia="zh-CN"/>
                    </w:rPr>
                    <w:t>汰</w:t>
                  </w:r>
                  <w:r>
                    <w:rPr>
                      <w:rFonts w:hint="eastAsia"/>
                      <w:color w:val="auto"/>
                      <w:sz w:val="21"/>
                      <w:szCs w:val="21"/>
                    </w:rPr>
                    <w:t>类化工项目。</w:t>
                  </w:r>
                </w:p>
                <w:p w14:paraId="0C4AF8F8">
                  <w:pPr>
                    <w:widowControl/>
                    <w:jc w:val="left"/>
                    <w:rPr>
                      <w:rFonts w:hint="eastAsia"/>
                      <w:color w:val="auto"/>
                      <w:sz w:val="21"/>
                      <w:szCs w:val="21"/>
                    </w:rPr>
                  </w:pPr>
                  <w:r>
                    <w:rPr>
                      <w:rFonts w:hint="eastAsia"/>
                      <w:color w:val="auto"/>
                      <w:sz w:val="21"/>
                      <w:szCs w:val="21"/>
                    </w:rPr>
                    <w:t>21.严禁未批先建。禁止建设达不到安全标准的落后生产工艺、未委托具有相应资质设计单位进行工艺设计、搬迁使用旧设备的新（改、扩）建项目。</w:t>
                  </w:r>
                </w:p>
                <w:p w14:paraId="0714033A">
                  <w:pPr>
                    <w:widowControl/>
                    <w:jc w:val="left"/>
                    <w:rPr>
                      <w:rFonts w:hint="eastAsia"/>
                      <w:color w:val="auto"/>
                      <w:sz w:val="21"/>
                      <w:szCs w:val="21"/>
                    </w:rPr>
                  </w:pPr>
                  <w:r>
                    <w:rPr>
                      <w:rFonts w:hint="eastAsia"/>
                      <w:color w:val="auto"/>
                      <w:sz w:val="21"/>
                      <w:szCs w:val="21"/>
                    </w:rPr>
                    <w:t>22.新（改、扩）建精细化工项目，按规定开展反应安全风险评估，禁止反应工艺危险度5级的项目。</w:t>
                  </w:r>
                </w:p>
                <w:p w14:paraId="0B5A89B5">
                  <w:pPr>
                    <w:widowControl/>
                    <w:jc w:val="left"/>
                    <w:rPr>
                      <w:rFonts w:hint="eastAsia"/>
                      <w:color w:val="auto"/>
                      <w:sz w:val="21"/>
                      <w:szCs w:val="21"/>
                    </w:rPr>
                  </w:pPr>
                  <w:r>
                    <w:rPr>
                      <w:rFonts w:hint="eastAsia"/>
                      <w:color w:val="auto"/>
                      <w:sz w:val="21"/>
                      <w:szCs w:val="21"/>
                    </w:rPr>
                    <w:t>23.原则上在自然保护区的核心区和缓冲区禁止开展增殖渔业。</w:t>
                  </w:r>
                </w:p>
                <w:p w14:paraId="347629AD">
                  <w:pPr>
                    <w:widowControl/>
                    <w:jc w:val="left"/>
                    <w:rPr>
                      <w:rFonts w:hint="eastAsia"/>
                      <w:color w:val="auto"/>
                      <w:sz w:val="21"/>
                      <w:szCs w:val="21"/>
                    </w:rPr>
                  </w:pPr>
                  <w:r>
                    <w:rPr>
                      <w:rFonts w:hint="eastAsia"/>
                      <w:color w:val="auto"/>
                      <w:sz w:val="21"/>
                      <w:szCs w:val="21"/>
                    </w:rPr>
                    <w:t>24.在禁养区内，严格禁止生产性养殖。</w:t>
                  </w:r>
                </w:p>
                <w:p w14:paraId="67FCBA91">
                  <w:pPr>
                    <w:widowControl/>
                    <w:jc w:val="left"/>
                    <w:rPr>
                      <w:rFonts w:hint="eastAsia"/>
                      <w:color w:val="auto"/>
                      <w:sz w:val="21"/>
                      <w:szCs w:val="21"/>
                    </w:rPr>
                  </w:pPr>
                  <w:r>
                    <w:rPr>
                      <w:rFonts w:hint="eastAsia"/>
                      <w:color w:val="auto"/>
                      <w:sz w:val="21"/>
                      <w:szCs w:val="21"/>
                    </w:rPr>
                    <w:t>25.扎实落实市总河长2号令,全市范围内禁止河坡、堤坡、干涸河床农田耕种，禁止侵占自然湿地等水源涵养空间,进一步减少农药、化肥施用量和入河量。</w:t>
                  </w:r>
                </w:p>
                <w:p w14:paraId="273E29DD">
                  <w:pPr>
                    <w:widowControl/>
                    <w:jc w:val="left"/>
                    <w:rPr>
                      <w:rFonts w:hint="eastAsia"/>
                      <w:color w:val="auto"/>
                      <w:sz w:val="21"/>
                      <w:szCs w:val="21"/>
                    </w:rPr>
                  </w:pPr>
                  <w:r>
                    <w:rPr>
                      <w:rFonts w:hint="eastAsia"/>
                      <w:color w:val="auto"/>
                      <w:sz w:val="21"/>
                      <w:szCs w:val="21"/>
                    </w:rPr>
                    <w:t>1.开展重点区域、重点流域、重点行业和产业布局规划环评，调整优化不符合生态环境功能定位的产业布局、规模和结构，严格控制环境风险项目。</w:t>
                  </w:r>
                </w:p>
                <w:p w14:paraId="56CBFDC3">
                  <w:pPr>
                    <w:widowControl/>
                    <w:jc w:val="left"/>
                    <w:rPr>
                      <w:rFonts w:hint="eastAsia"/>
                      <w:color w:val="auto"/>
                      <w:sz w:val="21"/>
                      <w:szCs w:val="21"/>
                    </w:rPr>
                  </w:pPr>
                  <w:r>
                    <w:rPr>
                      <w:rFonts w:hint="eastAsia"/>
                      <w:color w:val="auto"/>
                      <w:sz w:val="21"/>
                      <w:szCs w:val="21"/>
                    </w:rPr>
                    <w:t>2.落实国家相关要求，严格限制高风险化学品生产、使用、进出口，并逐步淘汰、替代。</w:t>
                  </w:r>
                </w:p>
                <w:p w14:paraId="1E426B61">
                  <w:pPr>
                    <w:widowControl/>
                    <w:jc w:val="left"/>
                    <w:rPr>
                      <w:rFonts w:hint="eastAsia"/>
                      <w:color w:val="auto"/>
                      <w:sz w:val="21"/>
                      <w:szCs w:val="21"/>
                    </w:rPr>
                  </w:pPr>
                  <w:r>
                    <w:rPr>
                      <w:rFonts w:hint="eastAsia"/>
                      <w:color w:val="auto"/>
                      <w:sz w:val="21"/>
                      <w:szCs w:val="21"/>
                    </w:rPr>
                    <w:t>3.严格控制高耗水新建、改扩建项目，推进高耗水企业向水资源条件允许的工业园区集中。</w:t>
                  </w:r>
                </w:p>
                <w:p w14:paraId="549FDDEF">
                  <w:pPr>
                    <w:widowControl/>
                    <w:jc w:val="left"/>
                    <w:rPr>
                      <w:rFonts w:hint="eastAsia"/>
                      <w:color w:val="auto"/>
                      <w:sz w:val="21"/>
                      <w:szCs w:val="21"/>
                    </w:rPr>
                  </w:pPr>
                  <w:r>
                    <w:rPr>
                      <w:rFonts w:hint="eastAsia"/>
                      <w:color w:val="auto"/>
                      <w:sz w:val="21"/>
                      <w:szCs w:val="21"/>
                    </w:rPr>
                    <w:t>4在限制开发区域和禁止开发区域，新上涉及锅炉项目全部采用电锅炉。</w:t>
                  </w:r>
                </w:p>
                <w:p w14:paraId="0FCCE3EE">
                  <w:pPr>
                    <w:widowControl/>
                    <w:jc w:val="left"/>
                    <w:rPr>
                      <w:rFonts w:hint="eastAsia"/>
                      <w:color w:val="auto"/>
                      <w:sz w:val="21"/>
                      <w:szCs w:val="21"/>
                    </w:rPr>
                  </w:pPr>
                  <w:r>
                    <w:rPr>
                      <w:rFonts w:hint="eastAsia"/>
                      <w:color w:val="auto"/>
                      <w:sz w:val="21"/>
                      <w:szCs w:val="21"/>
                      <w:lang w:val="en-US" w:eastAsia="zh-CN"/>
                    </w:rPr>
                    <w:t>5</w:t>
                  </w:r>
                  <w:r>
                    <w:rPr>
                      <w:rFonts w:hint="eastAsia"/>
                      <w:color w:val="auto"/>
                      <w:sz w:val="21"/>
                      <w:szCs w:val="21"/>
                    </w:rPr>
                    <w:t>.严格控制重金属排放总量，重金属排放量比2015年不增加，对现有涉重企业改扩建项目要采取“增产不增污”。</w:t>
                  </w:r>
                </w:p>
                <w:p w14:paraId="3CB059FE">
                  <w:pPr>
                    <w:widowControl/>
                    <w:jc w:val="left"/>
                    <w:rPr>
                      <w:rFonts w:hint="eastAsia"/>
                      <w:color w:val="auto"/>
                      <w:sz w:val="21"/>
                      <w:szCs w:val="21"/>
                    </w:rPr>
                  </w:pPr>
                  <w:r>
                    <w:rPr>
                      <w:rFonts w:hint="eastAsia"/>
                      <w:color w:val="auto"/>
                      <w:sz w:val="21"/>
                      <w:szCs w:val="21"/>
                      <w:lang w:val="en-US" w:eastAsia="zh-CN"/>
                    </w:rPr>
                    <w:t>6</w:t>
                  </w:r>
                  <w:r>
                    <w:rPr>
                      <w:rFonts w:hint="eastAsia"/>
                      <w:color w:val="auto"/>
                      <w:sz w:val="21"/>
                      <w:szCs w:val="21"/>
                    </w:rPr>
                    <w:t>.严格控制缺水地区、水污染严重地区和敏感区域高耗水、高污染行业发展，新建、改建、扩建重点行业建设项目实行主要污染物排放减量置换。</w:t>
                  </w:r>
                </w:p>
                <w:p w14:paraId="10E9E1FE">
                  <w:pPr>
                    <w:widowControl/>
                    <w:jc w:val="left"/>
                    <w:rPr>
                      <w:rFonts w:hint="eastAsia"/>
                      <w:color w:val="auto"/>
                      <w:sz w:val="21"/>
                      <w:szCs w:val="21"/>
                    </w:rPr>
                  </w:pPr>
                  <w:r>
                    <w:rPr>
                      <w:rFonts w:hint="eastAsia"/>
                      <w:color w:val="auto"/>
                      <w:sz w:val="21"/>
                      <w:szCs w:val="21"/>
                      <w:lang w:val="en-US" w:eastAsia="zh-CN"/>
                    </w:rPr>
                    <w:t>7</w:t>
                  </w:r>
                  <w:r>
                    <w:rPr>
                      <w:rFonts w:hint="eastAsia"/>
                      <w:color w:val="auto"/>
                      <w:sz w:val="21"/>
                      <w:szCs w:val="21"/>
                    </w:rPr>
                    <w:t>.严格控制在优先保护类耕地集中区域新建化工、电镀、制革等行业企业，现有相关行业企业要采用新技术、新工艺，加快提标升级改造步伐。</w:t>
                  </w:r>
                </w:p>
                <w:p w14:paraId="2401B95A">
                  <w:pPr>
                    <w:widowControl/>
                    <w:jc w:val="left"/>
                    <w:rPr>
                      <w:rFonts w:hint="eastAsia"/>
                      <w:color w:val="auto"/>
                      <w:sz w:val="21"/>
                      <w:szCs w:val="21"/>
                    </w:rPr>
                  </w:pPr>
                  <w:r>
                    <w:rPr>
                      <w:rFonts w:hint="eastAsia"/>
                      <w:color w:val="auto"/>
                      <w:sz w:val="21"/>
                      <w:szCs w:val="21"/>
                      <w:lang w:val="en-US" w:eastAsia="zh-CN"/>
                    </w:rPr>
                    <w:t>8</w:t>
                  </w:r>
                  <w:r>
                    <w:rPr>
                      <w:rFonts w:hint="eastAsia"/>
                      <w:color w:val="auto"/>
                      <w:sz w:val="21"/>
                      <w:szCs w:val="21"/>
                    </w:rPr>
                    <w:t>.严格控制开发区范围，已有工业开发区需转型为绿色生态工业区。</w:t>
                  </w:r>
                </w:p>
                <w:p w14:paraId="17C3B359">
                  <w:pPr>
                    <w:widowControl/>
                    <w:jc w:val="left"/>
                    <w:rPr>
                      <w:rFonts w:hint="eastAsia"/>
                      <w:color w:val="auto"/>
                      <w:sz w:val="21"/>
                      <w:szCs w:val="21"/>
                    </w:rPr>
                  </w:pPr>
                  <w:r>
                    <w:rPr>
                      <w:rFonts w:hint="eastAsia"/>
                      <w:color w:val="auto"/>
                      <w:sz w:val="21"/>
                      <w:szCs w:val="21"/>
                      <w:lang w:val="en-US" w:eastAsia="zh-CN"/>
                    </w:rPr>
                    <w:t>9</w:t>
                  </w:r>
                  <w:r>
                    <w:rPr>
                      <w:rFonts w:hint="eastAsia"/>
                      <w:color w:val="auto"/>
                      <w:sz w:val="21"/>
                      <w:szCs w:val="21"/>
                    </w:rPr>
                    <w:t>.将环境影响较大、土地利用效率低、资源消耗多、产能过剩的产业列入限制类发展产业。</w:t>
                  </w:r>
                </w:p>
                <w:p w14:paraId="6BCBB748">
                  <w:pPr>
                    <w:widowControl/>
                    <w:jc w:val="left"/>
                    <w:rPr>
                      <w:rFonts w:hint="eastAsia"/>
                      <w:color w:val="auto"/>
                      <w:sz w:val="21"/>
                      <w:szCs w:val="21"/>
                    </w:rPr>
                  </w:pPr>
                  <w:r>
                    <w:rPr>
                      <w:rFonts w:hint="eastAsia"/>
                      <w:color w:val="auto"/>
                      <w:sz w:val="21"/>
                      <w:szCs w:val="21"/>
                      <w:lang w:val="en-US" w:eastAsia="zh-CN"/>
                    </w:rPr>
                    <w:t>10</w:t>
                  </w:r>
                  <w:r>
                    <w:rPr>
                      <w:rFonts w:hint="eastAsia"/>
                      <w:color w:val="auto"/>
                      <w:sz w:val="21"/>
                      <w:szCs w:val="21"/>
                    </w:rPr>
                    <w:t>.有效规范空间开发秩序，合理控制空间开发强度，切实将各类开发活动限制在资源环境承载能力之内。</w:t>
                  </w:r>
                </w:p>
                <w:p w14:paraId="57065527">
                  <w:pPr>
                    <w:widowControl/>
                    <w:jc w:val="left"/>
                    <w:rPr>
                      <w:rFonts w:hint="eastAsia"/>
                      <w:color w:val="auto"/>
                      <w:sz w:val="21"/>
                      <w:szCs w:val="21"/>
                    </w:rPr>
                  </w:pPr>
                  <w:r>
                    <w:rPr>
                      <w:rFonts w:hint="eastAsia"/>
                      <w:color w:val="auto"/>
                      <w:sz w:val="21"/>
                      <w:szCs w:val="21"/>
                    </w:rPr>
                    <w:t>1</w:t>
                  </w:r>
                  <w:r>
                    <w:rPr>
                      <w:rFonts w:hint="eastAsia"/>
                      <w:color w:val="auto"/>
                      <w:sz w:val="21"/>
                      <w:szCs w:val="21"/>
                      <w:lang w:val="en-US" w:eastAsia="zh-CN"/>
                    </w:rPr>
                    <w:t>1</w:t>
                  </w:r>
                  <w:r>
                    <w:rPr>
                      <w:rFonts w:hint="eastAsia"/>
                      <w:color w:val="auto"/>
                      <w:sz w:val="21"/>
                      <w:szCs w:val="21"/>
                    </w:rPr>
                    <w:t>.建成区严格控制新建生物质锅炉。</w:t>
                  </w:r>
                </w:p>
                <w:p w14:paraId="363F238E">
                  <w:pPr>
                    <w:widowControl/>
                    <w:jc w:val="left"/>
                    <w:rPr>
                      <w:rFonts w:hint="eastAsia"/>
                      <w:color w:val="auto"/>
                      <w:sz w:val="21"/>
                      <w:szCs w:val="21"/>
                    </w:rPr>
                  </w:pPr>
                  <w:r>
                    <w:rPr>
                      <w:rFonts w:hint="eastAsia"/>
                      <w:color w:val="auto"/>
                      <w:sz w:val="21"/>
                      <w:szCs w:val="21"/>
                    </w:rPr>
                    <w:t>1</w:t>
                  </w:r>
                  <w:r>
                    <w:rPr>
                      <w:rFonts w:hint="eastAsia"/>
                      <w:color w:val="auto"/>
                      <w:sz w:val="21"/>
                      <w:szCs w:val="21"/>
                      <w:lang w:val="en-US" w:eastAsia="zh-CN"/>
                    </w:rPr>
                    <w:t>2</w:t>
                  </w:r>
                  <w:r>
                    <w:rPr>
                      <w:rFonts w:hint="eastAsia"/>
                      <w:color w:val="auto"/>
                      <w:sz w:val="21"/>
                      <w:szCs w:val="21"/>
                    </w:rPr>
                    <w:t>.严控化石能源消费总量，新、改、扩建项目严格实施煤炭等量或减量替代。</w:t>
                  </w:r>
                </w:p>
                <w:p w14:paraId="249BBEA5">
                  <w:pPr>
                    <w:widowControl/>
                    <w:jc w:val="left"/>
                    <w:rPr>
                      <w:rFonts w:hint="eastAsia"/>
                      <w:color w:val="auto"/>
                      <w:sz w:val="21"/>
                      <w:szCs w:val="21"/>
                    </w:rPr>
                  </w:pPr>
                  <w:r>
                    <w:rPr>
                      <w:rFonts w:hint="eastAsia"/>
                      <w:color w:val="auto"/>
                      <w:sz w:val="21"/>
                      <w:szCs w:val="21"/>
                    </w:rPr>
                    <w:t>1</w:t>
                  </w:r>
                  <w:r>
                    <w:rPr>
                      <w:rFonts w:hint="eastAsia"/>
                      <w:color w:val="auto"/>
                      <w:sz w:val="21"/>
                      <w:szCs w:val="21"/>
                      <w:lang w:val="en-US" w:eastAsia="zh-CN"/>
                    </w:rPr>
                    <w:t>3</w:t>
                  </w:r>
                  <w:r>
                    <w:rPr>
                      <w:rFonts w:hint="eastAsia"/>
                      <w:color w:val="auto"/>
                      <w:sz w:val="21"/>
                      <w:szCs w:val="21"/>
                    </w:rPr>
                    <w:t>.严格限制新建剧毒化学品生产项目，实现剧毒化学品生产企业只减不增,原则上不再批准新设光气生产企业。</w:t>
                  </w:r>
                </w:p>
                <w:p w14:paraId="15555B9F">
                  <w:pPr>
                    <w:widowControl/>
                    <w:jc w:val="left"/>
                    <w:rPr>
                      <w:rFonts w:hint="eastAsia"/>
                      <w:color w:val="auto"/>
                      <w:sz w:val="21"/>
                      <w:szCs w:val="21"/>
                    </w:rPr>
                  </w:pPr>
                  <w:r>
                    <w:rPr>
                      <w:rFonts w:hint="eastAsia"/>
                      <w:color w:val="auto"/>
                      <w:sz w:val="21"/>
                      <w:szCs w:val="21"/>
                    </w:rPr>
                    <w:t>1</w:t>
                  </w:r>
                  <w:r>
                    <w:rPr>
                      <w:rFonts w:hint="eastAsia"/>
                      <w:color w:val="auto"/>
                      <w:sz w:val="21"/>
                      <w:szCs w:val="21"/>
                      <w:lang w:val="en-US" w:eastAsia="zh-CN"/>
                    </w:rPr>
                    <w:t>4</w:t>
                  </w:r>
                  <w:r>
                    <w:rPr>
                      <w:rFonts w:hint="eastAsia"/>
                      <w:color w:val="auto"/>
                      <w:sz w:val="21"/>
                      <w:szCs w:val="21"/>
                    </w:rPr>
                    <w:t>.严格控制尿素、电石、纯碱(天然碱除外)等过剩行业新增产能，确有必要建设的项目实行等量或减量置换。严格控制引进涉及光气化、硝化、重氮化、偶氮化工艺以及硝酸铵、硝酸胍、硝基苯系物等爆炸性化学品等高</w:t>
                  </w:r>
                </w:p>
                <w:p w14:paraId="19E35C74">
                  <w:pPr>
                    <w:widowControl/>
                    <w:jc w:val="left"/>
                    <w:rPr>
                      <w:rFonts w:hint="eastAsia"/>
                      <w:color w:val="auto"/>
                      <w:sz w:val="21"/>
                      <w:szCs w:val="21"/>
                    </w:rPr>
                  </w:pPr>
                  <w:r>
                    <w:rPr>
                      <w:rFonts w:hint="eastAsia"/>
                      <w:color w:val="auto"/>
                      <w:sz w:val="21"/>
                      <w:szCs w:val="21"/>
                    </w:rPr>
                    <w:t>风险项目，原则上非重大产业配套、产业链衔接或高新产品项目不再引进。</w:t>
                  </w:r>
                </w:p>
                <w:p w14:paraId="22CE6C15">
                  <w:pPr>
                    <w:widowControl/>
                    <w:jc w:val="left"/>
                    <w:rPr>
                      <w:rFonts w:hint="eastAsia"/>
                      <w:color w:val="auto"/>
                      <w:sz w:val="21"/>
                      <w:szCs w:val="21"/>
                    </w:rPr>
                  </w:pPr>
                  <w:r>
                    <w:rPr>
                      <w:rFonts w:hint="eastAsia"/>
                      <w:color w:val="auto"/>
                      <w:sz w:val="21"/>
                      <w:szCs w:val="21"/>
                    </w:rPr>
                    <w:t>1</w:t>
                  </w:r>
                  <w:r>
                    <w:rPr>
                      <w:rFonts w:hint="eastAsia"/>
                      <w:color w:val="auto"/>
                      <w:sz w:val="21"/>
                      <w:szCs w:val="21"/>
                      <w:lang w:val="en-US" w:eastAsia="zh-CN"/>
                    </w:rPr>
                    <w:t>5</w:t>
                  </w:r>
                  <w:r>
                    <w:rPr>
                      <w:rFonts w:hint="eastAsia"/>
                      <w:color w:val="auto"/>
                      <w:sz w:val="21"/>
                      <w:szCs w:val="21"/>
                    </w:rPr>
                    <w:t>.新(改、扩)建精细化工项目，按规定开展反应安全风险评估,严格限制反应工艺危险度4级的项目。</w:t>
                  </w:r>
                </w:p>
                <w:p w14:paraId="334394E2">
                  <w:pPr>
                    <w:widowControl/>
                    <w:jc w:val="left"/>
                    <w:rPr>
                      <w:rFonts w:hint="eastAsia"/>
                      <w:color w:val="auto"/>
                      <w:sz w:val="21"/>
                      <w:szCs w:val="21"/>
                    </w:rPr>
                  </w:pPr>
                </w:p>
                <w:p w14:paraId="0F3BEE3C">
                  <w:pPr>
                    <w:widowControl/>
                    <w:jc w:val="left"/>
                    <w:rPr>
                      <w:rFonts w:hint="eastAsia"/>
                      <w:color w:val="auto"/>
                      <w:sz w:val="21"/>
                      <w:szCs w:val="21"/>
                    </w:rPr>
                  </w:pPr>
                  <w:r>
                    <w:rPr>
                      <w:rFonts w:hint="eastAsia"/>
                      <w:color w:val="auto"/>
                      <w:sz w:val="21"/>
                      <w:szCs w:val="21"/>
                    </w:rPr>
                    <w:t>1.严格执行污染排放标准，加大钢铁等重点行业落后产能淘汰力度。</w:t>
                  </w:r>
                </w:p>
                <w:p w14:paraId="61D39D61">
                  <w:pPr>
                    <w:widowControl/>
                    <w:jc w:val="left"/>
                    <w:rPr>
                      <w:rFonts w:hint="eastAsia"/>
                      <w:color w:val="auto"/>
                      <w:sz w:val="21"/>
                      <w:szCs w:val="21"/>
                    </w:rPr>
                  </w:pPr>
                  <w:r>
                    <w:rPr>
                      <w:rFonts w:hint="eastAsia"/>
                      <w:color w:val="auto"/>
                      <w:sz w:val="21"/>
                      <w:szCs w:val="21"/>
                    </w:rPr>
                    <w:t>2.加大排放高、污染重的煤电机组淘汰力度。</w:t>
                  </w:r>
                </w:p>
                <w:p w14:paraId="04D1FAD9">
                  <w:pPr>
                    <w:widowControl/>
                    <w:jc w:val="left"/>
                    <w:rPr>
                      <w:rFonts w:hint="eastAsia"/>
                      <w:color w:val="auto"/>
                      <w:sz w:val="21"/>
                      <w:szCs w:val="21"/>
                    </w:rPr>
                  </w:pPr>
                  <w:r>
                    <w:rPr>
                      <w:rFonts w:hint="eastAsia"/>
                      <w:color w:val="auto"/>
                      <w:sz w:val="21"/>
                      <w:szCs w:val="21"/>
                    </w:rPr>
                    <w:t>3.坚决关停用地、工商手续不全并难以通过改造达标的企业，限期治理可以达标改造的企业，逾期依法一律关停。</w:t>
                  </w:r>
                </w:p>
                <w:p w14:paraId="525FC7D6">
                  <w:pPr>
                    <w:widowControl/>
                    <w:jc w:val="left"/>
                    <w:rPr>
                      <w:rFonts w:hint="eastAsia"/>
                      <w:color w:val="auto"/>
                      <w:sz w:val="21"/>
                      <w:szCs w:val="21"/>
                    </w:rPr>
                  </w:pPr>
                  <w:r>
                    <w:rPr>
                      <w:rFonts w:hint="eastAsia"/>
                      <w:color w:val="auto"/>
                      <w:sz w:val="21"/>
                      <w:szCs w:val="21"/>
                    </w:rPr>
                    <w:t>4.加快推进30万千瓦及以上热电联产机组供热半径30公里范围内燃煤锅炉和低效燃煤小热电关停整合。</w:t>
                  </w:r>
                </w:p>
                <w:p w14:paraId="204F2972">
                  <w:pPr>
                    <w:widowControl/>
                    <w:jc w:val="left"/>
                    <w:rPr>
                      <w:rFonts w:hint="eastAsia"/>
                      <w:color w:val="auto"/>
                      <w:sz w:val="21"/>
                      <w:szCs w:val="21"/>
                    </w:rPr>
                  </w:pPr>
                  <w:r>
                    <w:rPr>
                      <w:rFonts w:hint="eastAsia"/>
                      <w:color w:val="auto"/>
                      <w:sz w:val="21"/>
                      <w:szCs w:val="21"/>
                    </w:rPr>
                    <w:t>5.取缔不达标燃料类煤气发生炉。</w:t>
                  </w:r>
                </w:p>
                <w:p w14:paraId="149C5630">
                  <w:pPr>
                    <w:widowControl/>
                    <w:jc w:val="left"/>
                    <w:rPr>
                      <w:rFonts w:hint="eastAsia"/>
                      <w:color w:val="auto"/>
                      <w:sz w:val="21"/>
                      <w:szCs w:val="21"/>
                    </w:rPr>
                  </w:pPr>
                  <w:r>
                    <w:rPr>
                      <w:rFonts w:hint="eastAsia"/>
                      <w:color w:val="auto"/>
                      <w:sz w:val="21"/>
                      <w:szCs w:val="21"/>
                    </w:rPr>
                    <w:t>6.确保区域内35蒸吨/小时以下燃煤锅炉清零，基本淘汰每小时35蒸吨以下茶水炉、经营性炉灶、储粮烘干设备等燃煤设施。</w:t>
                  </w:r>
                </w:p>
                <w:p w14:paraId="5992D68A">
                  <w:pPr>
                    <w:widowControl/>
                    <w:jc w:val="left"/>
                    <w:rPr>
                      <w:rFonts w:hint="eastAsia"/>
                      <w:color w:val="auto"/>
                      <w:sz w:val="21"/>
                      <w:szCs w:val="21"/>
                    </w:rPr>
                  </w:pPr>
                  <w:r>
                    <w:rPr>
                      <w:rFonts w:hint="eastAsia"/>
                      <w:color w:val="auto"/>
                      <w:sz w:val="21"/>
                      <w:szCs w:val="21"/>
                    </w:rPr>
                    <w:t>7.继续淘汏涉重金属重点行业落后产能，坚持依法依规，通过加大执法检查等措施，使涉重金属重点行业落后产能退出市场。</w:t>
                  </w:r>
                </w:p>
                <w:p w14:paraId="0345A845">
                  <w:pPr>
                    <w:widowControl/>
                    <w:jc w:val="left"/>
                    <w:rPr>
                      <w:rFonts w:hint="eastAsia"/>
                      <w:color w:val="auto"/>
                      <w:sz w:val="21"/>
                      <w:szCs w:val="21"/>
                    </w:rPr>
                  </w:pPr>
                  <w:r>
                    <w:rPr>
                      <w:rFonts w:hint="eastAsia"/>
                      <w:color w:val="auto"/>
                      <w:sz w:val="21"/>
                      <w:szCs w:val="21"/>
                    </w:rPr>
                    <w:t>8.强化产业准入和淘汰制度，淘汰区内过剩、落后产能，实现“三高一低”企业逐步退出。</w:t>
                  </w:r>
                </w:p>
                <w:p w14:paraId="4BAF9B95">
                  <w:pPr>
                    <w:widowControl/>
                    <w:jc w:val="left"/>
                    <w:rPr>
                      <w:rFonts w:hint="eastAsia"/>
                      <w:color w:val="auto"/>
                      <w:sz w:val="21"/>
                      <w:szCs w:val="21"/>
                    </w:rPr>
                  </w:pPr>
                  <w:r>
                    <w:rPr>
                      <w:rFonts w:hint="eastAsia"/>
                      <w:color w:val="auto"/>
                      <w:sz w:val="21"/>
                      <w:szCs w:val="21"/>
                    </w:rPr>
                    <w:t>9.推进矿权整合，关闭退出资源枯竭、灾害严重、扭亏无望等矿井，有序开发煤炭资源。</w:t>
                  </w:r>
                </w:p>
                <w:p w14:paraId="1DD81495">
                  <w:pPr>
                    <w:widowControl/>
                    <w:jc w:val="left"/>
                    <w:rPr>
                      <w:rFonts w:hint="eastAsia"/>
                      <w:color w:val="auto"/>
                      <w:sz w:val="21"/>
                      <w:szCs w:val="21"/>
                    </w:rPr>
                  </w:pPr>
                  <w:r>
                    <w:rPr>
                      <w:rFonts w:hint="eastAsia"/>
                      <w:color w:val="auto"/>
                      <w:sz w:val="21"/>
                      <w:szCs w:val="21"/>
                    </w:rPr>
                    <w:t>10.逐步“关停并转”高污染和高耗水产业。</w:t>
                  </w:r>
                </w:p>
                <w:p w14:paraId="64E33A0F">
                  <w:pPr>
                    <w:widowControl/>
                    <w:jc w:val="left"/>
                    <w:rPr>
                      <w:rFonts w:hint="eastAsia"/>
                      <w:color w:val="auto"/>
                      <w:sz w:val="21"/>
                      <w:szCs w:val="21"/>
                    </w:rPr>
                  </w:pPr>
                  <w:r>
                    <w:rPr>
                      <w:rFonts w:hint="eastAsia"/>
                      <w:color w:val="auto"/>
                      <w:sz w:val="21"/>
                      <w:szCs w:val="21"/>
                    </w:rPr>
                    <w:t>11.依法依规拆除不符合要求的自备油罐及装置。</w:t>
                  </w:r>
                </w:p>
                <w:p w14:paraId="37C94D52">
                  <w:pPr>
                    <w:widowControl/>
                    <w:jc w:val="left"/>
                    <w:rPr>
                      <w:rFonts w:hint="eastAsia"/>
                      <w:color w:val="auto"/>
                      <w:sz w:val="21"/>
                      <w:szCs w:val="21"/>
                    </w:rPr>
                  </w:pPr>
                  <w:r>
                    <w:rPr>
                      <w:rFonts w:hint="eastAsia"/>
                      <w:color w:val="auto"/>
                      <w:sz w:val="21"/>
                      <w:szCs w:val="21"/>
                    </w:rPr>
                    <w:t>12.依法清理非法流动加油车</w:t>
                  </w:r>
                </w:p>
                <w:p w14:paraId="01DED57B">
                  <w:pPr>
                    <w:widowControl/>
                    <w:jc w:val="left"/>
                    <w:rPr>
                      <w:rFonts w:hint="eastAsia"/>
                      <w:color w:val="auto"/>
                      <w:sz w:val="21"/>
                      <w:szCs w:val="21"/>
                    </w:rPr>
                  </w:pPr>
                  <w:r>
                    <w:rPr>
                      <w:rFonts w:hint="eastAsia"/>
                      <w:color w:val="auto"/>
                      <w:sz w:val="21"/>
                      <w:szCs w:val="21"/>
                    </w:rPr>
                    <w:t>13.供热范围覆盖内的生物质锅炉一律取缔</w:t>
                  </w:r>
                </w:p>
                <w:p w14:paraId="5B16C619">
                  <w:pPr>
                    <w:widowControl/>
                    <w:jc w:val="left"/>
                    <w:rPr>
                      <w:rFonts w:hint="eastAsia"/>
                      <w:color w:val="auto"/>
                      <w:sz w:val="21"/>
                      <w:szCs w:val="21"/>
                    </w:rPr>
                  </w:pPr>
                  <w:r>
                    <w:rPr>
                      <w:rFonts w:hint="eastAsia"/>
                      <w:color w:val="auto"/>
                      <w:sz w:val="21"/>
                      <w:szCs w:val="21"/>
                    </w:rPr>
                    <w:t>14.对符合下列五种情形且整改无望的，实施关停取缔。（1）国家产业政策明令淘汰的“散乱污”工业企业（作坊）。（2）无证无照或证照不全、违规经营的“散乱污”工业企业（作坊）。（3）环境污染严重、安全</w:t>
                  </w:r>
                </w:p>
                <w:p w14:paraId="6EF367D1">
                  <w:pPr>
                    <w:widowControl/>
                    <w:jc w:val="left"/>
                    <w:rPr>
                      <w:rFonts w:hint="eastAsia"/>
                      <w:color w:val="auto"/>
                      <w:sz w:val="21"/>
                      <w:szCs w:val="21"/>
                    </w:rPr>
                  </w:pPr>
                  <w:r>
                    <w:rPr>
                      <w:rFonts w:hint="eastAsia"/>
                      <w:color w:val="auto"/>
                      <w:sz w:val="21"/>
                      <w:szCs w:val="21"/>
                    </w:rPr>
                    <w:t>隐患突出且整改无望的“散乱污”工业企业（作坊）。（4）不符合产业布局规划的“散乱污”工业企业（作坊）。（5）违法用地、违法建设的“散乱污”工业企业（作坊）。</w:t>
                  </w:r>
                </w:p>
                <w:p w14:paraId="75C09E91">
                  <w:pPr>
                    <w:widowControl/>
                    <w:jc w:val="left"/>
                    <w:rPr>
                      <w:rFonts w:hint="eastAsia"/>
                      <w:color w:val="auto"/>
                      <w:sz w:val="21"/>
                      <w:szCs w:val="21"/>
                    </w:rPr>
                  </w:pPr>
                  <w:r>
                    <w:rPr>
                      <w:rFonts w:hint="eastAsia"/>
                      <w:color w:val="auto"/>
                      <w:sz w:val="21"/>
                      <w:szCs w:val="21"/>
                    </w:rPr>
                    <w:t>1.加快全市建成区及临近周边重污染企业搬迁改造或关闭退出，推动实施低端化工等重污染企业搬迁工程。加大现有化工园区整治力度，明确退城企业的时间表，逾期不退城的予以停产。</w:t>
                  </w:r>
                </w:p>
                <w:p w14:paraId="0588E50D">
                  <w:pPr>
                    <w:widowControl/>
                    <w:jc w:val="left"/>
                    <w:rPr>
                      <w:rFonts w:hint="eastAsia" w:eastAsia="宋体"/>
                      <w:color w:val="auto"/>
                      <w:sz w:val="21"/>
                      <w:szCs w:val="21"/>
                      <w:lang w:eastAsia="zh-CN"/>
                    </w:rPr>
                  </w:pPr>
                  <w:r>
                    <w:rPr>
                      <w:rFonts w:hint="eastAsia"/>
                      <w:color w:val="auto"/>
                      <w:sz w:val="21"/>
                      <w:szCs w:val="21"/>
                    </w:rPr>
                    <w:t>2.大力淘汰关停环保、能耗、安全等不达标的30万千瓦以下燃煤机组；1.沿沱河、唐河、北沱河两侧500米内所有养殖场进行全面清理。2.新、改、扩建涉及大宗物料运输的建设项目，原则上宜采用铁路运输。</w:t>
                  </w:r>
                </w:p>
              </w:tc>
              <w:tc>
                <w:tcPr>
                  <w:tcW w:w="443" w:type="pct"/>
                  <w:vAlign w:val="center"/>
                </w:tcPr>
                <w:p w14:paraId="7E0D7E0A">
                  <w:pPr>
                    <w:pStyle w:val="27"/>
                    <w:snapToGrid/>
                    <w:spacing w:line="240" w:lineRule="auto"/>
                    <w:ind w:firstLine="0" w:firstLineChars="0"/>
                    <w:rPr>
                      <w:color w:val="auto"/>
                      <w:sz w:val="21"/>
                      <w:szCs w:val="21"/>
                    </w:rPr>
                  </w:pPr>
                  <w:r>
                    <w:rPr>
                      <w:color w:val="auto"/>
                      <w:sz w:val="21"/>
                      <w:szCs w:val="21"/>
                    </w:rPr>
                    <w:t>本项目不涉及禁止行为，符合相关管控要求</w:t>
                  </w:r>
                </w:p>
              </w:tc>
            </w:tr>
            <w:tr w14:paraId="6E934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 w:type="pct"/>
                  <w:vAlign w:val="center"/>
                </w:tcPr>
                <w:p w14:paraId="6B4F4069">
                  <w:pPr>
                    <w:widowControl/>
                    <w:jc w:val="center"/>
                    <w:rPr>
                      <w:color w:val="auto"/>
                      <w:sz w:val="21"/>
                      <w:szCs w:val="21"/>
                    </w:rPr>
                  </w:pPr>
                  <w:r>
                    <w:rPr>
                      <w:color w:val="auto"/>
                      <w:kern w:val="0"/>
                      <w:sz w:val="21"/>
                      <w:szCs w:val="21"/>
                    </w:rPr>
                    <w:t>2</w:t>
                  </w:r>
                </w:p>
              </w:tc>
              <w:tc>
                <w:tcPr>
                  <w:tcW w:w="516" w:type="pct"/>
                  <w:vMerge w:val="continue"/>
                  <w:vAlign w:val="center"/>
                </w:tcPr>
                <w:p w14:paraId="68362020">
                  <w:pPr>
                    <w:pStyle w:val="27"/>
                    <w:snapToGrid/>
                    <w:spacing w:line="240" w:lineRule="auto"/>
                    <w:ind w:firstLine="0" w:firstLineChars="0"/>
                    <w:rPr>
                      <w:color w:val="auto"/>
                      <w:sz w:val="21"/>
                      <w:szCs w:val="21"/>
                    </w:rPr>
                  </w:pPr>
                </w:p>
              </w:tc>
              <w:tc>
                <w:tcPr>
                  <w:tcW w:w="538" w:type="pct"/>
                  <w:vAlign w:val="center"/>
                </w:tcPr>
                <w:p w14:paraId="51B98718">
                  <w:pPr>
                    <w:pStyle w:val="27"/>
                    <w:snapToGrid/>
                    <w:spacing w:line="240" w:lineRule="auto"/>
                    <w:ind w:firstLine="0" w:firstLineChars="0"/>
                    <w:jc w:val="center"/>
                    <w:rPr>
                      <w:color w:val="auto"/>
                      <w:sz w:val="21"/>
                      <w:szCs w:val="21"/>
                    </w:rPr>
                  </w:pPr>
                  <w:r>
                    <w:rPr>
                      <w:color w:val="auto"/>
                      <w:sz w:val="21"/>
                      <w:szCs w:val="21"/>
                    </w:rPr>
                    <w:t>污染物排放管控</w:t>
                  </w:r>
                </w:p>
              </w:tc>
              <w:tc>
                <w:tcPr>
                  <w:tcW w:w="3247" w:type="pct"/>
                  <w:vAlign w:val="center"/>
                </w:tcPr>
                <w:p w14:paraId="7751B02F">
                  <w:pPr>
                    <w:pStyle w:val="27"/>
                    <w:snapToGrid/>
                    <w:spacing w:line="240" w:lineRule="auto"/>
                    <w:ind w:firstLine="0" w:firstLineChars="0"/>
                    <w:jc w:val="both"/>
                    <w:rPr>
                      <w:rFonts w:hint="eastAsia"/>
                      <w:color w:val="auto"/>
                      <w:sz w:val="21"/>
                      <w:szCs w:val="21"/>
                    </w:rPr>
                  </w:pPr>
                  <w:r>
                    <w:rPr>
                      <w:rFonts w:hint="eastAsia"/>
                      <w:color w:val="auto"/>
                      <w:sz w:val="21"/>
                      <w:szCs w:val="21"/>
                    </w:rPr>
                    <w:t>1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14:paraId="4849AAA5">
                  <w:pPr>
                    <w:pStyle w:val="27"/>
                    <w:snapToGrid/>
                    <w:spacing w:line="240" w:lineRule="auto"/>
                    <w:ind w:firstLine="0" w:firstLineChars="0"/>
                    <w:jc w:val="both"/>
                    <w:rPr>
                      <w:rFonts w:hint="eastAsia"/>
                      <w:color w:val="auto"/>
                      <w:sz w:val="21"/>
                      <w:szCs w:val="21"/>
                    </w:rPr>
                  </w:pPr>
                  <w:r>
                    <w:rPr>
                      <w:rFonts w:hint="eastAsia"/>
                      <w:color w:val="auto"/>
                      <w:sz w:val="21"/>
                      <w:szCs w:val="21"/>
                    </w:rPr>
                    <w:t>2积极推进清洁生产审核，对焦化、有色金属、石化、化工、电镀、制革、石油开采、造纸、印染、 农副食品加工等行业，全面推进清洁生产改造或清洁化改造。</w:t>
                  </w:r>
                </w:p>
                <w:p w14:paraId="1F482B39">
                  <w:pPr>
                    <w:pStyle w:val="27"/>
                    <w:snapToGrid/>
                    <w:spacing w:line="240" w:lineRule="auto"/>
                    <w:ind w:firstLine="0" w:firstLineChars="0"/>
                    <w:jc w:val="both"/>
                    <w:rPr>
                      <w:rFonts w:hint="eastAsia"/>
                      <w:color w:val="auto"/>
                      <w:sz w:val="21"/>
                      <w:szCs w:val="21"/>
                    </w:rPr>
                  </w:pPr>
                  <w:r>
                    <w:rPr>
                      <w:rFonts w:hint="eastAsia"/>
                      <w:color w:val="auto"/>
                      <w:sz w:val="21"/>
                      <w:szCs w:val="21"/>
                    </w:rPr>
                    <w:t>3建设项目所在水环境控制单元或断面总磷超标的，实施总磷排放量2倍或以上削减替代。所在水环境控制单元或断面总磷达标的，实施总磷排放量等量或以上削减替代。替代量应来源于项目同一水环境控制单元或断面上游拟实施关停、升级改造的工业企业，不得来源于农业源、城镇污水处理厂或已列入流域环境质量改善计划的工业企业。相应的减排措施应确保在项目投产前完成。</w:t>
                  </w:r>
                </w:p>
                <w:p w14:paraId="4A31F321">
                  <w:pPr>
                    <w:pStyle w:val="27"/>
                    <w:snapToGrid/>
                    <w:spacing w:line="240" w:lineRule="auto"/>
                    <w:ind w:firstLine="0" w:firstLineChars="0"/>
                    <w:jc w:val="both"/>
                    <w:rPr>
                      <w:rFonts w:hint="eastAsia"/>
                      <w:color w:val="auto"/>
                      <w:sz w:val="21"/>
                      <w:szCs w:val="21"/>
                    </w:rPr>
                  </w:pPr>
                  <w:r>
                    <w:rPr>
                      <w:rFonts w:hint="eastAsia"/>
                      <w:color w:val="auto"/>
                      <w:sz w:val="21"/>
                      <w:szCs w:val="21"/>
                    </w:rPr>
                    <w:t>4专项整治十大重点行业。制定造纸、焦化、氮肥、有色金属、印染、农副食品加工、原料药制造、制革、农药、电镀等行业专项治理方案，对重点行业企业实施清洁化改造。</w:t>
                  </w:r>
                </w:p>
                <w:p w14:paraId="376C3EA3">
                  <w:pPr>
                    <w:pStyle w:val="27"/>
                    <w:snapToGrid/>
                    <w:spacing w:line="240" w:lineRule="auto"/>
                    <w:ind w:firstLine="0" w:firstLineChars="0"/>
                    <w:jc w:val="both"/>
                    <w:rPr>
                      <w:rFonts w:hint="eastAsia"/>
                      <w:color w:val="auto"/>
                      <w:sz w:val="21"/>
                      <w:szCs w:val="21"/>
                    </w:rPr>
                  </w:pPr>
                  <w:r>
                    <w:rPr>
                      <w:rFonts w:hint="eastAsia"/>
                      <w:color w:val="auto"/>
                      <w:sz w:val="21"/>
                      <w:szCs w:val="21"/>
                    </w:rPr>
                    <w:t>5实施技术、工艺、设备等生态化、循环化改造，加快布局分散的企业向园区集中，按要求设置生态隔离带，建设相应的防护工程。</w:t>
                  </w:r>
                </w:p>
                <w:p w14:paraId="7046B14B">
                  <w:pPr>
                    <w:pStyle w:val="27"/>
                    <w:snapToGrid/>
                    <w:spacing w:line="240" w:lineRule="auto"/>
                    <w:ind w:firstLine="0" w:firstLineChars="0"/>
                    <w:jc w:val="both"/>
                    <w:rPr>
                      <w:rFonts w:hint="eastAsia"/>
                      <w:color w:val="auto"/>
                      <w:sz w:val="21"/>
                      <w:szCs w:val="21"/>
                    </w:rPr>
                  </w:pPr>
                  <w:r>
                    <w:rPr>
                      <w:rFonts w:hint="eastAsia"/>
                      <w:color w:val="auto"/>
                      <w:sz w:val="21"/>
                      <w:szCs w:val="21"/>
                    </w:rPr>
                    <w:t>6所有排污单位必须依法实现全面达标排放。逐一排查工业企业排污情况，达标企业应采取措施确保稳定达标；对超标和超总量的企业予以“黄牌”警示，一律限制生产或停产整治；对整治仍不能达到要求且情节严重的企业予以“红牌”处罚，一律停业、关闭。</w:t>
                  </w:r>
                </w:p>
                <w:p w14:paraId="53AE49F3">
                  <w:pPr>
                    <w:pStyle w:val="27"/>
                    <w:snapToGrid/>
                    <w:spacing w:line="240" w:lineRule="auto"/>
                    <w:ind w:firstLine="0" w:firstLineChars="0"/>
                    <w:jc w:val="both"/>
                    <w:rPr>
                      <w:rFonts w:hint="eastAsia"/>
                      <w:color w:val="auto"/>
                      <w:sz w:val="21"/>
                      <w:szCs w:val="21"/>
                    </w:rPr>
                  </w:pPr>
                  <w:r>
                    <w:rPr>
                      <w:rFonts w:hint="eastAsia"/>
                      <w:color w:val="auto"/>
                      <w:sz w:val="21"/>
                      <w:szCs w:val="21"/>
                    </w:rPr>
                    <w:t>7开展经济技术开发区、高新技术产业开发区、出口加工区等工业集聚区水污染治理设施排查和污染治理，全面推行工业集聚区企业废水量、水污染物纳管总量双控制度。集聚区内工业废水必须经预处理达到集中处理要求，方可进入污水集中处理设施。允许排放量要求:1环境空气质量持续改善， 全省细颗粒物（PM</w:t>
                  </w:r>
                  <w:r>
                    <w:rPr>
                      <w:rFonts w:hint="eastAsia"/>
                      <w:color w:val="auto"/>
                      <w:sz w:val="21"/>
                      <w:szCs w:val="21"/>
                      <w:vertAlign w:val="subscript"/>
                    </w:rPr>
                    <w:t>2.5</w:t>
                  </w:r>
                  <w:r>
                    <w:rPr>
                      <w:rFonts w:hint="eastAsia"/>
                      <w:color w:val="auto"/>
                      <w:sz w:val="21"/>
                      <w:szCs w:val="21"/>
                    </w:rPr>
                    <w:t>）浓度总体达标，基本消除重污染天气，优良天数比率进一步提升。</w:t>
                  </w:r>
                </w:p>
                <w:p w14:paraId="1588555D">
                  <w:pPr>
                    <w:pStyle w:val="27"/>
                    <w:snapToGrid/>
                    <w:spacing w:line="240" w:lineRule="auto"/>
                    <w:ind w:firstLine="0" w:firstLineChars="0"/>
                    <w:jc w:val="both"/>
                    <w:rPr>
                      <w:rFonts w:hint="eastAsia"/>
                      <w:color w:val="auto"/>
                      <w:sz w:val="21"/>
                      <w:szCs w:val="21"/>
                    </w:rPr>
                  </w:pPr>
                  <w:r>
                    <w:rPr>
                      <w:rFonts w:hint="eastAsia"/>
                      <w:color w:val="auto"/>
                      <w:sz w:val="21"/>
                      <w:szCs w:val="21"/>
                    </w:rPr>
                    <w:t>2化学需氧量、氨氮、氮氧化物、挥发性有机物等4项主要污染物重点工程减排量分别累计达到13.67 万吨、0.69万吨、8.3万吨、3.07万吨。</w:t>
                  </w:r>
                </w:p>
                <w:p w14:paraId="2F859F0D">
                  <w:pPr>
                    <w:pStyle w:val="27"/>
                    <w:snapToGrid/>
                    <w:spacing w:line="240" w:lineRule="auto"/>
                    <w:ind w:firstLine="0" w:firstLineChars="0"/>
                    <w:jc w:val="both"/>
                    <w:rPr>
                      <w:rFonts w:hint="eastAsia"/>
                      <w:color w:val="auto"/>
                      <w:sz w:val="21"/>
                      <w:szCs w:val="21"/>
                    </w:rPr>
                  </w:pPr>
                  <w:r>
                    <w:rPr>
                      <w:rFonts w:hint="eastAsia"/>
                      <w:color w:val="auto"/>
                      <w:sz w:val="21"/>
                      <w:szCs w:val="21"/>
                    </w:rPr>
                    <w:t>3严格合理控制煤炭消费增长，大气污染防治重点区域内新、改、扩建用煤项目实施煤炭消费等量或减量替代。重点削减非电力用煤，各市将减煤目标按年度分解落实到重点耗煤企业，实施“一企一策”减煤诊断。</w:t>
                  </w:r>
                </w:p>
                <w:p w14:paraId="24470B03">
                  <w:pPr>
                    <w:pStyle w:val="27"/>
                    <w:snapToGrid/>
                    <w:spacing w:line="240" w:lineRule="auto"/>
                    <w:ind w:firstLine="0" w:firstLineChars="0"/>
                    <w:jc w:val="both"/>
                    <w:rPr>
                      <w:rFonts w:hint="eastAsia"/>
                      <w:color w:val="auto"/>
                      <w:sz w:val="21"/>
                      <w:szCs w:val="21"/>
                    </w:rPr>
                  </w:pPr>
                  <w:r>
                    <w:rPr>
                      <w:rFonts w:hint="eastAsia"/>
                      <w:color w:val="auto"/>
                      <w:sz w:val="21"/>
                      <w:szCs w:val="21"/>
                    </w:rPr>
                    <w:t>4新建、改建、扩建排放重点大气污染物的项目不符合总量控制要求的，不得通过环境影响评价。</w:t>
                  </w:r>
                </w:p>
                <w:p w14:paraId="3948F639">
                  <w:pPr>
                    <w:pStyle w:val="27"/>
                    <w:snapToGrid/>
                    <w:spacing w:line="240" w:lineRule="auto"/>
                    <w:ind w:firstLine="0" w:firstLineChars="0"/>
                    <w:jc w:val="both"/>
                    <w:rPr>
                      <w:rFonts w:hint="eastAsia"/>
                      <w:color w:val="auto"/>
                      <w:sz w:val="21"/>
                      <w:szCs w:val="21"/>
                    </w:rPr>
                  </w:pPr>
                  <w:r>
                    <w:rPr>
                      <w:rFonts w:hint="eastAsia"/>
                      <w:color w:val="auto"/>
                      <w:sz w:val="21"/>
                      <w:szCs w:val="21"/>
                    </w:rPr>
                    <w:t>区域大气污染物削减/替代要求:</w:t>
                  </w:r>
                </w:p>
                <w:p w14:paraId="7D7005BC">
                  <w:pPr>
                    <w:pStyle w:val="27"/>
                    <w:snapToGrid/>
                    <w:spacing w:line="240" w:lineRule="auto"/>
                    <w:ind w:firstLine="0" w:firstLineChars="0"/>
                    <w:jc w:val="both"/>
                    <w:rPr>
                      <w:rFonts w:hint="eastAsia"/>
                      <w:color w:val="auto"/>
                      <w:sz w:val="21"/>
                      <w:szCs w:val="21"/>
                    </w:rPr>
                  </w:pPr>
                  <w:r>
                    <w:rPr>
                      <w:rFonts w:hint="eastAsia"/>
                      <w:color w:val="auto"/>
                      <w:sz w:val="21"/>
                      <w:szCs w:val="21"/>
                    </w:rPr>
                    <w:t>5进出钢铁企业的铁精矿、煤炭、焦炭等大宗物料和产品采用铁路、水路、管道或管状带式输送机等清洁方式运输比例不低于80%；达不到的，汽车运输部分应全部采用新能源汽车或达到国六排放标准的汽车（2021年底前可采用国五排放标准的汽车）。</w:t>
                  </w:r>
                </w:p>
                <w:p w14:paraId="4CA78D66">
                  <w:pPr>
                    <w:pStyle w:val="27"/>
                    <w:snapToGrid/>
                    <w:spacing w:line="240" w:lineRule="auto"/>
                    <w:ind w:firstLine="0" w:firstLineChars="0"/>
                    <w:jc w:val="both"/>
                    <w:rPr>
                      <w:rFonts w:hint="eastAsia"/>
                      <w:color w:val="auto"/>
                      <w:sz w:val="21"/>
                      <w:szCs w:val="21"/>
                    </w:rPr>
                  </w:pPr>
                  <w:r>
                    <w:rPr>
                      <w:rFonts w:hint="eastAsia"/>
                      <w:color w:val="auto"/>
                      <w:sz w:val="21"/>
                      <w:szCs w:val="21"/>
                    </w:rPr>
                    <w:t>6对以煤、石油焦、渣油、重油等为燃料的工业炉窑，加快使用清洁低碳能源以及利用工厂余热、电厂热力等进行替代。</w:t>
                  </w:r>
                </w:p>
                <w:p w14:paraId="30961B2F">
                  <w:pPr>
                    <w:pStyle w:val="27"/>
                    <w:snapToGrid/>
                    <w:spacing w:line="240" w:lineRule="auto"/>
                    <w:ind w:firstLine="0" w:firstLineChars="0"/>
                    <w:jc w:val="both"/>
                    <w:rPr>
                      <w:rFonts w:hint="eastAsia"/>
                      <w:color w:val="auto"/>
                      <w:sz w:val="21"/>
                      <w:szCs w:val="21"/>
                    </w:rPr>
                  </w:pPr>
                  <w:r>
                    <w:rPr>
                      <w:rFonts w:hint="eastAsia"/>
                      <w:color w:val="auto"/>
                      <w:sz w:val="21"/>
                      <w:szCs w:val="21"/>
                    </w:rPr>
                    <w:t>7推动具备条件的省级以上园区全部实施循环化改造。（责任单位：省发展改革委，配合单位：省经济和信息化厅等）推动工业园区能源系统整体优化，鼓励工业企业、园区优先使用可再生能源。推进园区电、热、冷、</w:t>
                  </w:r>
                </w:p>
                <w:p w14:paraId="739981BB">
                  <w:pPr>
                    <w:pStyle w:val="27"/>
                    <w:snapToGrid/>
                    <w:spacing w:line="240" w:lineRule="auto"/>
                    <w:ind w:firstLine="0" w:firstLineChars="0"/>
                    <w:jc w:val="both"/>
                    <w:rPr>
                      <w:rFonts w:hint="eastAsia"/>
                      <w:color w:val="auto"/>
                      <w:sz w:val="21"/>
                      <w:szCs w:val="21"/>
                    </w:rPr>
                  </w:pPr>
                  <w:r>
                    <w:rPr>
                      <w:rFonts w:hint="eastAsia"/>
                      <w:color w:val="auto"/>
                      <w:sz w:val="21"/>
                      <w:szCs w:val="21"/>
                    </w:rPr>
                    <w:t>气等多种能源协同的综合能源项目建设。</w:t>
                  </w:r>
                </w:p>
                <w:p w14:paraId="7D29ABC3">
                  <w:pPr>
                    <w:pStyle w:val="27"/>
                    <w:snapToGrid/>
                    <w:spacing w:line="240" w:lineRule="auto"/>
                    <w:ind w:firstLine="0" w:firstLineChars="0"/>
                    <w:jc w:val="both"/>
                    <w:rPr>
                      <w:rFonts w:hint="eastAsia"/>
                      <w:color w:val="auto"/>
                      <w:sz w:val="21"/>
                      <w:szCs w:val="21"/>
                    </w:rPr>
                  </w:pPr>
                  <w:r>
                    <w:rPr>
                      <w:rFonts w:hint="eastAsia"/>
                      <w:color w:val="auto"/>
                      <w:sz w:val="21"/>
                      <w:szCs w:val="21"/>
                    </w:rPr>
                    <w:t>8进一步强化区域协作机制，完善重污染天气应对和重点行业绩效分级管理体系，突出PM</w:t>
                  </w:r>
                  <w:r>
                    <w:rPr>
                      <w:rFonts w:hint="eastAsia"/>
                      <w:color w:val="auto"/>
                      <w:sz w:val="21"/>
                      <w:szCs w:val="21"/>
                      <w:vertAlign w:val="subscript"/>
                    </w:rPr>
                    <w:t>2.5</w:t>
                  </w:r>
                  <w:r>
                    <w:rPr>
                      <w:rFonts w:hint="eastAsia"/>
                      <w:color w:val="auto"/>
                      <w:sz w:val="21"/>
                      <w:szCs w:val="21"/>
                    </w:rPr>
                    <w:t>和臭氧协同控制，加大钢铁、水泥、焦化、玻璃等行业以及工业锅炉、炉窑、移动源氮氧化物减排力度。</w:t>
                  </w:r>
                </w:p>
                <w:p w14:paraId="6597D722">
                  <w:pPr>
                    <w:pStyle w:val="27"/>
                    <w:snapToGrid/>
                    <w:spacing w:line="240" w:lineRule="auto"/>
                    <w:ind w:firstLine="0" w:firstLineChars="0"/>
                    <w:jc w:val="both"/>
                    <w:rPr>
                      <w:rFonts w:hint="eastAsia"/>
                      <w:color w:val="auto"/>
                      <w:sz w:val="21"/>
                      <w:szCs w:val="21"/>
                    </w:rPr>
                  </w:pPr>
                  <w:r>
                    <w:rPr>
                      <w:rFonts w:hint="eastAsia"/>
                      <w:color w:val="auto"/>
                      <w:sz w:val="21"/>
                      <w:szCs w:val="21"/>
                    </w:rPr>
                    <w:t>9全面推动挥发性有机物纳入排污许可管理。禁止建设生产和使用高挥发性有机物含量涂料、油墨、胶粘剂、清洗剂等项目。加快推进石化、化工、涂装、医药、包装印刷和油品储运销等重点行业挥发性有机物深度治理，全面提升废气收集率、治理设施同步运行率和去除率，提高水性、高固体分、无溶剂、粉末、辐射固化等低挥发性有机物含量产品的比重。加大工业涂装、包装印刷等行业低挥发性有机物含量原辅材料替代力度，严格执行涂料、油墨、胶粘剂、清洗剂挥发性有机物含量限值标准，确保生产、销售、进口、使用符合标准的产品。到2025年，溶剂型工业涂料、油墨使用比例分别降低20个、10个百分点。溶剂型胶粘剂使用量降低20%。</w:t>
                  </w:r>
                </w:p>
                <w:p w14:paraId="07E6F0E2">
                  <w:pPr>
                    <w:pStyle w:val="27"/>
                    <w:snapToGrid/>
                    <w:spacing w:line="240" w:lineRule="auto"/>
                    <w:ind w:firstLine="0" w:firstLineChars="0"/>
                    <w:jc w:val="both"/>
                    <w:rPr>
                      <w:rFonts w:hint="eastAsia"/>
                      <w:color w:val="auto"/>
                      <w:sz w:val="21"/>
                      <w:szCs w:val="21"/>
                    </w:rPr>
                  </w:pPr>
                  <w:r>
                    <w:rPr>
                      <w:rFonts w:hint="eastAsia"/>
                      <w:color w:val="auto"/>
                      <w:sz w:val="21"/>
                      <w:szCs w:val="21"/>
                    </w:rPr>
                    <w:t>10实行重点排放源排放浓度与去除效率双重控制。车间或生产设施收集排放的废气，VOCs初始排放速率大于等于2千克/小时的，应加大控制力度，除确保排放浓度稳定达标外，还应实行去除效率控制，去除效率不低于</w:t>
                  </w:r>
                </w:p>
                <w:p w14:paraId="1DD17535">
                  <w:pPr>
                    <w:pStyle w:val="27"/>
                    <w:snapToGrid/>
                    <w:spacing w:line="240" w:lineRule="auto"/>
                    <w:ind w:firstLine="0" w:firstLineChars="0"/>
                    <w:jc w:val="both"/>
                    <w:rPr>
                      <w:rFonts w:hint="eastAsia"/>
                      <w:color w:val="auto"/>
                      <w:sz w:val="21"/>
                      <w:szCs w:val="21"/>
                    </w:rPr>
                  </w:pPr>
                  <w:r>
                    <w:rPr>
                      <w:rFonts w:hint="eastAsia"/>
                      <w:color w:val="auto"/>
                      <w:sz w:val="21"/>
                      <w:szCs w:val="21"/>
                    </w:rPr>
                    <w:t>80%；采用的原辅材料符合国家有关低VOCs含量产品规定的除外，有行业排放标准的按其相关规定执行。</w:t>
                  </w:r>
                </w:p>
                <w:p w14:paraId="4B4219E6">
                  <w:pPr>
                    <w:pStyle w:val="27"/>
                    <w:snapToGrid/>
                    <w:spacing w:line="240" w:lineRule="auto"/>
                    <w:ind w:firstLine="0" w:firstLineChars="0"/>
                    <w:jc w:val="both"/>
                    <w:rPr>
                      <w:rFonts w:hint="eastAsia"/>
                      <w:color w:val="auto"/>
                      <w:sz w:val="21"/>
                      <w:szCs w:val="21"/>
                    </w:rPr>
                  </w:pPr>
                  <w:r>
                    <w:rPr>
                      <w:rFonts w:hint="eastAsia"/>
                      <w:color w:val="auto"/>
                      <w:sz w:val="21"/>
                      <w:szCs w:val="21"/>
                    </w:rPr>
                    <w:t>11使用粉末、水性、高固体分、辐射固化等低VOCs含量的涂料替代溶剂型涂料。汽车制造底漆大力推广使用水性涂料，乘用车中涂、色漆大力推广使用高固体分或水性涂料，加快客车、货车等中涂、色漆改造。钢制集装箱制造在箱内、箱外、木地板涂装等工序大力推广使用水性涂料，在确保防腐蚀功能的前提下，加快推进特种集装箱采用水性涂料。木质家具制造大力推广使用水性、辐射固化、粉末等涂料和水性胶粘剂；金属家具制造大力推广使用粉末涂料；软体家具制造大力推广使用水性胶粘剂。工程机械制造大力推广使用水性、粉末和高固体分涂料。电子产品制造推广使用粉末、水性、辐射固化等涂料。</w:t>
                  </w:r>
                </w:p>
                <w:p w14:paraId="6EC38428">
                  <w:pPr>
                    <w:pStyle w:val="27"/>
                    <w:snapToGrid/>
                    <w:spacing w:line="240" w:lineRule="auto"/>
                    <w:ind w:firstLine="0" w:firstLineChars="0"/>
                    <w:jc w:val="both"/>
                    <w:rPr>
                      <w:rFonts w:hint="eastAsia"/>
                      <w:color w:val="auto"/>
                      <w:sz w:val="21"/>
                      <w:szCs w:val="21"/>
                    </w:rPr>
                  </w:pPr>
                  <w:r>
                    <w:rPr>
                      <w:rFonts w:hint="eastAsia"/>
                      <w:color w:val="auto"/>
                      <w:sz w:val="21"/>
                      <w:szCs w:val="21"/>
                    </w:rPr>
                    <w:t>现有源提标升级改造:12污染物排放标准中有特别排放限值的标准的行业，二氧化硫、氮氧化物、颗粒物、挥发性有机物（VOCs）全面执行大气污染物特别排放限值。已核发排污许可证的，应严格执行许可要求。</w:t>
                  </w:r>
                </w:p>
                <w:p w14:paraId="4F3C1673">
                  <w:pPr>
                    <w:pStyle w:val="27"/>
                    <w:snapToGrid/>
                    <w:spacing w:line="240" w:lineRule="auto"/>
                    <w:ind w:firstLine="0" w:firstLineChars="0"/>
                    <w:jc w:val="both"/>
                    <w:rPr>
                      <w:rFonts w:hint="eastAsia"/>
                      <w:color w:val="auto"/>
                      <w:sz w:val="21"/>
                      <w:szCs w:val="21"/>
                    </w:rPr>
                  </w:pPr>
                  <w:r>
                    <w:rPr>
                      <w:rFonts w:hint="eastAsia"/>
                      <w:color w:val="auto"/>
                      <w:sz w:val="21"/>
                      <w:szCs w:val="21"/>
                    </w:rPr>
                    <w:t>13对国家级新区、工业园区、高新区等进行集中整治，限期进行达标改造。</w:t>
                  </w:r>
                </w:p>
                <w:p w14:paraId="53466461">
                  <w:pPr>
                    <w:pStyle w:val="27"/>
                    <w:snapToGrid/>
                    <w:spacing w:line="240" w:lineRule="auto"/>
                    <w:ind w:firstLine="0" w:firstLineChars="0"/>
                    <w:jc w:val="both"/>
                    <w:rPr>
                      <w:rFonts w:hint="eastAsia"/>
                      <w:color w:val="auto"/>
                      <w:sz w:val="21"/>
                      <w:szCs w:val="21"/>
                    </w:rPr>
                  </w:pPr>
                  <w:r>
                    <w:rPr>
                      <w:rFonts w:hint="eastAsia"/>
                      <w:color w:val="auto"/>
                      <w:sz w:val="21"/>
                      <w:szCs w:val="21"/>
                    </w:rPr>
                    <w:t>14按《挥发性有机物无组织排放控制标准》（GB 37822-2019）要求，做好VOCs物料储存、物料转移和输送、工艺过程、设备与管线组件、敞开液面VOCs排放，以及VOCs无组织排放废气收集处理系统要求。</w:t>
                  </w:r>
                </w:p>
                <w:p w14:paraId="74CA7642">
                  <w:pPr>
                    <w:pStyle w:val="27"/>
                    <w:snapToGrid/>
                    <w:spacing w:line="240" w:lineRule="auto"/>
                    <w:ind w:firstLine="0" w:firstLineChars="0"/>
                    <w:jc w:val="both"/>
                    <w:rPr>
                      <w:rFonts w:hint="eastAsia"/>
                      <w:color w:val="auto"/>
                      <w:sz w:val="21"/>
                      <w:szCs w:val="21"/>
                    </w:rPr>
                  </w:pPr>
                  <w:r>
                    <w:rPr>
                      <w:rFonts w:hint="eastAsia"/>
                      <w:color w:val="auto"/>
                      <w:sz w:val="21"/>
                      <w:szCs w:val="21"/>
                    </w:rPr>
                    <w:t>15新改扩建（含搬迁）钢铁项目要严格执行产能置换实施办法，按照钢铁企业超低排放指标要求，同步配套建设高效脱硫、脱硝、除尘设施，落实物料储存、输送及生产工艺过程无组织排放管控措施。</w:t>
                  </w:r>
                </w:p>
                <w:p w14:paraId="474CAAA9">
                  <w:pPr>
                    <w:pStyle w:val="27"/>
                    <w:snapToGrid/>
                    <w:spacing w:line="240" w:lineRule="auto"/>
                    <w:ind w:firstLine="0" w:firstLineChars="0"/>
                    <w:jc w:val="both"/>
                    <w:rPr>
                      <w:rFonts w:hint="eastAsia"/>
                      <w:color w:val="auto"/>
                      <w:sz w:val="21"/>
                      <w:szCs w:val="21"/>
                    </w:rPr>
                  </w:pPr>
                  <w:r>
                    <w:rPr>
                      <w:rFonts w:hint="eastAsia"/>
                      <w:color w:val="auto"/>
                      <w:sz w:val="21"/>
                      <w:szCs w:val="21"/>
                    </w:rPr>
                    <w:t>16烧结机机头、球团焙烧烟气颗粒物、二氧化硫、氮氧化物排放浓度小时均值分别不高于10、35、50毫克/立方米；其他主要污染源颗粒物、二氧化硫、氮氧化物排放浓度小时均值原则上分别不高于10、50、200毫克/立方米，达到超低排放的钢铁企业每月至少95%以上时段小时均值排放浓度满足上述要求。</w:t>
                  </w:r>
                </w:p>
                <w:p w14:paraId="57EDAD3F">
                  <w:pPr>
                    <w:pStyle w:val="27"/>
                    <w:snapToGrid/>
                    <w:spacing w:line="240" w:lineRule="auto"/>
                    <w:ind w:firstLine="0" w:firstLineChars="0"/>
                    <w:jc w:val="both"/>
                    <w:rPr>
                      <w:rFonts w:hint="eastAsia"/>
                      <w:color w:val="auto"/>
                      <w:sz w:val="21"/>
                      <w:szCs w:val="21"/>
                    </w:rPr>
                  </w:pPr>
                  <w:r>
                    <w:rPr>
                      <w:rFonts w:hint="eastAsia"/>
                      <w:color w:val="auto"/>
                      <w:sz w:val="21"/>
                      <w:szCs w:val="21"/>
                    </w:rPr>
                    <w:t>17已有行业排放标准的工业炉窑，严格执行行业排放标准相关规定，配套建设高效脱硫脱硝除尘设施，确保稳定达标排放。已制定更严格地方排放标准的，按地方标准执行。</w:t>
                  </w:r>
                </w:p>
                <w:p w14:paraId="074424C2">
                  <w:pPr>
                    <w:pStyle w:val="27"/>
                    <w:snapToGrid/>
                    <w:spacing w:line="240" w:lineRule="auto"/>
                    <w:ind w:firstLine="0" w:firstLineChars="0"/>
                    <w:jc w:val="both"/>
                    <w:rPr>
                      <w:rFonts w:hint="eastAsia"/>
                      <w:color w:val="auto"/>
                      <w:sz w:val="21"/>
                      <w:szCs w:val="21"/>
                    </w:rPr>
                  </w:pPr>
                  <w:r>
                    <w:rPr>
                      <w:rFonts w:hint="eastAsia"/>
                      <w:color w:val="auto"/>
                      <w:sz w:val="21"/>
                      <w:szCs w:val="21"/>
                    </w:rPr>
                    <w:t>18铸造行业烧结、高炉工序污染排放控制按照钢铁行业相关标准要求执行；原则上按照颗粒物、二氧化硫、氮氧化物排放限值分别不高于30、200、300毫克/立方米实施改造，其中，日用玻璃、玻璃棉氮氧化物排放限</w:t>
                  </w:r>
                </w:p>
                <w:p w14:paraId="1EA1DB20">
                  <w:pPr>
                    <w:pStyle w:val="27"/>
                    <w:snapToGrid/>
                    <w:spacing w:line="240" w:lineRule="auto"/>
                    <w:ind w:firstLine="0" w:firstLineChars="0"/>
                    <w:jc w:val="both"/>
                    <w:rPr>
                      <w:rFonts w:hint="eastAsia"/>
                      <w:color w:val="auto"/>
                      <w:sz w:val="21"/>
                      <w:szCs w:val="21"/>
                    </w:rPr>
                  </w:pPr>
                  <w:r>
                    <w:rPr>
                      <w:rFonts w:hint="eastAsia"/>
                      <w:color w:val="auto"/>
                      <w:sz w:val="21"/>
                      <w:szCs w:val="21"/>
                    </w:rPr>
                    <w:t>值不高于400毫克/立方米。</w:t>
                  </w:r>
                </w:p>
                <w:p w14:paraId="49F289ED">
                  <w:pPr>
                    <w:pStyle w:val="27"/>
                    <w:snapToGrid/>
                    <w:spacing w:line="240" w:lineRule="auto"/>
                    <w:ind w:firstLine="0" w:firstLineChars="0"/>
                    <w:jc w:val="both"/>
                    <w:rPr>
                      <w:rFonts w:hint="eastAsia"/>
                      <w:color w:val="auto"/>
                      <w:sz w:val="21"/>
                      <w:szCs w:val="21"/>
                    </w:rPr>
                  </w:pPr>
                  <w:r>
                    <w:rPr>
                      <w:rFonts w:hint="eastAsia"/>
                      <w:color w:val="auto"/>
                      <w:sz w:val="21"/>
                      <w:szCs w:val="21"/>
                    </w:rPr>
                    <w:t>19城市建成区生物质锅炉实施超低排放改造。</w:t>
                  </w:r>
                </w:p>
                <w:p w14:paraId="1C935FEA">
                  <w:pPr>
                    <w:pStyle w:val="27"/>
                    <w:snapToGrid/>
                    <w:spacing w:line="240" w:lineRule="auto"/>
                    <w:ind w:firstLine="0" w:firstLineChars="0"/>
                    <w:jc w:val="both"/>
                    <w:rPr>
                      <w:rFonts w:hint="eastAsia"/>
                      <w:color w:val="auto"/>
                      <w:sz w:val="21"/>
                      <w:szCs w:val="21"/>
                    </w:rPr>
                  </w:pPr>
                  <w:r>
                    <w:rPr>
                      <w:rFonts w:hint="eastAsia"/>
                      <w:color w:val="auto"/>
                      <w:sz w:val="21"/>
                      <w:szCs w:val="21"/>
                    </w:rPr>
                    <w:t>20实施煤电节能降碳改造、灵活性改造、供热改造“三改联动”，推动煤电由主体电源向支撑性、调节性电源转变。</w:t>
                  </w:r>
                </w:p>
                <w:p w14:paraId="52C72DD7">
                  <w:pPr>
                    <w:pStyle w:val="27"/>
                    <w:snapToGrid/>
                    <w:spacing w:line="240" w:lineRule="auto"/>
                    <w:ind w:firstLine="0" w:firstLineChars="0"/>
                    <w:jc w:val="both"/>
                    <w:rPr>
                      <w:rFonts w:hint="eastAsia"/>
                      <w:color w:val="auto"/>
                      <w:sz w:val="21"/>
                      <w:szCs w:val="21"/>
                    </w:rPr>
                  </w:pPr>
                  <w:r>
                    <w:rPr>
                      <w:rFonts w:hint="eastAsia"/>
                      <w:color w:val="auto"/>
                      <w:sz w:val="21"/>
                      <w:szCs w:val="21"/>
                    </w:rPr>
                    <w:t>其他污染物排放管控要求:21强化工业企业无组织排放管理，推进挥发性有机物排放综合整治，开展大气氨排放控制试点。</w:t>
                  </w:r>
                </w:p>
                <w:p w14:paraId="426A9251">
                  <w:pPr>
                    <w:pStyle w:val="27"/>
                    <w:snapToGrid/>
                    <w:spacing w:line="240" w:lineRule="auto"/>
                    <w:ind w:firstLine="0" w:firstLineChars="0"/>
                    <w:jc w:val="both"/>
                    <w:rPr>
                      <w:rFonts w:hint="eastAsia"/>
                      <w:color w:val="auto"/>
                      <w:sz w:val="21"/>
                      <w:szCs w:val="21"/>
                    </w:rPr>
                  </w:pPr>
                  <w:r>
                    <w:rPr>
                      <w:rFonts w:hint="eastAsia"/>
                      <w:color w:val="auto"/>
                      <w:sz w:val="21"/>
                      <w:szCs w:val="21"/>
                    </w:rPr>
                    <w:t>22依法严禁秸秆露天焚烧，全面推进综合利用。</w:t>
                  </w:r>
                </w:p>
                <w:p w14:paraId="7DEF7C06">
                  <w:pPr>
                    <w:pStyle w:val="27"/>
                    <w:snapToGrid/>
                    <w:spacing w:line="240" w:lineRule="auto"/>
                    <w:ind w:firstLine="0" w:firstLineChars="0"/>
                    <w:jc w:val="both"/>
                    <w:rPr>
                      <w:rFonts w:hint="eastAsia"/>
                      <w:color w:val="auto"/>
                      <w:sz w:val="21"/>
                      <w:szCs w:val="21"/>
                    </w:rPr>
                  </w:pPr>
                  <w:r>
                    <w:rPr>
                      <w:rFonts w:hint="eastAsia"/>
                      <w:color w:val="auto"/>
                      <w:sz w:val="21"/>
                      <w:szCs w:val="21"/>
                    </w:rPr>
                    <w:t>23深化工业污染治理，工业污染源全面达标排放，未达标排放的企业一律依法停产整治。</w:t>
                  </w:r>
                </w:p>
                <w:p w14:paraId="6037C303">
                  <w:pPr>
                    <w:pStyle w:val="27"/>
                    <w:snapToGrid/>
                    <w:spacing w:line="240" w:lineRule="auto"/>
                    <w:ind w:firstLine="0" w:firstLineChars="0"/>
                    <w:jc w:val="both"/>
                    <w:rPr>
                      <w:rFonts w:hint="eastAsia"/>
                      <w:color w:val="auto"/>
                      <w:sz w:val="21"/>
                      <w:szCs w:val="21"/>
                    </w:rPr>
                  </w:pPr>
                  <w:r>
                    <w:rPr>
                      <w:rFonts w:hint="eastAsia"/>
                      <w:color w:val="auto"/>
                      <w:sz w:val="21"/>
                      <w:szCs w:val="21"/>
                    </w:rPr>
                    <w:t>24露天开采、加工矿产资源，应当采取喷淋、集中开采、运输道路硬化绿</w:t>
                  </w:r>
                </w:p>
                <w:p w14:paraId="29B2E244">
                  <w:pPr>
                    <w:pStyle w:val="27"/>
                    <w:snapToGrid/>
                    <w:spacing w:line="240" w:lineRule="auto"/>
                    <w:ind w:firstLine="0" w:firstLineChars="0"/>
                    <w:jc w:val="both"/>
                    <w:rPr>
                      <w:rFonts w:hint="eastAsia"/>
                      <w:color w:val="auto"/>
                      <w:sz w:val="21"/>
                      <w:szCs w:val="21"/>
                    </w:rPr>
                  </w:pPr>
                  <w:r>
                    <w:rPr>
                      <w:rFonts w:hint="eastAsia"/>
                      <w:color w:val="auto"/>
                      <w:sz w:val="21"/>
                      <w:szCs w:val="21"/>
                    </w:rPr>
                    <w:t>化等防止扬尘污染的措施。</w:t>
                  </w:r>
                </w:p>
                <w:p w14:paraId="20875CBB">
                  <w:pPr>
                    <w:pStyle w:val="27"/>
                    <w:snapToGrid/>
                    <w:spacing w:line="240" w:lineRule="auto"/>
                    <w:ind w:firstLine="0" w:firstLineChars="0"/>
                    <w:jc w:val="both"/>
                    <w:rPr>
                      <w:rFonts w:hint="eastAsia"/>
                      <w:color w:val="auto"/>
                      <w:sz w:val="21"/>
                      <w:szCs w:val="21"/>
                    </w:rPr>
                  </w:pPr>
                  <w:r>
                    <w:rPr>
                      <w:rFonts w:hint="eastAsia"/>
                      <w:color w:val="auto"/>
                      <w:sz w:val="21"/>
                      <w:szCs w:val="21"/>
                    </w:rPr>
                    <w:t>25合理控制燃油机动车保有量，严格控制重型柴油车进入城市建成区，限制摩托车的行驶范围，并向社会公告。机动车和船舶向大气排放污染物不得超过规定的排放标准。</w:t>
                  </w:r>
                </w:p>
                <w:p w14:paraId="254F7646">
                  <w:pPr>
                    <w:pStyle w:val="27"/>
                    <w:snapToGrid/>
                    <w:spacing w:line="240" w:lineRule="auto"/>
                    <w:ind w:firstLine="0" w:firstLineChars="0"/>
                    <w:jc w:val="both"/>
                    <w:rPr>
                      <w:rFonts w:hint="eastAsia"/>
                      <w:color w:val="auto"/>
                      <w:sz w:val="21"/>
                      <w:szCs w:val="21"/>
                    </w:rPr>
                  </w:pPr>
                  <w:r>
                    <w:rPr>
                      <w:rFonts w:hint="eastAsia"/>
                      <w:color w:val="auto"/>
                      <w:sz w:val="21"/>
                      <w:szCs w:val="21"/>
                      <w:lang w:val="en-US" w:eastAsia="zh-CN"/>
                    </w:rPr>
                    <w:t>26</w:t>
                  </w:r>
                  <w:r>
                    <w:rPr>
                      <w:rFonts w:hint="eastAsia"/>
                      <w:color w:val="auto"/>
                      <w:sz w:val="21"/>
                      <w:szCs w:val="21"/>
                    </w:rPr>
                    <w:t>工业生产中产生的可燃性气体应当回收利用。不具备回收利用条件而向大气排放的，应当进行污染防治处理.</w:t>
                  </w:r>
                </w:p>
                <w:p w14:paraId="1BB64165">
                  <w:pPr>
                    <w:pStyle w:val="27"/>
                    <w:snapToGrid/>
                    <w:spacing w:line="240" w:lineRule="auto"/>
                    <w:ind w:firstLine="0" w:firstLineChars="0"/>
                    <w:jc w:val="both"/>
                    <w:rPr>
                      <w:rFonts w:hint="eastAsia"/>
                      <w:color w:val="auto"/>
                      <w:sz w:val="21"/>
                      <w:szCs w:val="21"/>
                    </w:rPr>
                  </w:pPr>
                  <w:r>
                    <w:rPr>
                      <w:rFonts w:hint="eastAsia"/>
                      <w:color w:val="auto"/>
                      <w:sz w:val="21"/>
                      <w:szCs w:val="21"/>
                      <w:lang w:val="en-US" w:eastAsia="zh-CN"/>
                    </w:rPr>
                    <w:t>27</w:t>
                  </w:r>
                  <w:r>
                    <w:rPr>
                      <w:rFonts w:hint="eastAsia"/>
                      <w:color w:val="auto"/>
                      <w:sz w:val="21"/>
                      <w:szCs w:val="21"/>
                    </w:rPr>
                    <w:t>建筑工程施工现场扬尘污染防治应做到工地周边围挡、物料堆放覆盖、路面硬化、土方开挖湿法作业、出入车辆清洗、渣土车辆密闭运输“六个百分之百”。具体要求执行《建筑工程施工和预拌混凝土生产扬尘污染防治标准》（试行）。</w:t>
                  </w:r>
                </w:p>
                <w:p w14:paraId="73887865">
                  <w:pPr>
                    <w:pStyle w:val="27"/>
                    <w:snapToGrid/>
                    <w:spacing w:line="240" w:lineRule="auto"/>
                    <w:ind w:firstLine="0" w:firstLineChars="0"/>
                    <w:jc w:val="both"/>
                    <w:rPr>
                      <w:rFonts w:hint="eastAsia"/>
                      <w:color w:val="auto"/>
                      <w:sz w:val="21"/>
                      <w:szCs w:val="21"/>
                    </w:rPr>
                  </w:pPr>
                  <w:r>
                    <w:rPr>
                      <w:rFonts w:hint="eastAsia"/>
                      <w:color w:val="auto"/>
                      <w:sz w:val="21"/>
                      <w:szCs w:val="21"/>
                    </w:rPr>
                    <w:t>允许排放量要求：1按照省政府下达给区域各市的允许排放量相关要求执行。</w:t>
                  </w:r>
                </w:p>
                <w:p w14:paraId="1A2CFAFA">
                  <w:pPr>
                    <w:pStyle w:val="27"/>
                    <w:snapToGrid/>
                    <w:spacing w:line="240" w:lineRule="auto"/>
                    <w:ind w:firstLine="0" w:firstLineChars="0"/>
                    <w:jc w:val="both"/>
                    <w:rPr>
                      <w:rFonts w:hint="eastAsia"/>
                      <w:color w:val="auto"/>
                      <w:sz w:val="21"/>
                      <w:szCs w:val="21"/>
                    </w:rPr>
                  </w:pPr>
                  <w:r>
                    <w:rPr>
                      <w:rFonts w:hint="eastAsia"/>
                      <w:color w:val="auto"/>
                      <w:sz w:val="21"/>
                      <w:szCs w:val="21"/>
                    </w:rPr>
                    <w:t>现有源提标升级改造：2全面排查并淘汰经整改环保仍不达标的落后产能，集中治理产业集聚区水污染，全面建成污水集中处理及重污染企业污水预处理设施。实施重污染行业专项整治，加强清洁生产审核和工业用水循</w:t>
                  </w:r>
                </w:p>
                <w:p w14:paraId="32B37712">
                  <w:pPr>
                    <w:pStyle w:val="27"/>
                    <w:snapToGrid/>
                    <w:spacing w:line="240" w:lineRule="auto"/>
                    <w:ind w:firstLine="0" w:firstLineChars="0"/>
                    <w:jc w:val="both"/>
                    <w:rPr>
                      <w:rFonts w:hint="eastAsia"/>
                      <w:color w:val="auto"/>
                      <w:sz w:val="21"/>
                      <w:szCs w:val="21"/>
                    </w:rPr>
                  </w:pPr>
                  <w:r>
                    <w:rPr>
                      <w:rFonts w:hint="eastAsia"/>
                      <w:color w:val="auto"/>
                      <w:sz w:val="21"/>
                      <w:szCs w:val="21"/>
                    </w:rPr>
                    <w:t>环利用。</w:t>
                  </w:r>
                </w:p>
                <w:p w14:paraId="575CB289">
                  <w:pPr>
                    <w:pStyle w:val="27"/>
                    <w:snapToGrid/>
                    <w:spacing w:line="240" w:lineRule="auto"/>
                    <w:ind w:firstLine="0" w:firstLineChars="0"/>
                    <w:jc w:val="both"/>
                    <w:rPr>
                      <w:rFonts w:hint="eastAsia"/>
                      <w:color w:val="auto"/>
                      <w:sz w:val="21"/>
                      <w:szCs w:val="21"/>
                    </w:rPr>
                  </w:pPr>
                  <w:r>
                    <w:rPr>
                      <w:rFonts w:hint="eastAsia"/>
                      <w:color w:val="auto"/>
                      <w:sz w:val="21"/>
                      <w:szCs w:val="21"/>
                    </w:rPr>
                    <w:t>其他污染物排放管控要求：3完善大气污染物排放总量控制制度，加强对工业烟尘、粉尘、城市扬尘和有毒有害空气污染物排放的协同控制。严格煤炭消费总量，增加清洁能源供给和使用，力争实现煤炭消费负增长。强化机动车尾气治理，优先发展公共交通，严禁秸秆露天焚烧，推进秸秆综合利用，全面推行“绿色施工”。</w:t>
                  </w:r>
                </w:p>
                <w:p w14:paraId="4B46A97B">
                  <w:pPr>
                    <w:pStyle w:val="27"/>
                    <w:snapToGrid/>
                    <w:spacing w:line="240" w:lineRule="auto"/>
                    <w:ind w:firstLine="0" w:firstLineChars="0"/>
                    <w:jc w:val="both"/>
                    <w:rPr>
                      <w:rFonts w:hint="eastAsia"/>
                      <w:color w:val="auto"/>
                      <w:sz w:val="21"/>
                      <w:szCs w:val="21"/>
                    </w:rPr>
                  </w:pPr>
                  <w:r>
                    <w:rPr>
                      <w:rFonts w:hint="eastAsia"/>
                      <w:color w:val="auto"/>
                      <w:sz w:val="21"/>
                      <w:szCs w:val="21"/>
                    </w:rPr>
                    <w:t>4加快城镇污水垃圾处理设施和配套管网建设，提升污泥处理处置水平。逐步推进老城区雨污分流改造，新建城区严格实行雨污分流。推进村庄生活污水治理，因村制宜选择接入市政管网、建设小型设施相对集中处理、分散处理等模式，提高生活污水处理水平。</w:t>
                  </w:r>
                </w:p>
                <w:p w14:paraId="4699B7D8">
                  <w:pPr>
                    <w:pStyle w:val="27"/>
                    <w:snapToGrid/>
                    <w:spacing w:line="240" w:lineRule="auto"/>
                    <w:ind w:firstLine="0" w:firstLineChars="0"/>
                    <w:jc w:val="both"/>
                    <w:rPr>
                      <w:rFonts w:hint="eastAsia"/>
                      <w:color w:val="auto"/>
                      <w:sz w:val="21"/>
                      <w:szCs w:val="21"/>
                    </w:rPr>
                  </w:pPr>
                  <w:r>
                    <w:rPr>
                      <w:rFonts w:hint="eastAsia"/>
                      <w:color w:val="auto"/>
                      <w:sz w:val="21"/>
                      <w:szCs w:val="21"/>
                    </w:rPr>
                    <w:t>1.十四五期间，全市化学需氧量、氨氮、氮氧化物、挥发性有机物减排量分别达到0.5895万吨、0.0371万吨、0.6695万吨、0.1362万吨。</w:t>
                  </w:r>
                </w:p>
                <w:p w14:paraId="5B668D3D">
                  <w:pPr>
                    <w:pStyle w:val="27"/>
                    <w:snapToGrid/>
                    <w:spacing w:line="240" w:lineRule="auto"/>
                    <w:ind w:firstLine="0" w:firstLineChars="0"/>
                    <w:jc w:val="both"/>
                    <w:rPr>
                      <w:rFonts w:hint="eastAsia"/>
                      <w:color w:val="auto"/>
                      <w:sz w:val="21"/>
                      <w:szCs w:val="21"/>
                    </w:rPr>
                  </w:pPr>
                  <w:r>
                    <w:rPr>
                      <w:rFonts w:hint="eastAsia"/>
                      <w:color w:val="auto"/>
                      <w:sz w:val="21"/>
                      <w:szCs w:val="21"/>
                    </w:rPr>
                    <w:t>2.每小时35 蒸吨至65 蒸吨燃煤锅炉全部执行特别排放限值，每小时65蒸吨以上燃煤锅炉全部实施节能和超低排放改造。1.实施工业污染源全面达标排放控制，重点工业污染源全面安装烟气在线监控设施。分行业按期执行特别排放限值要求，包括新、改、扩建项目和现有项目全面执行特别排放限值。继续推进重点行业污染治理设施升级改造，强化工业企业无组织排放治理，在安全许可要求下，实施封闭储存、密闭输送、系统收集。</w:t>
                  </w:r>
                </w:p>
                <w:p w14:paraId="293B9B18">
                  <w:pPr>
                    <w:pStyle w:val="27"/>
                    <w:snapToGrid/>
                    <w:spacing w:line="240" w:lineRule="auto"/>
                    <w:ind w:firstLine="0" w:firstLineChars="0"/>
                    <w:jc w:val="both"/>
                    <w:rPr>
                      <w:rFonts w:hint="eastAsia"/>
                      <w:color w:val="auto"/>
                      <w:sz w:val="21"/>
                      <w:szCs w:val="21"/>
                    </w:rPr>
                  </w:pPr>
                  <w:r>
                    <w:rPr>
                      <w:rFonts w:hint="eastAsia"/>
                      <w:color w:val="auto"/>
                      <w:sz w:val="21"/>
                      <w:szCs w:val="21"/>
                    </w:rPr>
                    <w:t>2.涂料、油墨、胶粘剂、农药等生产企业应采用密闭一体化生产技术，统一收集挥发性有机物废气并净化处理，净化效率应大于90%，加强工艺过程无组织排放控制，全面推行泄漏检测与修复（LDAR）制度；加强废水、废液和废渣系统逸散排放控制，推进治污设施升级改造，确保连续达标排放；全面推进油品储运销VOCs治理，积极推进储油库和加油站安装油气回收自动监测设备。</w:t>
                  </w:r>
                </w:p>
                <w:p w14:paraId="0C0EA393">
                  <w:pPr>
                    <w:pStyle w:val="27"/>
                    <w:snapToGrid/>
                    <w:spacing w:line="240" w:lineRule="auto"/>
                    <w:ind w:firstLine="0" w:firstLineChars="0"/>
                    <w:jc w:val="both"/>
                    <w:rPr>
                      <w:rFonts w:hint="eastAsia"/>
                      <w:color w:val="auto"/>
                      <w:sz w:val="21"/>
                      <w:szCs w:val="21"/>
                    </w:rPr>
                  </w:pPr>
                  <w:r>
                    <w:rPr>
                      <w:rFonts w:hint="eastAsia"/>
                      <w:color w:val="auto"/>
                      <w:sz w:val="21"/>
                      <w:szCs w:val="21"/>
                      <w:lang w:val="en-US" w:eastAsia="zh-CN"/>
                    </w:rPr>
                    <w:t>3</w:t>
                  </w:r>
                  <w:r>
                    <w:rPr>
                      <w:rFonts w:hint="eastAsia"/>
                      <w:color w:val="auto"/>
                      <w:sz w:val="21"/>
                      <w:szCs w:val="21"/>
                    </w:rPr>
                    <w:t>.到2025年，农村生活污水治理率达到25%以上。</w:t>
                  </w:r>
                </w:p>
                <w:p w14:paraId="3FD7A876">
                  <w:pPr>
                    <w:pStyle w:val="27"/>
                    <w:snapToGrid/>
                    <w:spacing w:line="240" w:lineRule="auto"/>
                    <w:ind w:firstLine="0" w:firstLineChars="0"/>
                    <w:jc w:val="both"/>
                    <w:rPr>
                      <w:rFonts w:hint="eastAsia"/>
                      <w:color w:val="auto"/>
                      <w:sz w:val="21"/>
                      <w:szCs w:val="21"/>
                    </w:rPr>
                  </w:pPr>
                  <w:r>
                    <w:rPr>
                      <w:rFonts w:hint="eastAsia"/>
                      <w:color w:val="auto"/>
                      <w:sz w:val="21"/>
                      <w:szCs w:val="21"/>
                    </w:rPr>
                    <w:t>1.在能源、冶金、建材、有色、化工、电镀、造纸、印染、农副食品加工等行业，全面推进清洁生产改造或清洁化改造。</w:t>
                  </w:r>
                </w:p>
                <w:p w14:paraId="3C46C836">
                  <w:pPr>
                    <w:pStyle w:val="27"/>
                    <w:snapToGrid/>
                    <w:spacing w:line="240" w:lineRule="auto"/>
                    <w:ind w:firstLine="0" w:firstLineChars="0"/>
                    <w:jc w:val="both"/>
                    <w:rPr>
                      <w:rFonts w:hint="eastAsia"/>
                      <w:color w:val="auto"/>
                      <w:sz w:val="21"/>
                      <w:szCs w:val="21"/>
                    </w:rPr>
                  </w:pPr>
                  <w:r>
                    <w:rPr>
                      <w:rFonts w:hint="eastAsia"/>
                      <w:color w:val="auto"/>
                      <w:sz w:val="21"/>
                      <w:szCs w:val="21"/>
                    </w:rPr>
                    <w:t>2.每小时35 蒸吨至65 蒸吨燃煤锅炉全部执行特别排放限值，每小时65 蒸吨以上燃煤锅炉全部实施节能和超低排放改造。</w:t>
                  </w:r>
                </w:p>
                <w:p w14:paraId="553D1B18">
                  <w:pPr>
                    <w:pStyle w:val="27"/>
                    <w:snapToGrid/>
                    <w:spacing w:line="240" w:lineRule="auto"/>
                    <w:ind w:firstLine="0" w:firstLineChars="0"/>
                    <w:jc w:val="both"/>
                    <w:rPr>
                      <w:rFonts w:hint="eastAsia"/>
                      <w:color w:val="auto"/>
                      <w:sz w:val="21"/>
                      <w:szCs w:val="21"/>
                    </w:rPr>
                  </w:pPr>
                  <w:r>
                    <w:rPr>
                      <w:rFonts w:hint="eastAsia"/>
                      <w:color w:val="auto"/>
                      <w:sz w:val="21"/>
                      <w:szCs w:val="21"/>
                    </w:rPr>
                    <w:t>3.推进现有企业和园区开展以节水为重点内容的绿色高质量转型升级和循环化改造，加快节水及水循环利用设施建设，促进企业间水梯级串联循环利用。</w:t>
                  </w:r>
                </w:p>
                <w:p w14:paraId="72BEFE82">
                  <w:pPr>
                    <w:pStyle w:val="27"/>
                    <w:snapToGrid/>
                    <w:spacing w:line="240" w:lineRule="auto"/>
                    <w:ind w:firstLine="0" w:firstLineChars="0"/>
                    <w:jc w:val="both"/>
                    <w:rPr>
                      <w:rFonts w:hint="eastAsia"/>
                      <w:color w:val="auto"/>
                      <w:sz w:val="21"/>
                      <w:szCs w:val="21"/>
                    </w:rPr>
                  </w:pPr>
                  <w:r>
                    <w:rPr>
                      <w:rFonts w:hint="eastAsia"/>
                      <w:color w:val="auto"/>
                      <w:sz w:val="21"/>
                      <w:szCs w:val="21"/>
                    </w:rPr>
                    <w:t>4.加快推进现役煤电机组超低排放与节能改造。</w:t>
                  </w:r>
                </w:p>
                <w:p w14:paraId="7DAB1002">
                  <w:pPr>
                    <w:pStyle w:val="27"/>
                    <w:snapToGrid/>
                    <w:spacing w:line="240" w:lineRule="auto"/>
                    <w:ind w:firstLine="0" w:firstLineChars="0"/>
                    <w:jc w:val="both"/>
                    <w:rPr>
                      <w:rFonts w:hint="eastAsia"/>
                      <w:color w:val="auto"/>
                      <w:sz w:val="21"/>
                      <w:szCs w:val="21"/>
                    </w:rPr>
                  </w:pPr>
                  <w:r>
                    <w:rPr>
                      <w:rFonts w:hint="eastAsia"/>
                      <w:color w:val="auto"/>
                      <w:sz w:val="21"/>
                      <w:szCs w:val="21"/>
                    </w:rPr>
                    <w:t>5.加大城市及周边现有燃煤发电机组的供热改造力度，优先利用背压热电联产机组替代分散燃煤锅炉，扩大集中供热面积。鼓励现有大型发电机组实施供热改造。</w:t>
                  </w:r>
                </w:p>
                <w:p w14:paraId="11AA9CE0">
                  <w:pPr>
                    <w:pStyle w:val="27"/>
                    <w:snapToGrid/>
                    <w:spacing w:line="240" w:lineRule="auto"/>
                    <w:ind w:firstLine="0" w:firstLineChars="0"/>
                    <w:jc w:val="both"/>
                    <w:rPr>
                      <w:rFonts w:hint="eastAsia"/>
                      <w:color w:val="auto"/>
                      <w:sz w:val="21"/>
                      <w:szCs w:val="21"/>
                    </w:rPr>
                  </w:pPr>
                  <w:r>
                    <w:rPr>
                      <w:rFonts w:hint="eastAsia"/>
                      <w:color w:val="auto"/>
                      <w:sz w:val="21"/>
                      <w:szCs w:val="21"/>
                    </w:rPr>
                    <w:t>6.取消燃煤电厂烟气旁路，对不能稳定达标的脱硫设施进行升级改造。</w:t>
                  </w:r>
                </w:p>
                <w:p w14:paraId="50123755">
                  <w:pPr>
                    <w:pStyle w:val="27"/>
                    <w:snapToGrid/>
                    <w:spacing w:line="240" w:lineRule="auto"/>
                    <w:ind w:firstLine="0" w:firstLineChars="0"/>
                    <w:jc w:val="both"/>
                    <w:rPr>
                      <w:rFonts w:hint="eastAsia"/>
                      <w:color w:val="auto"/>
                      <w:sz w:val="21"/>
                      <w:szCs w:val="21"/>
                    </w:rPr>
                  </w:pPr>
                  <w:r>
                    <w:rPr>
                      <w:rFonts w:hint="eastAsia"/>
                      <w:color w:val="auto"/>
                      <w:sz w:val="21"/>
                      <w:szCs w:val="21"/>
                    </w:rPr>
                    <w:t>7.实施每小时20蒸吨以上的燃煤锅炉脱硫设施建设及除尘设施升级改造。</w:t>
                  </w:r>
                </w:p>
                <w:p w14:paraId="02EFFCB0">
                  <w:pPr>
                    <w:pStyle w:val="27"/>
                    <w:snapToGrid/>
                    <w:spacing w:line="240" w:lineRule="auto"/>
                    <w:ind w:firstLine="0" w:firstLineChars="0"/>
                    <w:jc w:val="both"/>
                    <w:rPr>
                      <w:rFonts w:hint="eastAsia"/>
                      <w:color w:val="auto"/>
                      <w:sz w:val="21"/>
                      <w:szCs w:val="21"/>
                    </w:rPr>
                  </w:pPr>
                  <w:r>
                    <w:rPr>
                      <w:rFonts w:hint="eastAsia"/>
                      <w:color w:val="auto"/>
                      <w:sz w:val="21"/>
                      <w:szCs w:val="21"/>
                    </w:rPr>
                    <w:t>8.提升改造电力、化工、水泥等工业领域低氮燃烧、除尘、脱硝、脱硫设施，强化二氧化硫、氮氧化物、颗粒物及挥发性有机物污染治理。</w:t>
                  </w:r>
                </w:p>
                <w:p w14:paraId="1A7B9DD6">
                  <w:pPr>
                    <w:pStyle w:val="27"/>
                    <w:snapToGrid/>
                    <w:spacing w:line="240" w:lineRule="auto"/>
                    <w:ind w:firstLine="0" w:firstLineChars="0"/>
                    <w:jc w:val="both"/>
                    <w:rPr>
                      <w:rFonts w:hint="eastAsia"/>
                      <w:color w:val="auto"/>
                      <w:sz w:val="21"/>
                      <w:szCs w:val="21"/>
                    </w:rPr>
                  </w:pPr>
                  <w:r>
                    <w:rPr>
                      <w:rFonts w:hint="eastAsia"/>
                      <w:color w:val="auto"/>
                      <w:sz w:val="21"/>
                      <w:szCs w:val="21"/>
                    </w:rPr>
                    <w:t>9.加快城镇污水处理设施建设与改造，对辖区重点流域污水处理厂进行提标改造，推进重点流域污水处理厂全面达标排放。</w:t>
                  </w:r>
                </w:p>
                <w:p w14:paraId="6C44F062">
                  <w:pPr>
                    <w:pStyle w:val="27"/>
                    <w:snapToGrid/>
                    <w:spacing w:line="240" w:lineRule="auto"/>
                    <w:ind w:firstLine="0" w:firstLineChars="0"/>
                    <w:jc w:val="both"/>
                    <w:rPr>
                      <w:rFonts w:hint="eastAsia"/>
                      <w:color w:val="auto"/>
                      <w:sz w:val="21"/>
                      <w:szCs w:val="21"/>
                    </w:rPr>
                  </w:pPr>
                  <w:r>
                    <w:rPr>
                      <w:rFonts w:hint="eastAsia"/>
                      <w:color w:val="auto"/>
                      <w:sz w:val="21"/>
                      <w:szCs w:val="21"/>
                    </w:rPr>
                    <w:t>10.推进造纸、农副产品加工、原料药制造、化工生产、制革、农药等重点行业专项治理，实施清洁化改造。</w:t>
                  </w:r>
                </w:p>
                <w:p w14:paraId="1B82A033">
                  <w:pPr>
                    <w:pStyle w:val="27"/>
                    <w:snapToGrid/>
                    <w:spacing w:line="240" w:lineRule="auto"/>
                    <w:ind w:firstLine="0" w:firstLineChars="0"/>
                    <w:jc w:val="both"/>
                    <w:rPr>
                      <w:rFonts w:hint="eastAsia"/>
                      <w:color w:val="auto"/>
                      <w:sz w:val="21"/>
                      <w:szCs w:val="21"/>
                    </w:rPr>
                  </w:pPr>
                  <w:r>
                    <w:rPr>
                      <w:rFonts w:hint="eastAsia"/>
                      <w:color w:val="auto"/>
                      <w:sz w:val="21"/>
                      <w:szCs w:val="21"/>
                    </w:rPr>
                    <w:t>11.对现有涉重企业改扩建项目要采取“增产不增污”。1</w:t>
                  </w:r>
                  <w:r>
                    <w:rPr>
                      <w:rFonts w:hint="eastAsia"/>
                      <w:color w:val="auto"/>
                      <w:sz w:val="21"/>
                      <w:szCs w:val="21"/>
                      <w:lang w:val="en-US" w:eastAsia="zh-CN"/>
                    </w:rPr>
                    <w:t>2</w:t>
                  </w:r>
                  <w:r>
                    <w:rPr>
                      <w:rFonts w:hint="eastAsia"/>
                      <w:color w:val="auto"/>
                      <w:sz w:val="21"/>
                      <w:szCs w:val="21"/>
                    </w:rPr>
                    <w:t>.在能源、冶金、建材、有色、化工、电镀、造纸、印染、农副食品加工等行业，全面推进清洁生产改造或清洁化改造。</w:t>
                  </w:r>
                </w:p>
                <w:p w14:paraId="649D978F">
                  <w:pPr>
                    <w:pStyle w:val="27"/>
                    <w:snapToGrid/>
                    <w:spacing w:line="240" w:lineRule="auto"/>
                    <w:ind w:firstLine="0" w:firstLineChars="0"/>
                    <w:jc w:val="both"/>
                    <w:rPr>
                      <w:rFonts w:hint="eastAsia"/>
                      <w:color w:val="auto"/>
                      <w:sz w:val="21"/>
                      <w:szCs w:val="21"/>
                    </w:rPr>
                  </w:pPr>
                  <w:r>
                    <w:rPr>
                      <w:rFonts w:hint="eastAsia"/>
                      <w:color w:val="auto"/>
                      <w:sz w:val="21"/>
                      <w:szCs w:val="21"/>
                    </w:rPr>
                    <w:t>1</w:t>
                  </w:r>
                  <w:r>
                    <w:rPr>
                      <w:rFonts w:hint="eastAsia"/>
                      <w:color w:val="auto"/>
                      <w:sz w:val="21"/>
                      <w:szCs w:val="21"/>
                      <w:lang w:val="en-US" w:eastAsia="zh-CN"/>
                    </w:rPr>
                    <w:t>3</w:t>
                  </w:r>
                  <w:r>
                    <w:rPr>
                      <w:rFonts w:hint="eastAsia"/>
                      <w:color w:val="auto"/>
                      <w:sz w:val="21"/>
                      <w:szCs w:val="21"/>
                    </w:rPr>
                    <w:t>.建材、化工、陶瓷等行业按照“改造提升一批、优化整合一批、淘汰退出一批”的总体要求，提升产业发展质量和环保治理水平，全市原则上关闭一半砖瓦窑企业，同时要确保保留下来的砖瓦窑企业各项环保措施符合要求、排放稳定达标。</w:t>
                  </w:r>
                </w:p>
                <w:p w14:paraId="408C069B">
                  <w:pPr>
                    <w:pStyle w:val="27"/>
                    <w:snapToGrid/>
                    <w:spacing w:line="240" w:lineRule="auto"/>
                    <w:ind w:firstLine="0" w:firstLineChars="0"/>
                    <w:jc w:val="both"/>
                    <w:rPr>
                      <w:rFonts w:hint="eastAsia"/>
                      <w:color w:val="auto"/>
                      <w:sz w:val="21"/>
                      <w:szCs w:val="21"/>
                    </w:rPr>
                  </w:pPr>
                  <w:r>
                    <w:rPr>
                      <w:rFonts w:hint="eastAsia"/>
                      <w:color w:val="auto"/>
                      <w:sz w:val="21"/>
                      <w:szCs w:val="21"/>
                    </w:rPr>
                    <w:t>1</w:t>
                  </w:r>
                  <w:r>
                    <w:rPr>
                      <w:rFonts w:hint="eastAsia"/>
                      <w:color w:val="auto"/>
                      <w:sz w:val="21"/>
                      <w:szCs w:val="21"/>
                      <w:lang w:val="en-US" w:eastAsia="zh-CN"/>
                    </w:rPr>
                    <w:t>4</w:t>
                  </w:r>
                  <w:r>
                    <w:rPr>
                      <w:rFonts w:hint="eastAsia"/>
                      <w:color w:val="auto"/>
                      <w:sz w:val="21"/>
                      <w:szCs w:val="21"/>
                    </w:rPr>
                    <w:t>.鼓励电力行业实施超净排放改造，其他行业参照重污染天气应急减排指南B级以上绩效开展提标改造。</w:t>
                  </w:r>
                </w:p>
                <w:p w14:paraId="592BABDE">
                  <w:pPr>
                    <w:pStyle w:val="27"/>
                    <w:snapToGrid/>
                    <w:spacing w:line="240" w:lineRule="auto"/>
                    <w:ind w:firstLine="0" w:firstLineChars="0"/>
                    <w:jc w:val="both"/>
                    <w:rPr>
                      <w:rFonts w:hint="eastAsia"/>
                    </w:rPr>
                  </w:pPr>
                  <w:r>
                    <w:rPr>
                      <w:rFonts w:hint="eastAsia"/>
                      <w:color w:val="auto"/>
                      <w:sz w:val="21"/>
                      <w:szCs w:val="21"/>
                    </w:rPr>
                    <w:t>1</w:t>
                  </w:r>
                  <w:r>
                    <w:rPr>
                      <w:rFonts w:hint="eastAsia"/>
                      <w:color w:val="auto"/>
                      <w:sz w:val="21"/>
                      <w:szCs w:val="21"/>
                      <w:lang w:val="en-US" w:eastAsia="zh-CN"/>
                    </w:rPr>
                    <w:t>5</w:t>
                  </w:r>
                  <w:r>
                    <w:rPr>
                      <w:rFonts w:hint="eastAsia"/>
                      <w:color w:val="auto"/>
                      <w:sz w:val="21"/>
                      <w:szCs w:val="21"/>
                    </w:rPr>
                    <w:t>.积极推进陶瓷、玻璃等行业清洁燃料替代工程。</w:t>
                  </w:r>
                </w:p>
                <w:p w14:paraId="6B26E3E6">
                  <w:pPr>
                    <w:pStyle w:val="27"/>
                    <w:snapToGrid/>
                    <w:spacing w:line="240" w:lineRule="auto"/>
                    <w:ind w:firstLine="0" w:firstLineChars="0"/>
                    <w:jc w:val="both"/>
                    <w:rPr>
                      <w:rFonts w:hint="eastAsia"/>
                      <w:color w:val="auto"/>
                      <w:sz w:val="21"/>
                      <w:szCs w:val="21"/>
                    </w:rPr>
                  </w:pPr>
                  <w:r>
                    <w:rPr>
                      <w:rFonts w:hint="eastAsia"/>
                      <w:color w:val="auto"/>
                      <w:sz w:val="21"/>
                      <w:szCs w:val="21"/>
                      <w:lang w:val="en-US" w:eastAsia="zh-CN"/>
                    </w:rPr>
                    <w:t>1</w:t>
                  </w:r>
                  <w:r>
                    <w:rPr>
                      <w:rFonts w:hint="eastAsia"/>
                      <w:color w:val="auto"/>
                      <w:sz w:val="21"/>
                      <w:szCs w:val="21"/>
                    </w:rPr>
                    <w:t>.严格依法取缔未经审批从事喷涂作业和露天喷涂或刷漆行为。</w:t>
                  </w:r>
                </w:p>
                <w:p w14:paraId="699B33FC">
                  <w:pPr>
                    <w:pStyle w:val="27"/>
                    <w:snapToGrid/>
                    <w:spacing w:line="240" w:lineRule="auto"/>
                    <w:ind w:firstLine="0" w:firstLineChars="0"/>
                    <w:jc w:val="both"/>
                    <w:rPr>
                      <w:color w:val="auto"/>
                      <w:sz w:val="21"/>
                      <w:szCs w:val="21"/>
                    </w:rPr>
                  </w:pPr>
                  <w:r>
                    <w:rPr>
                      <w:rFonts w:hint="eastAsia"/>
                      <w:color w:val="auto"/>
                      <w:sz w:val="21"/>
                      <w:szCs w:val="21"/>
                    </w:rPr>
                    <w:t>2.到2025年底，土壤污染重点监管单位排污许可证应当全部载明土壤污染防治义务，至少完成一次土壤和地下水隐患排查，制定整改方案和台账并落实。</w:t>
                  </w:r>
                </w:p>
              </w:tc>
              <w:tc>
                <w:tcPr>
                  <w:tcW w:w="443" w:type="pct"/>
                  <w:vAlign w:val="center"/>
                </w:tcPr>
                <w:p w14:paraId="03A5A76E">
                  <w:pPr>
                    <w:pStyle w:val="27"/>
                    <w:snapToGrid/>
                    <w:spacing w:line="240" w:lineRule="auto"/>
                    <w:ind w:firstLine="0" w:firstLineChars="0"/>
                    <w:rPr>
                      <w:color w:val="auto"/>
                      <w:sz w:val="21"/>
                      <w:szCs w:val="21"/>
                    </w:rPr>
                  </w:pPr>
                  <w:r>
                    <w:rPr>
                      <w:color w:val="auto"/>
                      <w:sz w:val="21"/>
                      <w:szCs w:val="21"/>
                    </w:rPr>
                    <w:t>本项目符合允许排放要求，符合相关管控</w:t>
                  </w:r>
                </w:p>
                <w:p w14:paraId="502CF1F5">
                  <w:pPr>
                    <w:pStyle w:val="27"/>
                    <w:snapToGrid/>
                    <w:spacing w:line="240" w:lineRule="auto"/>
                    <w:ind w:firstLine="0" w:firstLineChars="0"/>
                    <w:rPr>
                      <w:color w:val="auto"/>
                      <w:sz w:val="21"/>
                      <w:szCs w:val="21"/>
                    </w:rPr>
                  </w:pPr>
                  <w:r>
                    <w:rPr>
                      <w:color w:val="auto"/>
                      <w:sz w:val="21"/>
                      <w:szCs w:val="21"/>
                    </w:rPr>
                    <w:t>要求</w:t>
                  </w:r>
                </w:p>
              </w:tc>
            </w:tr>
            <w:tr w14:paraId="3546B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 w:type="pct"/>
                  <w:vAlign w:val="center"/>
                </w:tcPr>
                <w:p w14:paraId="3E8C0B7B">
                  <w:pPr>
                    <w:widowControl/>
                    <w:jc w:val="center"/>
                    <w:rPr>
                      <w:color w:val="auto"/>
                      <w:kern w:val="0"/>
                      <w:sz w:val="21"/>
                      <w:szCs w:val="21"/>
                    </w:rPr>
                  </w:pPr>
                  <w:r>
                    <w:rPr>
                      <w:color w:val="auto"/>
                      <w:kern w:val="0"/>
                      <w:sz w:val="21"/>
                      <w:szCs w:val="21"/>
                    </w:rPr>
                    <w:t>3</w:t>
                  </w:r>
                </w:p>
              </w:tc>
              <w:tc>
                <w:tcPr>
                  <w:tcW w:w="516" w:type="pct"/>
                  <w:vAlign w:val="center"/>
                </w:tcPr>
                <w:p w14:paraId="773E604B">
                  <w:pPr>
                    <w:pStyle w:val="27"/>
                    <w:snapToGrid/>
                    <w:spacing w:line="240" w:lineRule="auto"/>
                    <w:ind w:firstLine="0" w:firstLineChars="0"/>
                    <w:jc w:val="center"/>
                    <w:rPr>
                      <w:color w:val="auto"/>
                      <w:sz w:val="21"/>
                      <w:szCs w:val="21"/>
                    </w:rPr>
                  </w:pPr>
                  <w:r>
                    <w:rPr>
                      <w:color w:val="auto"/>
                      <w:sz w:val="21"/>
                      <w:szCs w:val="21"/>
                    </w:rPr>
                    <w:t>一般管控单元</w:t>
                  </w:r>
                </w:p>
              </w:tc>
              <w:tc>
                <w:tcPr>
                  <w:tcW w:w="538" w:type="pct"/>
                  <w:vAlign w:val="center"/>
                </w:tcPr>
                <w:p w14:paraId="07517119">
                  <w:pPr>
                    <w:pStyle w:val="27"/>
                    <w:snapToGrid/>
                    <w:spacing w:line="240" w:lineRule="auto"/>
                    <w:ind w:firstLine="0" w:firstLineChars="0"/>
                    <w:jc w:val="center"/>
                    <w:rPr>
                      <w:color w:val="auto"/>
                      <w:sz w:val="21"/>
                      <w:szCs w:val="21"/>
                    </w:rPr>
                  </w:pPr>
                  <w:r>
                    <w:rPr>
                      <w:color w:val="auto"/>
                      <w:sz w:val="21"/>
                      <w:szCs w:val="21"/>
                    </w:rPr>
                    <w:t>资源开发效率要求</w:t>
                  </w:r>
                </w:p>
              </w:tc>
              <w:tc>
                <w:tcPr>
                  <w:tcW w:w="3247" w:type="pct"/>
                  <w:vAlign w:val="center"/>
                </w:tcPr>
                <w:p w14:paraId="33B9C946">
                  <w:pPr>
                    <w:pStyle w:val="27"/>
                    <w:snapToGrid/>
                    <w:spacing w:line="240" w:lineRule="auto"/>
                    <w:ind w:firstLine="0" w:firstLineChars="0"/>
                    <w:jc w:val="both"/>
                    <w:rPr>
                      <w:rFonts w:hint="eastAsia"/>
                      <w:color w:val="auto"/>
                      <w:sz w:val="21"/>
                      <w:szCs w:val="21"/>
                    </w:rPr>
                  </w:pPr>
                  <w:r>
                    <w:rPr>
                      <w:rFonts w:hint="eastAsia"/>
                      <w:color w:val="auto"/>
                      <w:sz w:val="21"/>
                      <w:szCs w:val="21"/>
                    </w:rPr>
                    <w:t>1严格落实主体功能区规划，在生态脆弱、严重缺水和地下水超采地区，严格控制高耗水新建、改建、扩建项目，推进高耗水企业向水资源条件允许的工业园区集中。对采用列入淘汰目录工艺、技术和装备的项目，不予批准取水许可；未按期淘汰的，有关部门和地方政府要依法严格查处。</w:t>
                  </w:r>
                </w:p>
                <w:p w14:paraId="6A375197">
                  <w:pPr>
                    <w:pStyle w:val="27"/>
                    <w:snapToGrid/>
                    <w:spacing w:line="240" w:lineRule="auto"/>
                    <w:ind w:firstLine="0" w:firstLineChars="0"/>
                    <w:jc w:val="both"/>
                    <w:rPr>
                      <w:rFonts w:hint="eastAsia"/>
                      <w:color w:val="auto"/>
                      <w:sz w:val="21"/>
                      <w:szCs w:val="21"/>
                    </w:rPr>
                  </w:pPr>
                  <w:r>
                    <w:rPr>
                      <w:rFonts w:hint="eastAsia"/>
                      <w:color w:val="auto"/>
                      <w:sz w:val="21"/>
                      <w:szCs w:val="21"/>
                      <w:lang w:val="en-US" w:eastAsia="zh-CN"/>
                    </w:rPr>
                    <w:t>2</w:t>
                  </w:r>
                  <w:r>
                    <w:rPr>
                      <w:rFonts w:hint="eastAsia"/>
                      <w:color w:val="auto"/>
                      <w:sz w:val="21"/>
                      <w:szCs w:val="21"/>
                    </w:rPr>
                    <w:t>皖北平原地区应当限制高耗水、重污染产业发展，提高城镇污水处理标准，加强污水、采矿排水再生利用；支持规模农业使用高效节水灌溉技术；对地下水超采地区，应当制定综合治理措施，控制开采量，逐步实现采</w:t>
                  </w:r>
                </w:p>
                <w:p w14:paraId="04D6D6B6">
                  <w:pPr>
                    <w:pStyle w:val="27"/>
                    <w:snapToGrid/>
                    <w:spacing w:line="240" w:lineRule="auto"/>
                    <w:ind w:firstLine="0" w:firstLineChars="0"/>
                    <w:jc w:val="both"/>
                    <w:rPr>
                      <w:rFonts w:hint="eastAsia"/>
                      <w:color w:val="auto"/>
                      <w:sz w:val="21"/>
                      <w:szCs w:val="21"/>
                    </w:rPr>
                  </w:pPr>
                  <w:r>
                    <w:rPr>
                      <w:rFonts w:hint="eastAsia"/>
                      <w:color w:val="auto"/>
                      <w:sz w:val="21"/>
                      <w:szCs w:val="21"/>
                    </w:rPr>
                    <w:t>补平衡。。</w:t>
                  </w:r>
                </w:p>
                <w:p w14:paraId="7EA38F9C">
                  <w:pPr>
                    <w:pStyle w:val="27"/>
                    <w:snapToGrid/>
                    <w:spacing w:line="240" w:lineRule="auto"/>
                    <w:ind w:firstLine="0" w:firstLineChars="0"/>
                    <w:jc w:val="both"/>
                    <w:rPr>
                      <w:rFonts w:hint="eastAsia"/>
                      <w:color w:val="auto"/>
                      <w:sz w:val="21"/>
                      <w:szCs w:val="21"/>
                    </w:rPr>
                  </w:pPr>
                  <w:r>
                    <w:rPr>
                      <w:rFonts w:hint="eastAsia"/>
                      <w:color w:val="auto"/>
                      <w:sz w:val="21"/>
                      <w:szCs w:val="21"/>
                      <w:lang w:val="en-US" w:eastAsia="zh-CN"/>
                    </w:rPr>
                    <w:t>3</w:t>
                  </w:r>
                  <w:r>
                    <w:rPr>
                      <w:rFonts w:hint="eastAsia"/>
                      <w:color w:val="auto"/>
                      <w:sz w:val="21"/>
                      <w:szCs w:val="21"/>
                    </w:rPr>
                    <w:t>推动煤电行业实施节能降耗改造、供热改造和灵活性改造“三改联动”。加快供热管网建设，淘汰管网覆盖范围内的燃煤锅炉和散煤。到2025年，火电平均供电煤耗降至295克标煤/千瓦时，散煤基本清零。</w:t>
                  </w:r>
                </w:p>
                <w:p w14:paraId="68F1B579">
                  <w:pPr>
                    <w:pStyle w:val="27"/>
                    <w:snapToGrid/>
                    <w:spacing w:line="240" w:lineRule="auto"/>
                    <w:ind w:firstLine="0" w:firstLineChars="0"/>
                    <w:jc w:val="both"/>
                    <w:rPr>
                      <w:rFonts w:hint="eastAsia"/>
                      <w:color w:val="auto"/>
                      <w:sz w:val="21"/>
                      <w:szCs w:val="21"/>
                    </w:rPr>
                  </w:pPr>
                  <w:r>
                    <w:rPr>
                      <w:rFonts w:hint="eastAsia"/>
                      <w:color w:val="auto"/>
                      <w:sz w:val="21"/>
                      <w:szCs w:val="21"/>
                      <w:lang w:val="en-US" w:eastAsia="zh-CN"/>
                    </w:rPr>
                    <w:t>4</w:t>
                  </w:r>
                  <w:r>
                    <w:rPr>
                      <w:rFonts w:hint="eastAsia"/>
                      <w:color w:val="auto"/>
                      <w:sz w:val="21"/>
                      <w:szCs w:val="21"/>
                    </w:rPr>
                    <w:t>实施“煤改气”和“以电代煤”。在陶瓷、玻璃、铸造等行业积极推进天然气替代煤气化工程，有序实施燃煤设施煤改气。结合区域和行业用能特点，积极推进工业生产、建筑供暖供冷、交通运输、农业生产、居民生</w:t>
                  </w:r>
                </w:p>
                <w:p w14:paraId="4CCC97E1">
                  <w:pPr>
                    <w:pStyle w:val="27"/>
                    <w:snapToGrid/>
                    <w:spacing w:line="240" w:lineRule="auto"/>
                    <w:ind w:firstLine="0" w:firstLineChars="0"/>
                    <w:jc w:val="both"/>
                    <w:rPr>
                      <w:rFonts w:hint="eastAsia"/>
                      <w:color w:val="auto"/>
                      <w:sz w:val="21"/>
                      <w:szCs w:val="21"/>
                    </w:rPr>
                  </w:pPr>
                  <w:r>
                    <w:rPr>
                      <w:rFonts w:hint="eastAsia"/>
                      <w:color w:val="auto"/>
                      <w:sz w:val="21"/>
                      <w:szCs w:val="21"/>
                    </w:rPr>
                    <w:t>活五大领域实施“以电代煤”，着力提高电能占终端能源消费比重。4推动光伏发电规模化发展，充分利用荒山荒坡、采煤沉陷区等未利用空间，建设集中式光伏电站。加快工业园区、公共建筑、居民住宅等屋顶光伏建设，有序推动国家整县（市、区）屋顶分布式光伏开发试点，因地制宜推进“光伏+”项目。</w:t>
                  </w:r>
                </w:p>
                <w:p w14:paraId="5F4D2D7B">
                  <w:pPr>
                    <w:pStyle w:val="27"/>
                    <w:snapToGrid/>
                    <w:spacing w:line="240" w:lineRule="auto"/>
                    <w:ind w:firstLine="0" w:firstLineChars="0"/>
                    <w:jc w:val="both"/>
                    <w:rPr>
                      <w:rFonts w:hint="eastAsia"/>
                      <w:color w:val="auto"/>
                      <w:sz w:val="21"/>
                      <w:szCs w:val="21"/>
                    </w:rPr>
                  </w:pPr>
                  <w:r>
                    <w:rPr>
                      <w:rFonts w:hint="eastAsia"/>
                      <w:color w:val="auto"/>
                      <w:sz w:val="21"/>
                      <w:szCs w:val="21"/>
                    </w:rPr>
                    <w:t>5积极开发风电资源，在皖北平原、皖西南地区建设集中连片风电，持续推进就近接入、就地消纳的分散式风电建设。</w:t>
                  </w:r>
                </w:p>
                <w:p w14:paraId="16189F5A">
                  <w:pPr>
                    <w:pStyle w:val="27"/>
                    <w:snapToGrid/>
                    <w:spacing w:line="240" w:lineRule="auto"/>
                    <w:ind w:firstLine="0" w:firstLineChars="0"/>
                    <w:jc w:val="both"/>
                    <w:rPr>
                      <w:rFonts w:hint="eastAsia"/>
                      <w:color w:val="auto"/>
                      <w:sz w:val="21"/>
                      <w:szCs w:val="21"/>
                    </w:rPr>
                  </w:pPr>
                  <w:r>
                    <w:rPr>
                      <w:rFonts w:hint="eastAsia"/>
                      <w:color w:val="auto"/>
                      <w:sz w:val="21"/>
                      <w:szCs w:val="21"/>
                      <w:lang w:val="en-US" w:eastAsia="zh-CN"/>
                    </w:rPr>
                    <w:t>6</w:t>
                  </w:r>
                  <w:r>
                    <w:rPr>
                      <w:rFonts w:hint="eastAsia"/>
                      <w:color w:val="auto"/>
                      <w:sz w:val="21"/>
                      <w:szCs w:val="21"/>
                    </w:rPr>
                    <w:t>在禁燃区内的企业事业单位和其他生产经营者，应当在规定的期限内停止使用高污染燃料，改用天然气、液化石油气、电能或者其他清洁能源。</w:t>
                  </w:r>
                </w:p>
                <w:p w14:paraId="235FE30C">
                  <w:pPr>
                    <w:pStyle w:val="27"/>
                    <w:snapToGrid/>
                    <w:spacing w:line="240" w:lineRule="auto"/>
                    <w:ind w:firstLine="0" w:firstLineChars="0"/>
                    <w:jc w:val="both"/>
                    <w:rPr>
                      <w:rFonts w:hint="eastAsia"/>
                      <w:color w:val="auto"/>
                      <w:sz w:val="21"/>
                      <w:szCs w:val="21"/>
                    </w:rPr>
                  </w:pPr>
                  <w:r>
                    <w:rPr>
                      <w:rFonts w:hint="eastAsia"/>
                      <w:color w:val="auto"/>
                      <w:sz w:val="21"/>
                      <w:szCs w:val="21"/>
                    </w:rPr>
                    <w:t>3到2025年，全省单位生产总值能耗比2020年下降14%，力争下降14.5%。</w:t>
                  </w:r>
                </w:p>
                <w:p w14:paraId="354C17E1">
                  <w:pPr>
                    <w:pStyle w:val="27"/>
                    <w:snapToGrid/>
                    <w:spacing w:line="240" w:lineRule="auto"/>
                    <w:ind w:firstLine="0" w:firstLineChars="0"/>
                    <w:jc w:val="both"/>
                    <w:rPr>
                      <w:rFonts w:hint="eastAsia"/>
                      <w:color w:val="auto"/>
                      <w:sz w:val="21"/>
                      <w:szCs w:val="21"/>
                    </w:rPr>
                  </w:pPr>
                  <w:r>
                    <w:rPr>
                      <w:rFonts w:hint="eastAsia"/>
                      <w:color w:val="auto"/>
                      <w:sz w:val="21"/>
                      <w:szCs w:val="21"/>
                    </w:rPr>
                    <w:t>水资源利用总量及效率要求：1按照省政府下达给区域各市的水资源利用总量及效率要求执行。</w:t>
                  </w:r>
                </w:p>
                <w:p w14:paraId="52BA5A9D">
                  <w:pPr>
                    <w:pStyle w:val="27"/>
                    <w:snapToGrid/>
                    <w:spacing w:line="240" w:lineRule="auto"/>
                    <w:ind w:firstLine="0" w:firstLineChars="0"/>
                    <w:jc w:val="both"/>
                    <w:rPr>
                      <w:rFonts w:hint="eastAsia"/>
                      <w:color w:val="auto"/>
                      <w:sz w:val="21"/>
                      <w:szCs w:val="21"/>
                    </w:rPr>
                  </w:pPr>
                  <w:r>
                    <w:rPr>
                      <w:rFonts w:hint="eastAsia"/>
                      <w:color w:val="auto"/>
                      <w:sz w:val="21"/>
                      <w:szCs w:val="21"/>
                    </w:rPr>
                    <w:t>地下水开采要求：2兴建地下工程设施或者进行地下勘探、采矿等活动，应当采取防护性措施，防止地下水污染。</w:t>
                  </w:r>
                </w:p>
                <w:p w14:paraId="4824DBEC">
                  <w:pPr>
                    <w:pStyle w:val="27"/>
                    <w:snapToGrid/>
                    <w:spacing w:line="240" w:lineRule="auto"/>
                    <w:ind w:firstLine="0" w:firstLineChars="0"/>
                    <w:jc w:val="both"/>
                    <w:rPr>
                      <w:rFonts w:hint="eastAsia"/>
                      <w:color w:val="auto"/>
                      <w:sz w:val="21"/>
                      <w:szCs w:val="21"/>
                    </w:rPr>
                  </w:pPr>
                  <w:r>
                    <w:rPr>
                      <w:rFonts w:hint="eastAsia"/>
                      <w:color w:val="auto"/>
                      <w:sz w:val="21"/>
                      <w:szCs w:val="21"/>
                    </w:rPr>
                    <w:t>3开采地下水时，对下列含水层应当分层开采，不得混合开采：（一）半咸水、咸水、卤水层；（二）已受污染的含水层；（三）含有毒有害元素，超过生活饮用水卫生标准的水层；（四）有医疗价值和特殊经济价值的</w:t>
                  </w:r>
                </w:p>
                <w:p w14:paraId="05BDB649">
                  <w:pPr>
                    <w:pStyle w:val="27"/>
                    <w:snapToGrid/>
                    <w:spacing w:line="240" w:lineRule="auto"/>
                    <w:ind w:firstLine="0" w:firstLineChars="0"/>
                    <w:jc w:val="both"/>
                    <w:rPr>
                      <w:rFonts w:hint="eastAsia"/>
                      <w:color w:val="auto"/>
                      <w:sz w:val="21"/>
                      <w:szCs w:val="21"/>
                    </w:rPr>
                  </w:pPr>
                  <w:r>
                    <w:rPr>
                      <w:rFonts w:hint="eastAsia"/>
                      <w:color w:val="auto"/>
                      <w:sz w:val="21"/>
                      <w:szCs w:val="21"/>
                    </w:rPr>
                    <w:t>地下热水、温泉水和矿泉水。</w:t>
                  </w:r>
                </w:p>
                <w:p w14:paraId="36B2BF0E">
                  <w:pPr>
                    <w:pStyle w:val="27"/>
                    <w:snapToGrid/>
                    <w:spacing w:line="240" w:lineRule="auto"/>
                    <w:ind w:firstLine="0" w:firstLineChars="0"/>
                    <w:jc w:val="both"/>
                    <w:rPr>
                      <w:rFonts w:hint="eastAsia"/>
                      <w:color w:val="auto"/>
                      <w:sz w:val="21"/>
                      <w:szCs w:val="21"/>
                    </w:rPr>
                  </w:pPr>
                  <w:r>
                    <w:rPr>
                      <w:rFonts w:hint="eastAsia"/>
                      <w:color w:val="auto"/>
                      <w:sz w:val="21"/>
                      <w:szCs w:val="21"/>
                    </w:rPr>
                    <w:t>4淮河流域地下水开采区应当依靠降雨、地下径流、河流和湖泊、水库渗漏等补给地下水。人工回灌补给地下水，不得恶化地下水质。</w:t>
                  </w:r>
                </w:p>
                <w:p w14:paraId="386AF886">
                  <w:pPr>
                    <w:pStyle w:val="27"/>
                    <w:snapToGrid/>
                    <w:spacing w:line="240" w:lineRule="auto"/>
                    <w:ind w:firstLine="0" w:firstLineChars="0"/>
                    <w:jc w:val="both"/>
                    <w:rPr>
                      <w:rFonts w:hint="eastAsia"/>
                      <w:color w:val="auto"/>
                      <w:sz w:val="21"/>
                      <w:szCs w:val="21"/>
                    </w:rPr>
                  </w:pPr>
                  <w:r>
                    <w:rPr>
                      <w:rFonts w:hint="eastAsia"/>
                      <w:color w:val="auto"/>
                      <w:sz w:val="21"/>
                      <w:szCs w:val="21"/>
                    </w:rPr>
                    <w:t>能源利用总量及效率要求：5按照省政府下达给区域各市能源利用总量及效率要求执行。</w:t>
                  </w:r>
                </w:p>
                <w:p w14:paraId="1E090BF7">
                  <w:pPr>
                    <w:pStyle w:val="27"/>
                    <w:snapToGrid/>
                    <w:spacing w:line="240" w:lineRule="auto"/>
                    <w:ind w:firstLine="0" w:firstLineChars="0"/>
                    <w:jc w:val="both"/>
                    <w:rPr>
                      <w:rFonts w:hint="eastAsia"/>
                      <w:color w:val="auto"/>
                      <w:sz w:val="21"/>
                      <w:szCs w:val="21"/>
                    </w:rPr>
                  </w:pPr>
                  <w:r>
                    <w:rPr>
                      <w:rFonts w:hint="eastAsia"/>
                      <w:color w:val="auto"/>
                      <w:sz w:val="21"/>
                      <w:szCs w:val="21"/>
                    </w:rPr>
                    <w:t>禁燃区要求：6按照省级清单中禁燃区要求执行。</w:t>
                  </w:r>
                </w:p>
                <w:p w14:paraId="47E1312B">
                  <w:pPr>
                    <w:pStyle w:val="27"/>
                    <w:snapToGrid/>
                    <w:spacing w:line="240" w:lineRule="auto"/>
                    <w:ind w:firstLine="0" w:firstLineChars="0"/>
                    <w:jc w:val="both"/>
                    <w:rPr>
                      <w:rFonts w:hint="eastAsia"/>
                      <w:color w:val="auto"/>
                      <w:sz w:val="21"/>
                      <w:szCs w:val="21"/>
                    </w:rPr>
                  </w:pPr>
                  <w:r>
                    <w:rPr>
                      <w:rFonts w:hint="eastAsia"/>
                      <w:color w:val="auto"/>
                      <w:sz w:val="21"/>
                      <w:szCs w:val="21"/>
                    </w:rPr>
                    <w:t>其他资源利用效率要求：7土地资源利用效率按照省政府下达给区域各市的要求执行。1.到十四五末，埇桥区、灵璧县、泗县、萧县、砀山县万元工业增加值用水量比2020年分别下降14%、32%、25%、16%、22%、19%，万元GDP用水量比2020年分别下降15%、16%、16%、15%、16%、15%，农田灌溉水有效利用系数控制为0.65。</w:t>
                  </w:r>
                </w:p>
                <w:p w14:paraId="0646C7E7">
                  <w:pPr>
                    <w:pStyle w:val="27"/>
                    <w:snapToGrid/>
                    <w:spacing w:line="240" w:lineRule="auto"/>
                    <w:ind w:firstLine="0" w:firstLineChars="0"/>
                    <w:jc w:val="both"/>
                    <w:rPr>
                      <w:rFonts w:hint="eastAsia"/>
                      <w:color w:val="auto"/>
                      <w:sz w:val="21"/>
                      <w:szCs w:val="21"/>
                    </w:rPr>
                  </w:pPr>
                  <w:r>
                    <w:rPr>
                      <w:rFonts w:hint="eastAsia"/>
                      <w:color w:val="auto"/>
                      <w:sz w:val="21"/>
                      <w:szCs w:val="21"/>
                    </w:rPr>
                    <w:t>2.到2025 年，全市用水总量控制在11.71亿立方米以内，其中城乡生活及工业用水总量6.0亿立方米。</w:t>
                  </w:r>
                </w:p>
                <w:p w14:paraId="4B19CFD2">
                  <w:pPr>
                    <w:pStyle w:val="27"/>
                    <w:snapToGrid/>
                    <w:spacing w:line="240" w:lineRule="auto"/>
                    <w:ind w:firstLine="0" w:firstLineChars="0"/>
                    <w:jc w:val="both"/>
                    <w:rPr>
                      <w:rFonts w:hint="eastAsia"/>
                      <w:color w:val="auto"/>
                      <w:sz w:val="21"/>
                      <w:szCs w:val="21"/>
                    </w:rPr>
                  </w:pPr>
                  <w:r>
                    <w:rPr>
                      <w:rFonts w:hint="eastAsia"/>
                      <w:color w:val="auto"/>
                      <w:sz w:val="21"/>
                      <w:szCs w:val="21"/>
                    </w:rPr>
                    <w:t>3.到2022 年，规模以上工业用水重复利用率达到91%以上，万元国内生产总值用水量、万元工业增加值用水量较2015 年分别降低32%和27%，农田灌溉水有效利用系数提高到0.65以上。</w:t>
                  </w:r>
                </w:p>
                <w:p w14:paraId="77460A9C">
                  <w:pPr>
                    <w:pStyle w:val="27"/>
                    <w:snapToGrid/>
                    <w:spacing w:line="240" w:lineRule="auto"/>
                    <w:ind w:firstLine="0" w:firstLineChars="0"/>
                    <w:jc w:val="both"/>
                    <w:rPr>
                      <w:rFonts w:hint="eastAsia"/>
                      <w:color w:val="auto"/>
                      <w:sz w:val="21"/>
                      <w:szCs w:val="21"/>
                    </w:rPr>
                  </w:pPr>
                  <w:r>
                    <w:rPr>
                      <w:rFonts w:hint="eastAsia"/>
                      <w:color w:val="auto"/>
                      <w:sz w:val="21"/>
                      <w:szCs w:val="21"/>
                    </w:rPr>
                    <w:t>4.到2035年，全市用水总量控制在15亿m</w:t>
                  </w:r>
                  <w:r>
                    <w:rPr>
                      <w:rFonts w:hint="eastAsia"/>
                      <w:color w:val="auto"/>
                      <w:sz w:val="21"/>
                      <w:szCs w:val="21"/>
                      <w:vertAlign w:val="superscript"/>
                    </w:rPr>
                    <w:t>3</w:t>
                  </w:r>
                  <w:r>
                    <w:rPr>
                      <w:rFonts w:hint="eastAsia"/>
                      <w:color w:val="auto"/>
                      <w:sz w:val="21"/>
                      <w:szCs w:val="21"/>
                    </w:rPr>
                    <w:t>以内。新建耗煤项目实行煤炭减量替代。对煤炭开采与洗选业、化学原料和化学制品制造业、非金属矿物制品业、黑色金属冶炼和压延加工业、有色金属冶炼和压延加工业、电力热力生产和供应业等行业新增耗煤（电力行业除外），实施煤炭消费量1.5倍减量替代。继续推进电能替代燃煤和燃油工作，替代规模达到省下达的指标要求。1.在地下水超采区，禁止农业、工业建设项目和服务业新增取用地下水。</w:t>
                  </w:r>
                </w:p>
                <w:p w14:paraId="4E5DC0EC">
                  <w:pPr>
                    <w:pStyle w:val="27"/>
                    <w:snapToGrid/>
                    <w:spacing w:line="240" w:lineRule="auto"/>
                    <w:ind w:firstLine="0" w:firstLineChars="0"/>
                    <w:jc w:val="both"/>
                    <w:rPr>
                      <w:rFonts w:hint="eastAsia"/>
                      <w:color w:val="auto"/>
                      <w:sz w:val="21"/>
                      <w:szCs w:val="21"/>
                    </w:rPr>
                  </w:pPr>
                  <w:r>
                    <w:rPr>
                      <w:rFonts w:hint="eastAsia"/>
                      <w:color w:val="auto"/>
                      <w:sz w:val="21"/>
                      <w:szCs w:val="21"/>
                    </w:rPr>
                    <w:t>2.在地下水禁止开采区内，禁止新建、改建和扩建取用地下水的建设项目。已有的地下水取水工程，应当统一规划建设替代水源。</w:t>
                  </w:r>
                </w:p>
                <w:p w14:paraId="3308BCA1">
                  <w:pPr>
                    <w:pStyle w:val="27"/>
                    <w:snapToGrid/>
                    <w:spacing w:line="240" w:lineRule="auto"/>
                    <w:ind w:firstLine="0" w:firstLineChars="0"/>
                    <w:jc w:val="both"/>
                    <w:rPr>
                      <w:rFonts w:hint="eastAsia"/>
                      <w:color w:val="auto"/>
                      <w:sz w:val="21"/>
                      <w:szCs w:val="21"/>
                    </w:rPr>
                  </w:pPr>
                  <w:r>
                    <w:rPr>
                      <w:rFonts w:hint="eastAsia"/>
                      <w:color w:val="auto"/>
                      <w:sz w:val="21"/>
                      <w:szCs w:val="21"/>
                    </w:rPr>
                    <w:t>3.在地下水限制开采区内，不得新增地下水开采量。确需新建地下水取水工程的，应当经省人民政府水行政主管部门批准。</w:t>
                  </w:r>
                </w:p>
                <w:p w14:paraId="24419EC5">
                  <w:pPr>
                    <w:pStyle w:val="27"/>
                    <w:snapToGrid/>
                    <w:spacing w:line="240" w:lineRule="auto"/>
                    <w:ind w:firstLine="0" w:firstLineChars="0"/>
                    <w:jc w:val="both"/>
                    <w:rPr>
                      <w:rFonts w:hint="eastAsia"/>
                      <w:color w:val="auto"/>
                      <w:sz w:val="21"/>
                      <w:szCs w:val="21"/>
                    </w:rPr>
                  </w:pPr>
                  <w:r>
                    <w:rPr>
                      <w:rFonts w:hint="eastAsia"/>
                      <w:color w:val="auto"/>
                      <w:sz w:val="21"/>
                      <w:szCs w:val="21"/>
                    </w:rPr>
                    <w:t>4.建设单位因施工需要直接取用地下水的，应当向具有审批权限的水行政主管部门申请临时取水。</w:t>
                  </w:r>
                </w:p>
                <w:p w14:paraId="378B7181">
                  <w:pPr>
                    <w:pStyle w:val="27"/>
                    <w:snapToGrid/>
                    <w:spacing w:line="240" w:lineRule="auto"/>
                    <w:ind w:firstLine="0" w:firstLineChars="0"/>
                    <w:jc w:val="both"/>
                    <w:rPr>
                      <w:rFonts w:hint="eastAsia"/>
                      <w:color w:val="auto"/>
                      <w:sz w:val="21"/>
                      <w:szCs w:val="21"/>
                    </w:rPr>
                  </w:pPr>
                  <w:r>
                    <w:rPr>
                      <w:rFonts w:hint="eastAsia"/>
                      <w:color w:val="auto"/>
                      <w:sz w:val="21"/>
                      <w:szCs w:val="21"/>
                    </w:rPr>
                    <w:t>1.除集中供热企业外，禁燃区内禁止新建、扩建燃用高污染燃料的设施，禁止销售、燃用各类型高污染燃料。</w:t>
                  </w:r>
                </w:p>
                <w:p w14:paraId="1D7DA412">
                  <w:pPr>
                    <w:pStyle w:val="27"/>
                    <w:snapToGrid/>
                    <w:spacing w:line="240" w:lineRule="auto"/>
                    <w:ind w:firstLine="0" w:firstLineChars="0"/>
                    <w:jc w:val="both"/>
                    <w:rPr>
                      <w:rFonts w:hint="eastAsia"/>
                      <w:color w:val="auto"/>
                      <w:sz w:val="21"/>
                      <w:szCs w:val="21"/>
                    </w:rPr>
                  </w:pPr>
                  <w:r>
                    <w:rPr>
                      <w:rFonts w:hint="eastAsia"/>
                      <w:color w:val="auto"/>
                      <w:sz w:val="21"/>
                      <w:szCs w:val="21"/>
                    </w:rPr>
                    <w:t>2.宿州市禁燃区内各乡镇、街道、园区管委会要加强对民用煤制品的监督管理，禁燃区内禁止销售、燃用民用煤制品，餐饮服务场所不得燃用煤炭及其制品，非道路移动机械不得燃用渣油和重油；鼓励使用太阳能、电能、天然气、液化石油气、沼气等清洁能源或者依托周边已有热电机组实施集中供热；推进农村清洁能源的替代和开发利用。</w:t>
                  </w:r>
                </w:p>
                <w:p w14:paraId="2AA2DBE0">
                  <w:pPr>
                    <w:pStyle w:val="27"/>
                    <w:snapToGrid/>
                    <w:spacing w:line="240" w:lineRule="auto"/>
                    <w:ind w:firstLine="0" w:firstLineChars="0"/>
                    <w:jc w:val="both"/>
                    <w:rPr>
                      <w:color w:val="auto"/>
                      <w:sz w:val="21"/>
                      <w:szCs w:val="21"/>
                    </w:rPr>
                  </w:pPr>
                  <w:r>
                    <w:rPr>
                      <w:rFonts w:hint="eastAsia"/>
                      <w:color w:val="auto"/>
                      <w:sz w:val="21"/>
                      <w:szCs w:val="21"/>
                    </w:rPr>
                    <w:t>3.禁燃区内禁止使用散煤等高污染燃料，逐步实现无煤化。</w:t>
                  </w:r>
                </w:p>
              </w:tc>
              <w:tc>
                <w:tcPr>
                  <w:tcW w:w="443" w:type="pct"/>
                  <w:vAlign w:val="center"/>
                </w:tcPr>
                <w:p w14:paraId="5CA6B51C">
                  <w:pPr>
                    <w:pStyle w:val="27"/>
                    <w:snapToGrid/>
                    <w:spacing w:line="240" w:lineRule="auto"/>
                    <w:ind w:firstLine="0" w:firstLineChars="0"/>
                    <w:rPr>
                      <w:color w:val="auto"/>
                      <w:sz w:val="21"/>
                      <w:szCs w:val="21"/>
                    </w:rPr>
                  </w:pPr>
                  <w:r>
                    <w:rPr>
                      <w:color w:val="auto"/>
                      <w:sz w:val="21"/>
                      <w:szCs w:val="21"/>
                    </w:rPr>
                    <w:t>本项目执行现有法律法规和政策文件，符合相关管控要求</w:t>
                  </w:r>
                </w:p>
              </w:tc>
            </w:tr>
          </w:tbl>
          <w:p w14:paraId="4556274F">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snapToGrid/>
                <w:color w:val="auto"/>
                <w:spacing w:val="0"/>
                <w:kern w:val="0"/>
                <w:position w:val="0"/>
                <w:sz w:val="24"/>
                <w:szCs w:val="24"/>
                <w:lang w:eastAsia="zh-CN"/>
              </w:rPr>
            </w:pPr>
            <w:r>
              <w:rPr>
                <w:rFonts w:hint="eastAsia" w:ascii="宋体" w:hAnsi="宋体" w:eastAsia="宋体" w:cs="宋体"/>
                <w:color w:val="auto"/>
                <w:kern w:val="0"/>
                <w:sz w:val="24"/>
                <w:szCs w:val="24"/>
                <w:lang w:val="en-US" w:eastAsia="zh-CN" w:bidi="ar"/>
              </w:rPr>
              <w:t>综上所述，本项目建设满足生态保护红线、环境质量底线、资源利用上线，且不在环境准入负面清单中，符合“三线一单与分区管控”要求。</w:t>
            </w:r>
          </w:p>
          <w:p w14:paraId="514C780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bCs/>
                <w:snapToGrid/>
                <w:color w:val="auto"/>
                <w:spacing w:val="0"/>
                <w:kern w:val="0"/>
                <w:position w:val="0"/>
                <w:sz w:val="24"/>
                <w:szCs w:val="24"/>
              </w:rPr>
            </w:pPr>
            <w:r>
              <w:rPr>
                <w:rFonts w:hint="eastAsia" w:cs="Times New Roman"/>
                <w:b/>
                <w:bCs/>
                <w:snapToGrid/>
                <w:color w:val="auto"/>
                <w:spacing w:val="0"/>
                <w:kern w:val="0"/>
                <w:position w:val="0"/>
                <w:sz w:val="24"/>
                <w:szCs w:val="24"/>
                <w:lang w:val="en-US" w:eastAsia="zh-CN"/>
              </w:rPr>
              <w:t>2</w:t>
            </w:r>
            <w:r>
              <w:rPr>
                <w:rFonts w:hint="eastAsia" w:ascii="Times New Roman" w:hAnsi="Times New Roman" w:eastAsia="宋体" w:cs="Times New Roman"/>
                <w:b/>
                <w:bCs/>
                <w:snapToGrid/>
                <w:color w:val="auto"/>
                <w:spacing w:val="0"/>
                <w:kern w:val="0"/>
                <w:position w:val="0"/>
                <w:sz w:val="24"/>
                <w:szCs w:val="24"/>
                <w:lang w:val="en-US" w:eastAsia="zh-CN"/>
              </w:rPr>
              <w:t>、</w:t>
            </w:r>
            <w:r>
              <w:rPr>
                <w:rFonts w:hint="default" w:ascii="Times New Roman" w:hAnsi="Times New Roman" w:eastAsia="宋体" w:cs="Times New Roman"/>
                <w:b/>
                <w:bCs/>
                <w:snapToGrid/>
                <w:color w:val="auto"/>
                <w:spacing w:val="0"/>
                <w:kern w:val="0"/>
                <w:position w:val="0"/>
                <w:sz w:val="24"/>
                <w:szCs w:val="24"/>
              </w:rPr>
              <w:t>产业政策符合性</w:t>
            </w:r>
          </w:p>
          <w:p w14:paraId="5A35FC0D">
            <w:pPr>
              <w:spacing w:line="360" w:lineRule="auto"/>
              <w:ind w:firstLine="480" w:firstLineChars="200"/>
              <w:rPr>
                <w:rFonts w:hint="default" w:ascii="Times New Roman" w:hAnsi="Times New Roman" w:eastAsia="宋体" w:cs="Times New Roman"/>
                <w:snapToGrid/>
                <w:color w:val="auto"/>
                <w:spacing w:val="0"/>
                <w:kern w:val="0"/>
                <w:position w:val="0"/>
                <w:sz w:val="24"/>
                <w:szCs w:val="24"/>
              </w:rPr>
            </w:pPr>
            <w:r>
              <w:rPr>
                <w:rFonts w:hint="eastAsia" w:ascii="Times New Roman" w:hAnsi="Times New Roman" w:eastAsia="宋体" w:cs="Times New Roman"/>
                <w:b w:val="0"/>
                <w:bCs w:val="0"/>
                <w:color w:val="auto"/>
                <w:sz w:val="24"/>
                <w:szCs w:val="24"/>
                <w:lang w:val="en-US" w:eastAsia="zh-CN"/>
              </w:rPr>
              <w:t>根据《产业结构调整指导目录（</w:t>
            </w:r>
            <w:r>
              <w:rPr>
                <w:rFonts w:hint="eastAsia" w:ascii="Times New Roman" w:hAnsi="Times New Roman" w:eastAsia="宋体" w:cs="Times New Roman"/>
                <w:color w:val="auto"/>
                <w:kern w:val="0"/>
                <w:sz w:val="24"/>
                <w:szCs w:val="24"/>
                <w:highlight w:val="none"/>
                <w:lang w:val="en-US" w:eastAsia="zh-CN" w:bidi="ar-SA"/>
              </w:rPr>
              <w:t>20</w:t>
            </w:r>
            <w:r>
              <w:rPr>
                <w:rFonts w:hint="eastAsia" w:cs="Times New Roman"/>
                <w:color w:val="auto"/>
                <w:kern w:val="0"/>
                <w:sz w:val="24"/>
                <w:szCs w:val="24"/>
                <w:highlight w:val="none"/>
                <w:lang w:val="en-US" w:eastAsia="zh-CN" w:bidi="ar-SA"/>
              </w:rPr>
              <w:t>24</w:t>
            </w:r>
            <w:r>
              <w:rPr>
                <w:rFonts w:hint="eastAsia" w:ascii="Times New Roman" w:hAnsi="Times New Roman" w:eastAsia="宋体" w:cs="Times New Roman"/>
                <w:color w:val="auto"/>
                <w:kern w:val="0"/>
                <w:sz w:val="24"/>
                <w:szCs w:val="24"/>
                <w:highlight w:val="none"/>
                <w:lang w:val="en-US" w:eastAsia="zh-CN" w:bidi="ar-SA"/>
              </w:rPr>
              <w:t>年本</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snapToGrid/>
                <w:color w:val="auto"/>
                <w:spacing w:val="0"/>
                <w:kern w:val="0"/>
                <w:position w:val="0"/>
                <w:sz w:val="24"/>
                <w:szCs w:val="24"/>
                <w:highlight w:val="none"/>
                <w:lang w:val="en-US" w:eastAsia="zh-CN" w:bidi="ar-SA"/>
              </w:rPr>
              <w:t>，本项目</w:t>
            </w:r>
            <w:r>
              <w:rPr>
                <w:rFonts w:hint="eastAsia" w:cs="Times New Roman"/>
                <w:snapToGrid/>
                <w:color w:val="auto"/>
                <w:spacing w:val="0"/>
                <w:kern w:val="0"/>
                <w:position w:val="0"/>
                <w:sz w:val="24"/>
                <w:szCs w:val="24"/>
                <w:highlight w:val="none"/>
                <w:lang w:val="en-US" w:eastAsia="zh-CN" w:bidi="ar-SA"/>
              </w:rPr>
              <w:t>属于</w:t>
            </w:r>
            <w:r>
              <w:rPr>
                <w:rFonts w:hint="eastAsia" w:cs="Times New Roman"/>
                <w:color w:val="auto"/>
                <w:kern w:val="2"/>
                <w:sz w:val="24"/>
                <w:szCs w:val="24"/>
                <w:highlight w:val="none"/>
                <w:lang w:val="en-US" w:eastAsia="zh-CN" w:bidi="ar-SA"/>
              </w:rPr>
              <w:t>钨合金渔坠制造</w:t>
            </w:r>
            <w:r>
              <w:rPr>
                <w:rFonts w:hint="eastAsia" w:cs="Times New Roman"/>
                <w:snapToGrid/>
                <w:color w:val="auto"/>
                <w:spacing w:val="0"/>
                <w:kern w:val="0"/>
                <w:position w:val="0"/>
                <w:sz w:val="24"/>
                <w:szCs w:val="24"/>
                <w:highlight w:val="none"/>
                <w:lang w:val="en-US" w:eastAsia="zh-CN" w:bidi="ar-SA"/>
              </w:rPr>
              <w:t>，</w:t>
            </w:r>
            <w:r>
              <w:rPr>
                <w:rFonts w:hint="eastAsia" w:ascii="Times New Roman" w:hAnsi="Times New Roman" w:cs="Times New Roman"/>
                <w:b w:val="0"/>
                <w:bCs w:val="0"/>
                <w:color w:val="auto"/>
                <w:sz w:val="24"/>
                <w:szCs w:val="24"/>
                <w:lang w:val="en-US" w:eastAsia="zh-CN"/>
              </w:rPr>
              <w:t>不属于鼓励类和限制类，属于允许类</w:t>
            </w:r>
            <w:r>
              <w:rPr>
                <w:rFonts w:hint="eastAsia"/>
                <w:color w:val="auto"/>
                <w:sz w:val="24"/>
                <w:szCs w:val="24"/>
                <w:highlight w:val="none"/>
                <w:lang w:eastAsia="zh-CN"/>
              </w:rPr>
              <w:t>，因此，项目建设符合国家产业政策要求</w:t>
            </w:r>
            <w:r>
              <w:rPr>
                <w:rFonts w:hint="default" w:ascii="Times New Roman" w:hAnsi="Times New Roman" w:eastAsia="宋体" w:cs="Times New Roman"/>
                <w:snapToGrid/>
                <w:color w:val="auto"/>
                <w:spacing w:val="0"/>
                <w:kern w:val="0"/>
                <w:position w:val="0"/>
                <w:sz w:val="24"/>
                <w:szCs w:val="24"/>
                <w:highlight w:val="none"/>
                <w:lang w:val="en-US" w:eastAsia="zh-CN" w:bidi="ar-SA"/>
              </w:rPr>
              <w:t>。</w:t>
            </w:r>
          </w:p>
          <w:p w14:paraId="17D161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napToGrid/>
                <w:color w:val="auto"/>
                <w:spacing w:val="0"/>
                <w:kern w:val="0"/>
                <w:position w:val="0"/>
                <w:sz w:val="24"/>
                <w:szCs w:val="24"/>
              </w:rPr>
            </w:pPr>
            <w:r>
              <w:rPr>
                <w:rFonts w:hint="eastAsia" w:cs="Times New Roman"/>
                <w:snapToGrid/>
                <w:color w:val="auto"/>
                <w:spacing w:val="0"/>
                <w:kern w:val="0"/>
                <w:position w:val="0"/>
                <w:sz w:val="24"/>
                <w:szCs w:val="24"/>
                <w:lang w:val="en-US" w:eastAsia="zh-CN"/>
              </w:rPr>
              <w:t>项目于</w:t>
            </w:r>
            <w:r>
              <w:rPr>
                <w:rFonts w:hint="eastAsia" w:ascii="Times New Roman" w:hAnsi="Times New Roman" w:eastAsia="宋体" w:cs="Times New Roman"/>
                <w:snapToGrid/>
                <w:color w:val="auto"/>
                <w:spacing w:val="0"/>
                <w:kern w:val="0"/>
                <w:position w:val="0"/>
                <w:sz w:val="24"/>
                <w:szCs w:val="24"/>
                <w:lang w:val="en-US" w:eastAsia="zh-CN"/>
              </w:rPr>
              <w:t>20</w:t>
            </w:r>
            <w:r>
              <w:rPr>
                <w:rFonts w:hint="eastAsia" w:cs="Times New Roman"/>
                <w:snapToGrid/>
                <w:color w:val="auto"/>
                <w:spacing w:val="0"/>
                <w:kern w:val="0"/>
                <w:position w:val="0"/>
                <w:sz w:val="24"/>
                <w:szCs w:val="24"/>
                <w:lang w:val="en-US" w:eastAsia="zh-CN"/>
              </w:rPr>
              <w:t>25</w:t>
            </w:r>
            <w:r>
              <w:rPr>
                <w:rFonts w:hint="eastAsia" w:ascii="Times New Roman" w:hAnsi="Times New Roman" w:eastAsia="宋体" w:cs="Times New Roman"/>
                <w:snapToGrid/>
                <w:color w:val="auto"/>
                <w:spacing w:val="0"/>
                <w:kern w:val="0"/>
                <w:position w:val="0"/>
                <w:sz w:val="24"/>
                <w:szCs w:val="24"/>
                <w:lang w:val="en-US" w:eastAsia="zh-CN"/>
              </w:rPr>
              <w:t>年</w:t>
            </w:r>
            <w:r>
              <w:rPr>
                <w:rFonts w:hint="eastAsia" w:cs="Times New Roman"/>
                <w:snapToGrid/>
                <w:color w:val="auto"/>
                <w:spacing w:val="0"/>
                <w:kern w:val="0"/>
                <w:position w:val="0"/>
                <w:sz w:val="24"/>
                <w:szCs w:val="24"/>
                <w:lang w:val="en-US" w:eastAsia="zh-CN"/>
              </w:rPr>
              <w:t>3</w:t>
            </w:r>
            <w:r>
              <w:rPr>
                <w:rFonts w:hint="eastAsia" w:ascii="Times New Roman" w:hAnsi="Times New Roman" w:eastAsia="宋体" w:cs="Times New Roman"/>
                <w:snapToGrid/>
                <w:color w:val="auto"/>
                <w:spacing w:val="0"/>
                <w:kern w:val="0"/>
                <w:position w:val="0"/>
                <w:sz w:val="24"/>
                <w:szCs w:val="24"/>
                <w:lang w:val="en-US" w:eastAsia="zh-CN"/>
              </w:rPr>
              <w:t>月</w:t>
            </w:r>
            <w:r>
              <w:rPr>
                <w:rFonts w:hint="eastAsia" w:cs="Times New Roman"/>
                <w:snapToGrid/>
                <w:color w:val="auto"/>
                <w:spacing w:val="0"/>
                <w:kern w:val="0"/>
                <w:position w:val="0"/>
                <w:sz w:val="24"/>
                <w:szCs w:val="24"/>
                <w:lang w:val="en-US" w:eastAsia="zh-CN"/>
              </w:rPr>
              <w:t>在</w:t>
            </w:r>
            <w:r>
              <w:rPr>
                <w:rFonts w:hint="eastAsia" w:cs="Times New Roman"/>
                <w:b w:val="0"/>
                <w:bCs w:val="0"/>
                <w:snapToGrid/>
                <w:color w:val="auto"/>
                <w:spacing w:val="0"/>
                <w:kern w:val="0"/>
                <w:position w:val="0"/>
                <w:sz w:val="24"/>
                <w:szCs w:val="24"/>
                <w:highlight w:val="none"/>
                <w:lang w:eastAsia="zh-CN"/>
              </w:rPr>
              <w:t>灵璧县发展和改革委员会</w:t>
            </w:r>
            <w:r>
              <w:rPr>
                <w:rFonts w:hint="default" w:ascii="Times New Roman" w:hAnsi="Times New Roman" w:eastAsia="宋体" w:cs="Times New Roman"/>
                <w:snapToGrid/>
                <w:color w:val="auto"/>
                <w:spacing w:val="0"/>
                <w:kern w:val="0"/>
                <w:position w:val="0"/>
                <w:sz w:val="24"/>
                <w:szCs w:val="24"/>
                <w:lang w:eastAsia="zh-CN"/>
              </w:rPr>
              <w:t>。项目代码为：</w:t>
            </w:r>
            <w:r>
              <w:rPr>
                <w:rFonts w:hint="eastAsia" w:cs="Times New Roman"/>
                <w:snapToGrid/>
                <w:color w:val="auto"/>
                <w:spacing w:val="0"/>
                <w:kern w:val="0"/>
                <w:position w:val="0"/>
                <w:sz w:val="24"/>
                <w:szCs w:val="24"/>
                <w:lang w:val="en-US" w:eastAsia="zh-CN"/>
              </w:rPr>
              <w:t>2503-341323-04-01-133099</w:t>
            </w:r>
            <w:r>
              <w:rPr>
                <w:rFonts w:hint="default" w:ascii="Times New Roman" w:hAnsi="Times New Roman" w:eastAsia="宋体" w:cs="Times New Roman"/>
                <w:snapToGrid/>
                <w:color w:val="auto"/>
                <w:spacing w:val="0"/>
                <w:kern w:val="0"/>
                <w:position w:val="0"/>
                <w:sz w:val="24"/>
                <w:szCs w:val="24"/>
                <w:lang w:val="en-US" w:eastAsia="zh-CN"/>
              </w:rPr>
              <w:t>。因此，项目的建设符合地方的产业政策。</w:t>
            </w:r>
          </w:p>
          <w:p w14:paraId="7858E57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color w:val="auto"/>
                <w:spacing w:val="0"/>
                <w:kern w:val="0"/>
                <w:position w:val="0"/>
                <w:sz w:val="24"/>
                <w:szCs w:val="24"/>
                <w:lang w:val="en-US" w:eastAsia="zh-CN"/>
              </w:rPr>
            </w:pPr>
            <w:r>
              <w:rPr>
                <w:rFonts w:hint="default" w:ascii="Times New Roman" w:hAnsi="Times New Roman" w:cs="Times New Roman"/>
                <w:bCs/>
                <w:snapToGrid/>
                <w:color w:val="auto"/>
                <w:spacing w:val="0"/>
                <w:kern w:val="0"/>
                <w:position w:val="0"/>
                <w:sz w:val="24"/>
                <w:szCs w:val="24"/>
                <w:lang w:eastAsia="zh-CN"/>
              </w:rPr>
              <w:t>综上所述，项目的建设符合国家及地方的产业政策要求。</w:t>
            </w:r>
          </w:p>
          <w:p w14:paraId="5A69507C">
            <w:pPr>
              <w:keepNext w:val="0"/>
              <w:keepLines w:val="0"/>
              <w:pageBreakBefore w:val="0"/>
              <w:widowControl w:val="0"/>
              <w:numPr>
                <w:ilvl w:val="0"/>
                <w:numId w:val="0"/>
              </w:numPr>
              <w:kinsoku/>
              <w:wordWrap/>
              <w:overflowPunct/>
              <w:topLinePunct w:val="0"/>
              <w:bidi w:val="0"/>
              <w:adjustRightInd w:val="0"/>
              <w:snapToGrid w:val="0"/>
              <w:spacing w:line="360" w:lineRule="auto"/>
              <w:textAlignment w:val="auto"/>
              <w:rPr>
                <w:rFonts w:hint="eastAsia" w:ascii="Times New Roman" w:hAnsi="Times New Roman" w:cs="Times New Roman"/>
                <w:b/>
                <w:bCs/>
                <w:color w:val="auto"/>
                <w:sz w:val="24"/>
                <w:szCs w:val="24"/>
                <w:highlight w:val="none"/>
                <w:lang w:val="en-US" w:eastAsia="zh-CN"/>
              </w:rPr>
            </w:pPr>
            <w:r>
              <w:rPr>
                <w:rFonts w:hint="eastAsia" w:cs="Times New Roman"/>
                <w:b/>
                <w:bCs/>
                <w:snapToGrid/>
                <w:color w:val="auto"/>
                <w:spacing w:val="0"/>
                <w:kern w:val="0"/>
                <w:position w:val="0"/>
                <w:sz w:val="24"/>
                <w:szCs w:val="24"/>
                <w:lang w:val="en-US" w:eastAsia="zh-CN"/>
              </w:rPr>
              <w:t>3</w:t>
            </w:r>
            <w:r>
              <w:rPr>
                <w:rFonts w:hint="default" w:ascii="Times New Roman" w:hAnsi="Times New Roman" w:eastAsia="宋体" w:cs="Times New Roman"/>
                <w:b/>
                <w:bCs/>
                <w:snapToGrid/>
                <w:color w:val="auto"/>
                <w:spacing w:val="0"/>
                <w:kern w:val="0"/>
                <w:position w:val="0"/>
                <w:sz w:val="24"/>
                <w:szCs w:val="24"/>
                <w:lang w:val="en-US" w:eastAsia="zh-CN"/>
              </w:rPr>
              <w:t>、</w:t>
            </w:r>
            <w:r>
              <w:rPr>
                <w:rFonts w:hint="eastAsia" w:ascii="Times New Roman" w:hAnsi="Times New Roman" w:cs="Times New Roman"/>
                <w:b/>
                <w:bCs/>
                <w:color w:val="auto"/>
                <w:sz w:val="24"/>
                <w:szCs w:val="24"/>
                <w:highlight w:val="none"/>
                <w:lang w:val="en-US" w:eastAsia="zh-CN"/>
              </w:rPr>
              <w:t>其他政策相符性分析</w:t>
            </w:r>
          </w:p>
          <w:p w14:paraId="292EE4DB">
            <w:pPr>
              <w:keepNext w:val="0"/>
              <w:keepLines w:val="0"/>
              <w:pageBreakBefore w:val="0"/>
              <w:widowControl w:val="0"/>
              <w:numPr>
                <w:ilvl w:val="0"/>
                <w:numId w:val="0"/>
              </w:numPr>
              <w:kinsoku/>
              <w:wordWrap/>
              <w:overflowPunct/>
              <w:topLinePunct w:val="0"/>
              <w:bidi w:val="0"/>
              <w:adjustRightInd w:val="0"/>
              <w:snapToGrid w:val="0"/>
              <w:spacing w:line="360" w:lineRule="auto"/>
              <w:ind w:firstLine="240" w:firstLineChars="1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）项目与《重点行业挥发性有机物综合治理方案》相符性分析</w:t>
            </w:r>
          </w:p>
          <w:p w14:paraId="106A092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表1.</w:t>
            </w:r>
            <w:r>
              <w:rPr>
                <w:rFonts w:hint="eastAsia"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en-US" w:eastAsia="zh-CN"/>
              </w:rPr>
              <w:t xml:space="preserve">  与《重点行业挥发性有机物综合治理方案》相符性分析一览表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3618"/>
              <w:gridCol w:w="3270"/>
              <w:gridCol w:w="660"/>
            </w:tblGrid>
            <w:tr w14:paraId="093A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noWrap w:val="0"/>
                  <w:vAlign w:val="center"/>
                </w:tcPr>
                <w:p w14:paraId="544EB5A6">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序号</w:t>
                  </w:r>
                </w:p>
              </w:tc>
              <w:tc>
                <w:tcPr>
                  <w:tcW w:w="3585" w:type="dxa"/>
                  <w:noWrap w:val="0"/>
                  <w:vAlign w:val="center"/>
                </w:tcPr>
                <w:p w14:paraId="152890E6">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重点行业挥发性有机物综合治理方案</w:t>
                  </w:r>
                </w:p>
              </w:tc>
              <w:tc>
                <w:tcPr>
                  <w:tcW w:w="3240" w:type="dxa"/>
                  <w:noWrap w:val="0"/>
                  <w:vAlign w:val="center"/>
                </w:tcPr>
                <w:p w14:paraId="7FE3D6AC">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项目情况</w:t>
                  </w:r>
                </w:p>
              </w:tc>
              <w:tc>
                <w:tcPr>
                  <w:tcW w:w="654" w:type="dxa"/>
                  <w:noWrap w:val="0"/>
                  <w:vAlign w:val="center"/>
                </w:tcPr>
                <w:p w14:paraId="054406A2">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相符性</w:t>
                  </w:r>
                </w:p>
              </w:tc>
            </w:tr>
            <w:tr w14:paraId="68E1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noWrap w:val="0"/>
                  <w:vAlign w:val="center"/>
                </w:tcPr>
                <w:p w14:paraId="702BB1D6">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p>
              </w:tc>
              <w:tc>
                <w:tcPr>
                  <w:tcW w:w="3585" w:type="dxa"/>
                  <w:noWrap w:val="0"/>
                  <w:vAlign w:val="center"/>
                </w:tcPr>
                <w:p w14:paraId="5C39915B">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全面加强无组织排放控制。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tc>
              <w:tc>
                <w:tcPr>
                  <w:tcW w:w="3240" w:type="dxa"/>
                  <w:noWrap w:val="0"/>
                  <w:vAlign w:val="center"/>
                </w:tcPr>
                <w:p w14:paraId="200C1838">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项目</w:t>
                  </w:r>
                  <w:r>
                    <w:rPr>
                      <w:rFonts w:hint="eastAsia" w:cs="Times New Roman"/>
                      <w:color w:val="auto"/>
                      <w:sz w:val="21"/>
                      <w:szCs w:val="21"/>
                      <w:highlight w:val="none"/>
                      <w:vertAlign w:val="baseline"/>
                      <w:lang w:val="en-US" w:eastAsia="zh-CN"/>
                    </w:rPr>
                    <w:t>生产过程中涉及含VOCs的原料，加热废气“集气罩+二级活性炭吸附装置+15m高排气筒（DA002）”处理后排放；1#脱胶、注塑废气和固化废气采用“集气罩+二级活性炭吸附装置+15m高排气筒（DA003）”处理后排放；2#脱胶、注塑废气采用“集气罩+二级活性炭吸附装置+15m高排气筒（DA004）”处理后排放。</w:t>
                  </w:r>
                </w:p>
              </w:tc>
              <w:tc>
                <w:tcPr>
                  <w:tcW w:w="654" w:type="dxa"/>
                  <w:noWrap w:val="0"/>
                  <w:vAlign w:val="center"/>
                </w:tcPr>
                <w:p w14:paraId="17328876">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相符</w:t>
                  </w:r>
                </w:p>
              </w:tc>
            </w:tr>
            <w:tr w14:paraId="30E1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noWrap w:val="0"/>
                  <w:vAlign w:val="center"/>
                </w:tcPr>
                <w:p w14:paraId="0FBB3D43">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2</w:t>
                  </w:r>
                </w:p>
              </w:tc>
              <w:tc>
                <w:tcPr>
                  <w:tcW w:w="3585" w:type="dxa"/>
                  <w:noWrap w:val="0"/>
                  <w:vAlign w:val="center"/>
                </w:tcPr>
                <w:p w14:paraId="4F18FE81">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推进建设适宜高效的治污设施。企业新建治污设施或对现有治污设施实施改造，应依据排放废气的浓度、组分、风量、温度、湿度、压力，以及生产工况等，合理选择治理技术。鼓励企业采用多种技术的组合工艺，提高VOCs治理效率。</w:t>
                  </w:r>
                </w:p>
              </w:tc>
              <w:tc>
                <w:tcPr>
                  <w:tcW w:w="3240" w:type="dxa"/>
                  <w:noWrap w:val="0"/>
                  <w:vAlign w:val="center"/>
                </w:tcPr>
                <w:p w14:paraId="6016B416">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yellow"/>
                      <w:shd w:val="clear" w:color="auto" w:fill="auto"/>
                      <w:lang w:val="en-US" w:eastAsia="zh-CN"/>
                    </w:rPr>
                  </w:pPr>
                  <w:r>
                    <w:rPr>
                      <w:rFonts w:hint="eastAsia" w:cs="Times New Roman"/>
                      <w:color w:val="auto"/>
                      <w:sz w:val="21"/>
                      <w:szCs w:val="21"/>
                      <w:highlight w:val="none"/>
                      <w:vertAlign w:val="baseline"/>
                      <w:lang w:val="en-US" w:eastAsia="zh-CN"/>
                    </w:rPr>
                    <w:t>加热废气“集气罩+二级活性炭吸附装置+15m高排气筒（DA002）”处理后排放；1#脱胶、注塑废气和固化废气采用“集气罩+二级活性炭吸附装置+15m高排气筒（DA003）”处理后排放；2#脱胶、注塑废气采用“集气罩+二级活性炭吸附装置+15m高排气筒（DA004）”处理后排放。</w:t>
                  </w:r>
                </w:p>
              </w:tc>
              <w:tc>
                <w:tcPr>
                  <w:tcW w:w="654" w:type="dxa"/>
                  <w:noWrap w:val="0"/>
                  <w:vAlign w:val="center"/>
                </w:tcPr>
                <w:p w14:paraId="5F42D0A5">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相符</w:t>
                  </w:r>
                </w:p>
              </w:tc>
            </w:tr>
            <w:tr w14:paraId="3FF2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noWrap w:val="0"/>
                  <w:vAlign w:val="center"/>
                </w:tcPr>
                <w:p w14:paraId="0A7F052A">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3</w:t>
                  </w:r>
                </w:p>
              </w:tc>
              <w:tc>
                <w:tcPr>
                  <w:tcW w:w="3585" w:type="dxa"/>
                  <w:noWrap w:val="0"/>
                  <w:vAlign w:val="center"/>
                </w:tcPr>
                <w:p w14:paraId="12E61202">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实行重点排放源排放浓度与去除效率双重控制。车间或生产设施收集排放的废气，VOCs初始排放速率大于等于3千克/小时、重点区域大于等于2千克/小时的，应加大控制力度，除确保排放浓度稳定达标外，还应实行去除效率控制。</w:t>
                  </w:r>
                </w:p>
              </w:tc>
              <w:tc>
                <w:tcPr>
                  <w:tcW w:w="3240" w:type="dxa"/>
                  <w:noWrap w:val="0"/>
                  <w:vAlign w:val="center"/>
                </w:tcPr>
                <w:p w14:paraId="56CF82E0">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yellow"/>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本项目</w:t>
                  </w:r>
                  <w:r>
                    <w:rPr>
                      <w:rFonts w:hint="eastAsia" w:cs="Times New Roman"/>
                      <w:color w:val="auto"/>
                      <w:sz w:val="21"/>
                      <w:szCs w:val="21"/>
                      <w:highlight w:val="none"/>
                      <w:vertAlign w:val="baseline"/>
                      <w:lang w:val="en-US" w:eastAsia="zh-CN"/>
                    </w:rPr>
                    <w:t>位于</w:t>
                  </w:r>
                  <w:r>
                    <w:rPr>
                      <w:rFonts w:hint="default" w:ascii="Times New Roman" w:hAnsi="Times New Roman" w:eastAsia="宋体" w:cs="Times New Roman"/>
                      <w:color w:val="auto"/>
                      <w:sz w:val="21"/>
                      <w:szCs w:val="21"/>
                      <w:highlight w:val="none"/>
                      <w:shd w:val="clear" w:color="auto" w:fill="auto"/>
                      <w:lang w:val="en-US" w:eastAsia="zh-CN"/>
                    </w:rPr>
                    <w:t>重点区域</w:t>
                  </w:r>
                  <w:r>
                    <w:rPr>
                      <w:rFonts w:hint="eastAsia" w:ascii="Times New Roman" w:hAnsi="Times New Roman" w:eastAsia="宋体" w:cs="Times New Roman"/>
                      <w:color w:val="auto"/>
                      <w:sz w:val="21"/>
                      <w:szCs w:val="21"/>
                      <w:highlight w:val="none"/>
                      <w:shd w:val="clear" w:color="auto" w:fill="auto"/>
                      <w:lang w:val="en-US" w:eastAsia="zh-CN"/>
                    </w:rPr>
                    <w:t>，</w:t>
                  </w:r>
                  <w:r>
                    <w:rPr>
                      <w:rFonts w:hint="default" w:ascii="Times New Roman" w:hAnsi="Times New Roman" w:eastAsia="宋体" w:cs="Times New Roman"/>
                      <w:color w:val="auto"/>
                      <w:sz w:val="21"/>
                      <w:szCs w:val="21"/>
                      <w:highlight w:val="none"/>
                      <w:vertAlign w:val="baseline"/>
                      <w:lang w:val="en-US" w:eastAsia="zh-CN"/>
                    </w:rPr>
                    <w:t>生产运行过程中</w:t>
                  </w:r>
                  <w:r>
                    <w:rPr>
                      <w:rFonts w:hint="default" w:ascii="Times New Roman" w:hAnsi="Times New Roman" w:eastAsia="宋体" w:cs="Times New Roman"/>
                      <w:color w:val="auto"/>
                      <w:sz w:val="21"/>
                      <w:szCs w:val="21"/>
                      <w:highlight w:val="none"/>
                      <w:shd w:val="clear" w:color="auto" w:fill="auto"/>
                      <w:lang w:val="en-US" w:eastAsia="zh-CN"/>
                    </w:rPr>
                    <w:t>VOCs</w:t>
                  </w:r>
                  <w:r>
                    <w:rPr>
                      <w:rFonts w:hint="default" w:ascii="Times New Roman" w:hAnsi="Times New Roman" w:eastAsia="宋体" w:cs="Times New Roman"/>
                      <w:color w:val="auto"/>
                      <w:sz w:val="21"/>
                      <w:szCs w:val="21"/>
                      <w:highlight w:val="none"/>
                      <w:vertAlign w:val="baseline"/>
                      <w:lang w:val="en-US" w:eastAsia="zh-CN"/>
                    </w:rPr>
                    <w:t>初始排放速率小于</w:t>
                  </w:r>
                  <w:r>
                    <w:rPr>
                      <w:rFonts w:hint="eastAsia"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shd w:val="clear" w:color="auto" w:fill="auto"/>
                      <w:lang w:val="en-US" w:eastAsia="zh-CN"/>
                    </w:rPr>
                    <w:t>千克/小时</w:t>
                  </w:r>
                  <w:r>
                    <w:rPr>
                      <w:rFonts w:hint="eastAsia" w:cs="Times New Roman"/>
                      <w:color w:val="auto"/>
                      <w:sz w:val="21"/>
                      <w:szCs w:val="21"/>
                      <w:highlight w:val="none"/>
                      <w:shd w:val="clear" w:color="auto" w:fill="auto"/>
                      <w:lang w:val="en-US" w:eastAsia="zh-CN"/>
                    </w:rPr>
                    <w:t>，且</w:t>
                  </w:r>
                  <w:r>
                    <w:rPr>
                      <w:rFonts w:hint="default" w:ascii="Times New Roman" w:hAnsi="Times New Roman" w:eastAsia="宋体" w:cs="Times New Roman"/>
                      <w:color w:val="auto"/>
                      <w:sz w:val="21"/>
                      <w:szCs w:val="21"/>
                      <w:highlight w:val="none"/>
                      <w:shd w:val="clear" w:color="auto" w:fill="auto"/>
                      <w:lang w:val="en-US" w:eastAsia="zh-CN"/>
                    </w:rPr>
                    <w:t>排放浓度稳定达标</w:t>
                  </w:r>
                  <w:r>
                    <w:rPr>
                      <w:rFonts w:hint="default" w:ascii="Times New Roman" w:hAnsi="Times New Roman" w:eastAsia="宋体" w:cs="Times New Roman"/>
                      <w:color w:val="auto"/>
                      <w:sz w:val="21"/>
                      <w:szCs w:val="21"/>
                      <w:highlight w:val="none"/>
                      <w:vertAlign w:val="baseline"/>
                      <w:lang w:val="en-US" w:eastAsia="zh-CN"/>
                    </w:rPr>
                    <w:t>。</w:t>
                  </w:r>
                </w:p>
              </w:tc>
              <w:tc>
                <w:tcPr>
                  <w:tcW w:w="654" w:type="dxa"/>
                  <w:noWrap w:val="0"/>
                  <w:vAlign w:val="center"/>
                </w:tcPr>
                <w:p w14:paraId="0A8D0274">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相符</w:t>
                  </w:r>
                </w:p>
              </w:tc>
            </w:tr>
          </w:tbl>
          <w:p w14:paraId="59C0BE76">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before="157" w:beforeLines="50" w:line="360" w:lineRule="auto"/>
              <w:ind w:left="0" w:leftChars="0" w:firstLine="480" w:firstLineChars="200"/>
              <w:textAlignment w:val="auto"/>
              <w:rPr>
                <w:rFonts w:hint="default"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（2）项目与《关于深入开展挥发性有机物污染治理工作的通知》（皖大气办〔2021〕4号）相符性分析</w:t>
            </w:r>
          </w:p>
          <w:p w14:paraId="49925F95">
            <w:pPr>
              <w:pStyle w:val="8"/>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b/>
                <w:bCs/>
                <w:color w:val="auto"/>
                <w:highlight w:val="none"/>
                <w:lang w:val="en-US" w:eastAsia="zh-CN"/>
              </w:rPr>
            </w:pPr>
            <w:r>
              <w:rPr>
                <w:rFonts w:hint="eastAsia"/>
                <w:b/>
                <w:bCs/>
                <w:color w:val="auto"/>
                <w:highlight w:val="none"/>
                <w:lang w:val="en-US" w:eastAsia="zh-CN"/>
              </w:rPr>
              <w:t>表1.3  与</w:t>
            </w:r>
            <w:r>
              <w:rPr>
                <w:rFonts w:hint="eastAsia" w:cs="Times New Roman"/>
                <w:b/>
                <w:bCs/>
                <w:color w:val="auto"/>
                <w:sz w:val="24"/>
                <w:szCs w:val="24"/>
                <w:highlight w:val="none"/>
                <w:lang w:val="en-US" w:eastAsia="zh-CN"/>
              </w:rPr>
              <w:t>《关于深入开展挥发性有机物污染治理工作的通知》相符性分析</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4734"/>
              <w:gridCol w:w="1887"/>
              <w:gridCol w:w="1014"/>
            </w:tblGrid>
            <w:tr w14:paraId="459A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2" w:type="dxa"/>
                  <w:noWrap w:val="0"/>
                  <w:vAlign w:val="center"/>
                </w:tcPr>
                <w:p w14:paraId="66932FB5">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序号</w:t>
                  </w:r>
                </w:p>
              </w:tc>
              <w:tc>
                <w:tcPr>
                  <w:tcW w:w="4645" w:type="dxa"/>
                  <w:noWrap w:val="0"/>
                  <w:vAlign w:val="center"/>
                </w:tcPr>
                <w:p w14:paraId="342106A5">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关于深入开展挥发性有机物污染治理工作的通知</w:t>
                  </w:r>
                </w:p>
              </w:tc>
              <w:tc>
                <w:tcPr>
                  <w:tcW w:w="1851" w:type="dxa"/>
                  <w:noWrap w:val="0"/>
                  <w:vAlign w:val="center"/>
                </w:tcPr>
                <w:p w14:paraId="63392C42">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项目情况</w:t>
                  </w:r>
                </w:p>
              </w:tc>
              <w:tc>
                <w:tcPr>
                  <w:tcW w:w="995" w:type="dxa"/>
                  <w:noWrap w:val="0"/>
                  <w:vAlign w:val="center"/>
                </w:tcPr>
                <w:p w14:paraId="7857C8A1">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相符性</w:t>
                  </w:r>
                </w:p>
              </w:tc>
            </w:tr>
            <w:tr w14:paraId="4A49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2" w:type="dxa"/>
                  <w:noWrap w:val="0"/>
                  <w:vAlign w:val="center"/>
                </w:tcPr>
                <w:p w14:paraId="629B7AAB">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p>
              </w:tc>
              <w:tc>
                <w:tcPr>
                  <w:tcW w:w="4645" w:type="dxa"/>
                  <w:noWrap w:val="0"/>
                  <w:vAlign w:val="center"/>
                </w:tcPr>
                <w:p w14:paraId="06BA3DD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重点推进源头削减。鼓励支持使用涂料、油墨、胶粘剂、涂层剂（树脂）、清洗剂等原辅材料的企业，进行低VOCs含量原辅材料的源头替代，7月1日前各地指导企业建立管理台账，记录VOCs原辅材料的产品名称、VOCs含量和使用量等。各地应结合本地产业特点和源头替代参考目录，重点在工业涂装、包装印刷、鞋革箱包制造、竹木制品胶合、电子等重点领域，推广VOCs含量低于10%原辅材料的源头替代，并纳入年度源头削减项目管理，实现“可替尽替、应代尽代”，源头削减年度完成项目占30%以上。</w:t>
                  </w:r>
                </w:p>
              </w:tc>
              <w:tc>
                <w:tcPr>
                  <w:tcW w:w="1851" w:type="dxa"/>
                  <w:noWrap w:val="0"/>
                  <w:vAlign w:val="center"/>
                </w:tcPr>
                <w:p w14:paraId="63FD3C72">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本项目属于</w:t>
                  </w:r>
                  <w:r>
                    <w:rPr>
                      <w:rFonts w:hint="eastAsia" w:cs="Times New Roman"/>
                      <w:color w:val="auto"/>
                      <w:sz w:val="21"/>
                      <w:szCs w:val="21"/>
                      <w:highlight w:val="none"/>
                      <w:lang w:val="en-US" w:eastAsia="zh-CN"/>
                    </w:rPr>
                    <w:t>钨合金渔坠制造</w:t>
                  </w:r>
                  <w:r>
                    <w:rPr>
                      <w:rFonts w:hint="default" w:ascii="Times New Roman" w:hAnsi="Times New Roman" w:eastAsia="宋体" w:cs="Times New Roman"/>
                      <w:color w:val="auto"/>
                      <w:sz w:val="21"/>
                      <w:szCs w:val="21"/>
                      <w:highlight w:val="none"/>
                      <w:lang w:val="en-US" w:eastAsia="zh-CN"/>
                    </w:rPr>
                    <w:t>，</w:t>
                  </w:r>
                  <w:r>
                    <w:rPr>
                      <w:rFonts w:hint="eastAsia" w:eastAsia="宋体" w:cs="Times New Roman"/>
                      <w:color w:val="auto"/>
                      <w:sz w:val="21"/>
                      <w:szCs w:val="21"/>
                      <w:highlight w:val="none"/>
                      <w:lang w:val="en-US" w:eastAsia="zh-CN"/>
                    </w:rPr>
                    <w:t>不</w:t>
                  </w:r>
                  <w:r>
                    <w:rPr>
                      <w:rFonts w:hint="default" w:ascii="Times New Roman" w:hAnsi="Times New Roman" w:eastAsia="宋体" w:cs="Times New Roman"/>
                      <w:color w:val="auto"/>
                      <w:sz w:val="21"/>
                      <w:szCs w:val="21"/>
                      <w:highlight w:val="none"/>
                      <w:vertAlign w:val="baseline"/>
                      <w:lang w:val="en-US" w:eastAsia="zh-CN"/>
                    </w:rPr>
                    <w:t>属于文件所列重点行业领域</w:t>
                  </w:r>
                  <w:r>
                    <w:rPr>
                      <w:rFonts w:hint="eastAsia" w:eastAsia="宋体" w:cs="Times New Roman"/>
                      <w:color w:val="auto"/>
                      <w:sz w:val="21"/>
                      <w:szCs w:val="21"/>
                      <w:highlight w:val="none"/>
                      <w:vertAlign w:val="baseline"/>
                      <w:lang w:val="en-US" w:eastAsia="zh-CN"/>
                    </w:rPr>
                    <w:t>内</w:t>
                  </w:r>
                  <w:r>
                    <w:rPr>
                      <w:rFonts w:hint="default" w:ascii="Times New Roman" w:hAnsi="Times New Roman" w:eastAsia="宋体" w:cs="Times New Roman"/>
                      <w:color w:val="auto"/>
                      <w:sz w:val="21"/>
                      <w:szCs w:val="21"/>
                      <w:highlight w:val="none"/>
                      <w:vertAlign w:val="baseline"/>
                      <w:lang w:val="en-US" w:eastAsia="zh-CN"/>
                    </w:rPr>
                    <w:t>，</w:t>
                  </w:r>
                  <w:r>
                    <w:rPr>
                      <w:rFonts w:hint="eastAsia" w:eastAsia="宋体" w:cs="Times New Roman"/>
                      <w:color w:val="auto"/>
                      <w:sz w:val="21"/>
                      <w:szCs w:val="21"/>
                      <w:highlight w:val="none"/>
                      <w:vertAlign w:val="baseline"/>
                      <w:lang w:val="en-US" w:eastAsia="zh-CN"/>
                    </w:rPr>
                    <w:t>项目建成后</w:t>
                  </w:r>
                  <w:r>
                    <w:rPr>
                      <w:rFonts w:hint="default" w:ascii="Times New Roman" w:hAnsi="Times New Roman" w:eastAsia="宋体" w:cs="Times New Roman"/>
                      <w:color w:val="auto"/>
                      <w:sz w:val="21"/>
                      <w:szCs w:val="21"/>
                      <w:highlight w:val="none"/>
                      <w:vertAlign w:val="baseline"/>
                      <w:lang w:val="en-US" w:eastAsia="zh-CN"/>
                    </w:rPr>
                    <w:t>建立管理台账，记录VOCs原辅材料的产品名称、VOCs含量和使用量等。</w:t>
                  </w:r>
                </w:p>
              </w:tc>
              <w:tc>
                <w:tcPr>
                  <w:tcW w:w="995" w:type="dxa"/>
                  <w:noWrap w:val="0"/>
                  <w:vAlign w:val="center"/>
                </w:tcPr>
                <w:p w14:paraId="651D35B8">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相符</w:t>
                  </w:r>
                </w:p>
              </w:tc>
            </w:tr>
          </w:tbl>
          <w:p w14:paraId="30C651FE">
            <w:pPr>
              <w:pStyle w:val="12"/>
              <w:keepNext w:val="0"/>
              <w:keepLines w:val="0"/>
              <w:pageBreakBefore w:val="0"/>
              <w:widowControl/>
              <w:numPr>
                <w:ilvl w:val="0"/>
                <w:numId w:val="0"/>
              </w:numPr>
              <w:kinsoku/>
              <w:wordWrap/>
              <w:overflowPunct/>
              <w:topLinePunct w:val="0"/>
              <w:autoSpaceDE/>
              <w:autoSpaceDN/>
              <w:bidi w:val="0"/>
              <w:adjustRightInd/>
              <w:snapToGrid w:val="0"/>
              <w:spacing w:before="157" w:beforeLines="50" w:after="0" w:line="360" w:lineRule="auto"/>
              <w:ind w:right="0" w:rightChars="0"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与《</w:t>
            </w:r>
            <w:r>
              <w:rPr>
                <w:rFonts w:hint="default" w:ascii="Times New Roman" w:hAnsi="Times New Roman" w:eastAsia="宋体" w:cs="Times New Roman"/>
                <w:i w:val="0"/>
                <w:iCs w:val="0"/>
                <w:caps w:val="0"/>
                <w:color w:val="auto"/>
                <w:spacing w:val="0"/>
                <w:sz w:val="24"/>
                <w:szCs w:val="24"/>
                <w:highlight w:val="none"/>
                <w:shd w:val="clear" w:color="auto" w:fill="FFFFFF"/>
              </w:rPr>
              <w:t>安徽省大气办关于深入开展挥发性有机物污染治理工作的通知</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i w:val="0"/>
                <w:iCs w:val="0"/>
                <w:caps w:val="0"/>
                <w:color w:val="auto"/>
                <w:spacing w:val="0"/>
                <w:sz w:val="24"/>
                <w:szCs w:val="24"/>
                <w:highlight w:val="none"/>
                <w:shd w:val="clear" w:color="auto" w:fill="FFFFFF"/>
              </w:rPr>
              <w:t>皖大气办</w:t>
            </w:r>
            <w:r>
              <w:rPr>
                <w:rFonts w:hint="eastAsia" w:cs="Times New Roman"/>
                <w:i w:val="0"/>
                <w:iCs w:val="0"/>
                <w:caps w:val="0"/>
                <w:color w:val="auto"/>
                <w:spacing w:val="0"/>
                <w:sz w:val="24"/>
                <w:szCs w:val="24"/>
                <w:highlight w:val="none"/>
                <w:shd w:val="clear" w:color="auto" w:fill="FFFFFF"/>
                <w:lang w:eastAsia="zh-CN"/>
              </w:rPr>
              <w:t>〔</w:t>
            </w:r>
            <w:r>
              <w:rPr>
                <w:rFonts w:hint="default" w:ascii="Times New Roman" w:hAnsi="Times New Roman" w:eastAsia="宋体" w:cs="Times New Roman"/>
                <w:i w:val="0"/>
                <w:iCs w:val="0"/>
                <w:caps w:val="0"/>
                <w:color w:val="auto"/>
                <w:spacing w:val="0"/>
                <w:sz w:val="24"/>
                <w:szCs w:val="24"/>
                <w:highlight w:val="none"/>
                <w:shd w:val="clear" w:color="auto" w:fill="FFFFFF"/>
              </w:rPr>
              <w:t>2021</w:t>
            </w:r>
            <w:r>
              <w:rPr>
                <w:rFonts w:hint="eastAsia" w:cs="Times New Roman"/>
                <w:i w:val="0"/>
                <w:iCs w:val="0"/>
                <w:caps w:val="0"/>
                <w:color w:val="auto"/>
                <w:spacing w:val="0"/>
                <w:sz w:val="24"/>
                <w:szCs w:val="24"/>
                <w:highlight w:val="none"/>
                <w:shd w:val="clear" w:color="auto" w:fill="FFFFFF"/>
                <w:lang w:eastAsia="zh-CN"/>
              </w:rPr>
              <w:t>〕</w:t>
            </w:r>
            <w:r>
              <w:rPr>
                <w:rFonts w:hint="default" w:ascii="Times New Roman" w:hAnsi="Times New Roman" w:eastAsia="宋体" w:cs="Times New Roman"/>
                <w:i w:val="0"/>
                <w:iCs w:val="0"/>
                <w:caps w:val="0"/>
                <w:color w:val="auto"/>
                <w:spacing w:val="0"/>
                <w:sz w:val="24"/>
                <w:szCs w:val="24"/>
                <w:highlight w:val="none"/>
                <w:shd w:val="clear" w:color="auto" w:fill="FFFFFF"/>
              </w:rPr>
              <w:t>4号</w:t>
            </w:r>
            <w:r>
              <w:rPr>
                <w:rFonts w:hint="default" w:ascii="Times New Roman" w:hAnsi="Times New Roman" w:eastAsia="宋体" w:cs="Times New Roman"/>
                <w:color w:val="auto"/>
                <w:sz w:val="24"/>
                <w:szCs w:val="24"/>
                <w:highlight w:val="none"/>
                <w:lang w:val="en-US" w:eastAsia="zh-CN"/>
              </w:rPr>
              <w:t>）的符合性分析</w:t>
            </w:r>
          </w:p>
          <w:p w14:paraId="0F9CA48F">
            <w:pPr>
              <w:pStyle w:val="12"/>
              <w:keepNext w:val="0"/>
              <w:keepLines w:val="0"/>
              <w:pageBreakBefore w:val="0"/>
              <w:widowControl/>
              <w:numPr>
                <w:ilvl w:val="0"/>
                <w:numId w:val="0"/>
              </w:numPr>
              <w:kinsoku/>
              <w:wordWrap/>
              <w:overflowPunct/>
              <w:topLinePunct w:val="0"/>
              <w:autoSpaceDE/>
              <w:autoSpaceDN/>
              <w:bidi w:val="0"/>
              <w:adjustRightInd/>
              <w:snapToGrid w:val="0"/>
              <w:spacing w:line="240" w:lineRule="auto"/>
              <w:ind w:right="113" w:rightChars="0"/>
              <w:jc w:val="center"/>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表1.</w:t>
            </w:r>
            <w:r>
              <w:rPr>
                <w:rFonts w:hint="eastAsia" w:cs="Times New Roman"/>
                <w:b/>
                <w:bCs/>
                <w:color w:val="auto"/>
                <w:sz w:val="24"/>
                <w:szCs w:val="24"/>
                <w:highlight w:val="none"/>
                <w:lang w:val="en-US" w:eastAsia="zh-CN"/>
              </w:rPr>
              <w:t>4</w:t>
            </w:r>
            <w:r>
              <w:rPr>
                <w:rFonts w:hint="eastAsia"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lang w:val="en-US" w:eastAsia="zh-CN"/>
              </w:rPr>
              <w:t>与《</w:t>
            </w:r>
            <w:r>
              <w:rPr>
                <w:rFonts w:hint="default" w:ascii="Times New Roman" w:hAnsi="Times New Roman" w:eastAsia="宋体" w:cs="Times New Roman"/>
                <w:b/>
                <w:bCs/>
                <w:i w:val="0"/>
                <w:iCs w:val="0"/>
                <w:caps w:val="0"/>
                <w:color w:val="auto"/>
                <w:spacing w:val="0"/>
                <w:sz w:val="24"/>
                <w:szCs w:val="24"/>
                <w:highlight w:val="none"/>
                <w:shd w:val="clear" w:color="auto" w:fill="FFFFFF"/>
              </w:rPr>
              <w:t>安徽省大气办关于深入开展挥发性有机物污染治理工作的通知</w:t>
            </w:r>
            <w:r>
              <w:rPr>
                <w:rFonts w:hint="default" w:ascii="Times New Roman" w:hAnsi="Times New Roman" w:eastAsia="宋体" w:cs="Times New Roman"/>
                <w:b/>
                <w:bCs/>
                <w:color w:val="auto"/>
                <w:sz w:val="24"/>
                <w:szCs w:val="24"/>
                <w:highlight w:val="none"/>
                <w:lang w:val="en-US" w:eastAsia="zh-CN"/>
              </w:rPr>
              <w:t>》（</w:t>
            </w:r>
            <w:r>
              <w:rPr>
                <w:rFonts w:hint="default" w:ascii="Times New Roman" w:hAnsi="Times New Roman" w:eastAsia="宋体" w:cs="Times New Roman"/>
                <w:b/>
                <w:bCs/>
                <w:i w:val="0"/>
                <w:iCs w:val="0"/>
                <w:caps w:val="0"/>
                <w:color w:val="auto"/>
                <w:spacing w:val="0"/>
                <w:sz w:val="24"/>
                <w:szCs w:val="24"/>
                <w:highlight w:val="none"/>
                <w:shd w:val="clear" w:color="auto" w:fill="FFFFFF"/>
              </w:rPr>
              <w:t>皖大气办</w:t>
            </w:r>
            <w:r>
              <w:rPr>
                <w:rFonts w:hint="eastAsia" w:cs="Times New Roman"/>
                <w:b/>
                <w:bCs/>
                <w:i w:val="0"/>
                <w:iCs w:val="0"/>
                <w:caps w:val="0"/>
                <w:color w:val="auto"/>
                <w:spacing w:val="0"/>
                <w:sz w:val="24"/>
                <w:szCs w:val="24"/>
                <w:highlight w:val="none"/>
                <w:shd w:val="clear" w:color="auto" w:fill="FFFFFF"/>
                <w:lang w:eastAsia="zh-CN"/>
              </w:rPr>
              <w:t>〔</w:t>
            </w:r>
            <w:r>
              <w:rPr>
                <w:rFonts w:hint="default" w:ascii="Times New Roman" w:hAnsi="Times New Roman" w:eastAsia="宋体" w:cs="Times New Roman"/>
                <w:b/>
                <w:bCs/>
                <w:i w:val="0"/>
                <w:iCs w:val="0"/>
                <w:caps w:val="0"/>
                <w:color w:val="auto"/>
                <w:spacing w:val="0"/>
                <w:sz w:val="24"/>
                <w:szCs w:val="24"/>
                <w:highlight w:val="none"/>
                <w:shd w:val="clear" w:color="auto" w:fill="FFFFFF"/>
              </w:rPr>
              <w:t>2021</w:t>
            </w:r>
            <w:r>
              <w:rPr>
                <w:rFonts w:hint="eastAsia" w:cs="Times New Roman"/>
                <w:b/>
                <w:bCs/>
                <w:i w:val="0"/>
                <w:iCs w:val="0"/>
                <w:caps w:val="0"/>
                <w:color w:val="auto"/>
                <w:spacing w:val="0"/>
                <w:sz w:val="24"/>
                <w:szCs w:val="24"/>
                <w:highlight w:val="none"/>
                <w:shd w:val="clear" w:color="auto" w:fill="FFFFFF"/>
                <w:lang w:eastAsia="zh-CN"/>
              </w:rPr>
              <w:t>〕</w:t>
            </w:r>
            <w:r>
              <w:rPr>
                <w:rFonts w:hint="default" w:ascii="Times New Roman" w:hAnsi="Times New Roman" w:eastAsia="宋体" w:cs="Times New Roman"/>
                <w:b/>
                <w:bCs/>
                <w:i w:val="0"/>
                <w:iCs w:val="0"/>
                <w:caps w:val="0"/>
                <w:color w:val="auto"/>
                <w:spacing w:val="0"/>
                <w:sz w:val="24"/>
                <w:szCs w:val="24"/>
                <w:highlight w:val="none"/>
                <w:shd w:val="clear" w:color="auto" w:fill="FFFFFF"/>
              </w:rPr>
              <w:t>4号</w:t>
            </w:r>
            <w:r>
              <w:rPr>
                <w:rFonts w:hint="default" w:ascii="Times New Roman" w:hAnsi="Times New Roman" w:eastAsia="宋体" w:cs="Times New Roman"/>
                <w:b/>
                <w:bCs/>
                <w:color w:val="auto"/>
                <w:sz w:val="24"/>
                <w:szCs w:val="24"/>
                <w:highlight w:val="none"/>
                <w:lang w:val="en-US" w:eastAsia="zh-CN"/>
              </w:rPr>
              <w:t>）的符合性分析</w:t>
            </w:r>
            <w:r>
              <w:rPr>
                <w:rFonts w:hint="eastAsia" w:ascii="Times New Roman" w:hAnsi="Times New Roman" w:eastAsia="宋体" w:cs="Times New Roman"/>
                <w:b/>
                <w:bCs/>
                <w:color w:val="auto"/>
                <w:sz w:val="24"/>
                <w:szCs w:val="24"/>
                <w:highlight w:val="none"/>
                <w:lang w:val="en-US" w:eastAsia="zh-CN"/>
              </w:rPr>
              <w:t>一览表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3743"/>
              <w:gridCol w:w="2992"/>
              <w:gridCol w:w="797"/>
            </w:tblGrid>
            <w:tr w14:paraId="67CE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9" w:type="dxa"/>
                  <w:noWrap w:val="0"/>
                  <w:vAlign w:val="center"/>
                </w:tcPr>
                <w:p w14:paraId="74C3195F">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序号</w:t>
                  </w:r>
                </w:p>
              </w:tc>
              <w:tc>
                <w:tcPr>
                  <w:tcW w:w="3743" w:type="dxa"/>
                  <w:noWrap w:val="0"/>
                  <w:vAlign w:val="center"/>
                </w:tcPr>
                <w:p w14:paraId="2FE07E71">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深入开展挥发性有机物污染治理工作</w:t>
                  </w:r>
                </w:p>
              </w:tc>
              <w:tc>
                <w:tcPr>
                  <w:tcW w:w="2992" w:type="dxa"/>
                  <w:noWrap w:val="0"/>
                  <w:vAlign w:val="center"/>
                </w:tcPr>
                <w:p w14:paraId="255B45B0">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本项目情况</w:t>
                  </w:r>
                </w:p>
              </w:tc>
              <w:tc>
                <w:tcPr>
                  <w:tcW w:w="797" w:type="dxa"/>
                  <w:noWrap w:val="0"/>
                  <w:vAlign w:val="center"/>
                </w:tcPr>
                <w:p w14:paraId="544D7148">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相符性</w:t>
                  </w:r>
                </w:p>
              </w:tc>
            </w:tr>
            <w:tr w14:paraId="1566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9" w:type="dxa"/>
                  <w:noWrap w:val="0"/>
                  <w:vAlign w:val="center"/>
                </w:tcPr>
                <w:p w14:paraId="577272F6">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3743" w:type="dxa"/>
                  <w:noWrap w:val="0"/>
                  <w:vAlign w:val="center"/>
                </w:tcPr>
                <w:p w14:paraId="14F6AB78">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制</w:t>
                  </w:r>
                  <w:r>
                    <w:rPr>
                      <w:rFonts w:hint="eastAsia" w:ascii="宋体" w:hAnsi="宋体" w:eastAsia="宋体" w:cs="宋体"/>
                      <w:color w:val="auto"/>
                      <w:sz w:val="21"/>
                      <w:szCs w:val="21"/>
                      <w:highlight w:val="none"/>
                      <w:vertAlign w:val="baseline"/>
                      <w:lang w:val="en-US" w:eastAsia="zh-CN"/>
                    </w:rPr>
                    <w:t>定“一企一案”。</w:t>
                  </w:r>
                  <w:r>
                    <w:rPr>
                      <w:rFonts w:hint="default" w:ascii="Times New Roman" w:hAnsi="Times New Roman" w:eastAsia="宋体" w:cs="Times New Roman"/>
                      <w:color w:val="auto"/>
                      <w:sz w:val="21"/>
                      <w:szCs w:val="21"/>
                      <w:highlight w:val="none"/>
                      <w:vertAlign w:val="baseline"/>
                      <w:lang w:val="en-US" w:eastAsia="zh-CN"/>
                    </w:rPr>
                    <w:t>借鉴上海市等先发地区重点行业VOCs综合治理企业“一厂一方案”编制经验，各地分行业分级指导企业编制优</w:t>
                  </w:r>
                  <w:r>
                    <w:rPr>
                      <w:rFonts w:hint="eastAsia" w:ascii="宋体" w:hAnsi="宋体" w:eastAsia="宋体" w:cs="宋体"/>
                      <w:color w:val="auto"/>
                      <w:sz w:val="21"/>
                      <w:szCs w:val="21"/>
                      <w:highlight w:val="none"/>
                      <w:vertAlign w:val="baseline"/>
                      <w:lang w:val="en-US" w:eastAsia="zh-CN"/>
                    </w:rPr>
                    <w:t>化“一企一案”，明</w:t>
                  </w:r>
                  <w:r>
                    <w:rPr>
                      <w:rFonts w:hint="default" w:ascii="Times New Roman" w:hAnsi="Times New Roman" w:eastAsia="宋体" w:cs="Times New Roman"/>
                      <w:color w:val="auto"/>
                      <w:sz w:val="21"/>
                      <w:szCs w:val="21"/>
                      <w:highlight w:val="none"/>
                      <w:vertAlign w:val="baseline"/>
                      <w:lang w:val="en-US" w:eastAsia="zh-CN"/>
                    </w:rPr>
                    <w:t>确企业VOCs综合治理任务时间节点和工作目标。重点梳理石化、化工、工业涂装、包装印刷、油品储运销等重点领域重点行业，VOCs年排放量超过1吨的企业，督促9月30日前完成方案编制完善工作。243家涉VOCs省级重点企业（含省重点排污单位名录企业）及年排放量超过10吨的企业，8月31日前对方案进行评估完善，及时核实治理效果，并报至省大气办备案。</w:t>
                  </w:r>
                </w:p>
              </w:tc>
              <w:tc>
                <w:tcPr>
                  <w:tcW w:w="2992" w:type="dxa"/>
                  <w:noWrap w:val="0"/>
                  <w:vAlign w:val="center"/>
                </w:tcPr>
                <w:p w14:paraId="191D2581">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olor w:val="auto"/>
                      <w:sz w:val="21"/>
                      <w:szCs w:val="21"/>
                      <w:highlight w:val="none"/>
                      <w:vertAlign w:val="baseline"/>
                      <w:lang w:val="en-US" w:eastAsia="zh-CN"/>
                    </w:rPr>
                    <w:t>本项目为钨合金渔坠制造，不属于</w:t>
                  </w:r>
                  <w:r>
                    <w:rPr>
                      <w:rFonts w:hint="default" w:ascii="Times New Roman" w:hAnsi="Times New Roman" w:eastAsia="宋体" w:cs="Times New Roman"/>
                      <w:color w:val="auto"/>
                      <w:sz w:val="21"/>
                      <w:szCs w:val="21"/>
                      <w:highlight w:val="none"/>
                      <w:vertAlign w:val="baseline"/>
                      <w:lang w:val="en-US" w:eastAsia="zh-CN"/>
                    </w:rPr>
                    <w:t>石化、化工、工业涂装、包装印刷、油品储运销等重点领域重点行业</w:t>
                  </w:r>
                  <w:r>
                    <w:rPr>
                      <w:rFonts w:hint="eastAsia" w:ascii="Times New Roman" w:hAnsi="Times New Roman" w:eastAsia="宋体" w:cs="Times New Roman"/>
                      <w:color w:val="auto"/>
                      <w:sz w:val="21"/>
                      <w:szCs w:val="21"/>
                      <w:highlight w:val="none"/>
                      <w:vertAlign w:val="baseline"/>
                      <w:lang w:val="en-US" w:eastAsia="zh-CN"/>
                    </w:rPr>
                    <w:t>。本项目</w:t>
                  </w:r>
                  <w:r>
                    <w:rPr>
                      <w:rFonts w:hint="eastAsia" w:cs="Times New Roman"/>
                      <w:color w:val="auto"/>
                      <w:sz w:val="21"/>
                      <w:szCs w:val="21"/>
                      <w:highlight w:val="none"/>
                      <w:vertAlign w:val="baseline"/>
                      <w:lang w:val="en-US" w:eastAsia="zh-CN"/>
                    </w:rPr>
                    <w:t>加热废气“集气罩+二级活性炭吸附装置+15m高排气筒（DA002）”处理后排放；1#脱胶、注塑废气和固化废气采用“集气罩+二级活性炭吸附装置+15m高排气筒（DA003）”处理后排放；2#脱胶、注塑废气采用“集气罩+二级活性炭吸附装置+15m高排气筒（DA004）”处理后排放</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VOCs年排放量</w:t>
                  </w:r>
                  <w:r>
                    <w:rPr>
                      <w:rFonts w:hint="eastAsia" w:ascii="Times New Roman" w:hAnsi="Times New Roman" w:eastAsia="宋体" w:cs="Times New Roman"/>
                      <w:color w:val="auto"/>
                      <w:sz w:val="21"/>
                      <w:szCs w:val="21"/>
                      <w:highlight w:val="none"/>
                      <w:vertAlign w:val="baseline"/>
                      <w:lang w:val="en-US" w:eastAsia="zh-CN"/>
                    </w:rPr>
                    <w:t>不</w:t>
                  </w:r>
                  <w:r>
                    <w:rPr>
                      <w:rFonts w:hint="default" w:ascii="Times New Roman" w:hAnsi="Times New Roman" w:eastAsia="宋体" w:cs="Times New Roman"/>
                      <w:color w:val="auto"/>
                      <w:sz w:val="21"/>
                      <w:szCs w:val="21"/>
                      <w:highlight w:val="none"/>
                      <w:vertAlign w:val="baseline"/>
                      <w:lang w:val="en-US" w:eastAsia="zh-CN"/>
                    </w:rPr>
                    <w:t>超过1吨</w:t>
                  </w:r>
                  <w:r>
                    <w:rPr>
                      <w:rFonts w:hint="eastAsia" w:ascii="Times New Roman" w:hAnsi="Times New Roman" w:eastAsia="宋体" w:cs="Times New Roman"/>
                      <w:color w:val="auto"/>
                      <w:sz w:val="21"/>
                      <w:szCs w:val="21"/>
                      <w:highlight w:val="none"/>
                      <w:vertAlign w:val="baseline"/>
                      <w:lang w:val="en-US" w:eastAsia="zh-CN"/>
                    </w:rPr>
                    <w:t>。</w:t>
                  </w:r>
                </w:p>
              </w:tc>
              <w:tc>
                <w:tcPr>
                  <w:tcW w:w="797" w:type="dxa"/>
                  <w:noWrap w:val="0"/>
                  <w:vAlign w:val="center"/>
                </w:tcPr>
                <w:p w14:paraId="08D749F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相符</w:t>
                  </w:r>
                </w:p>
              </w:tc>
            </w:tr>
            <w:tr w14:paraId="5F0A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9" w:type="dxa"/>
                  <w:noWrap w:val="0"/>
                  <w:vAlign w:val="center"/>
                </w:tcPr>
                <w:p w14:paraId="658C2453">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p>
              </w:tc>
              <w:tc>
                <w:tcPr>
                  <w:tcW w:w="3743" w:type="dxa"/>
                  <w:noWrap w:val="0"/>
                  <w:vAlign w:val="center"/>
                </w:tcPr>
                <w:p w14:paraId="4DEFD190">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制</w:t>
                  </w:r>
                  <w:r>
                    <w:rPr>
                      <w:rFonts w:hint="eastAsia" w:ascii="宋体" w:hAnsi="宋体" w:eastAsia="宋体" w:cs="宋体"/>
                      <w:color w:val="auto"/>
                      <w:sz w:val="21"/>
                      <w:szCs w:val="21"/>
                      <w:highlight w:val="none"/>
                      <w:vertAlign w:val="baseline"/>
                      <w:lang w:val="en-US" w:eastAsia="zh-CN"/>
                    </w:rPr>
                    <w:t>定“一园一案”</w:t>
                  </w:r>
                  <w:r>
                    <w:rPr>
                      <w:rFonts w:hint="default" w:ascii="Times New Roman" w:hAnsi="Times New Roman" w:eastAsia="宋体" w:cs="Times New Roman"/>
                      <w:color w:val="auto"/>
                      <w:sz w:val="21"/>
                      <w:szCs w:val="21"/>
                      <w:highlight w:val="none"/>
                      <w:vertAlign w:val="baseline"/>
                      <w:lang w:val="en-US" w:eastAsia="zh-CN"/>
                    </w:rPr>
                    <w:t>。各类涉VOCs经济技术开发区、高新技术产业开发区、工业园区和特色产业集聚区等，结合日常监测、产业结构、企业分布等情况，坚持问题导向，突出科技治污，积极引入</w:t>
                  </w:r>
                  <w:r>
                    <w:rPr>
                      <w:rFonts w:hint="eastAsia" w:ascii="宋体" w:hAnsi="宋体" w:eastAsia="宋体" w:cs="宋体"/>
                      <w:color w:val="auto"/>
                      <w:sz w:val="21"/>
                      <w:szCs w:val="21"/>
                      <w:highlight w:val="none"/>
                      <w:vertAlign w:val="baseline"/>
                      <w:lang w:val="en-US" w:eastAsia="zh-CN"/>
                    </w:rPr>
                    <w:t>“环保管家”“环境医院”等专业第三</w:t>
                  </w:r>
                  <w:r>
                    <w:rPr>
                      <w:rFonts w:hint="default" w:ascii="Times New Roman" w:hAnsi="Times New Roman" w:eastAsia="宋体" w:cs="Times New Roman"/>
                      <w:color w:val="auto"/>
                      <w:sz w:val="21"/>
                      <w:szCs w:val="21"/>
                      <w:highlight w:val="none"/>
                      <w:vertAlign w:val="baseline"/>
                      <w:lang w:val="en-US" w:eastAsia="zh-CN"/>
                    </w:rPr>
                    <w:t>方，编制涵盖产业结构调整、监测监管、企业管理、污染治理等一揽子VOCs综合整治方案，推进园区VOCs治理工作入深向实。鼓励支持园区、企业集群建设涉VOCs</w:t>
                  </w:r>
                  <w:r>
                    <w:rPr>
                      <w:rFonts w:hint="eastAsia" w:ascii="宋体" w:hAnsi="宋体" w:eastAsia="宋体" w:cs="宋体"/>
                      <w:color w:val="auto"/>
                      <w:sz w:val="21"/>
                      <w:szCs w:val="21"/>
                      <w:highlight w:val="none"/>
                      <w:vertAlign w:val="baseline"/>
                      <w:lang w:val="en-US" w:eastAsia="zh-CN"/>
                    </w:rPr>
                    <w:t>“绿岛”</w:t>
                  </w:r>
                  <w:r>
                    <w:rPr>
                      <w:rFonts w:hint="default" w:ascii="Times New Roman" w:hAnsi="Times New Roman" w:eastAsia="宋体" w:cs="Times New Roman"/>
                      <w:color w:val="auto"/>
                      <w:sz w:val="21"/>
                      <w:szCs w:val="21"/>
                      <w:highlight w:val="none"/>
                      <w:vertAlign w:val="baseline"/>
                      <w:lang w:val="en-US" w:eastAsia="zh-CN"/>
                    </w:rPr>
                    <w:t>项目，面向同一类别工业涂装企业建设集中涂装中心；对区域内吸附剂（如活性炭）年更换量较大的，推进建设吸附剂集中再生中心；对区域企业相同有机溶剂使用量较大的，建设有机溶剂集中回收中心。8月31日前，46个重点工业园区（含企业集群）和38个第一批安徽省化工园区全部完成方案编制工作，方案经各市技术评估后，报送至省大气办，经专家评审后择优纳入省VOCs综合治理示范园区管理。</w:t>
                  </w:r>
                </w:p>
              </w:tc>
              <w:tc>
                <w:tcPr>
                  <w:tcW w:w="2992" w:type="dxa"/>
                  <w:noWrap w:val="0"/>
                  <w:vAlign w:val="center"/>
                </w:tcPr>
                <w:p w14:paraId="7E143CE5">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olor w:val="auto"/>
                      <w:sz w:val="21"/>
                      <w:szCs w:val="21"/>
                      <w:highlight w:val="none"/>
                      <w:vertAlign w:val="baseline"/>
                      <w:lang w:val="en-US" w:eastAsia="zh-CN"/>
                    </w:rPr>
                    <w:t>本项目位于安徽省宿州市灵璧县尹集镇田路村，本项目</w:t>
                  </w:r>
                  <w:r>
                    <w:rPr>
                      <w:rFonts w:hint="eastAsia" w:cs="Times New Roman"/>
                      <w:color w:val="auto"/>
                      <w:sz w:val="21"/>
                      <w:szCs w:val="21"/>
                      <w:highlight w:val="none"/>
                      <w:vertAlign w:val="baseline"/>
                      <w:lang w:val="en-US" w:eastAsia="zh-CN"/>
                    </w:rPr>
                    <w:t>加热废气“集气罩+二级活性炭吸附装置+15m高排气筒（DA002）”处理后排放；1#脱胶、注塑废气和固化废气采用“集气罩+二级活性炭吸附装置+15m高排气筒（DA003）”处理后排放；2#脱胶、注塑废气采用“集气罩+二级活性炭吸附装置+15m高排气筒（DA004）”处理后排放</w:t>
                  </w:r>
                  <w:r>
                    <w:rPr>
                      <w:rFonts w:hint="eastAsia"/>
                      <w:color w:val="auto"/>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项目有</w:t>
                  </w:r>
                  <w:r>
                    <w:rPr>
                      <w:rFonts w:hint="default" w:ascii="Times New Roman" w:hAnsi="Times New Roman" w:eastAsia="宋体" w:cs="Times New Roman"/>
                      <w:color w:val="auto"/>
                      <w:sz w:val="21"/>
                      <w:szCs w:val="21"/>
                      <w:highlight w:val="none"/>
                      <w:vertAlign w:val="baseline"/>
                      <w:lang w:val="en-US" w:eastAsia="zh-CN"/>
                    </w:rPr>
                    <w:t>VOCs</w:t>
                  </w:r>
                  <w:r>
                    <w:rPr>
                      <w:rFonts w:hint="eastAsia" w:ascii="Times New Roman" w:hAnsi="Times New Roman" w:eastAsia="宋体" w:cs="Times New Roman"/>
                      <w:color w:val="auto"/>
                      <w:sz w:val="21"/>
                      <w:szCs w:val="21"/>
                      <w:highlight w:val="none"/>
                      <w:vertAlign w:val="baseline"/>
                      <w:lang w:val="en-US" w:eastAsia="zh-CN"/>
                    </w:rPr>
                    <w:t>治理方案，严格按照方案执行，可确保</w:t>
                  </w:r>
                  <w:r>
                    <w:rPr>
                      <w:rFonts w:hint="default" w:ascii="Times New Roman" w:hAnsi="Times New Roman" w:eastAsia="宋体" w:cs="Times New Roman"/>
                      <w:color w:val="auto"/>
                      <w:sz w:val="21"/>
                      <w:szCs w:val="21"/>
                      <w:highlight w:val="none"/>
                      <w:vertAlign w:val="baseline"/>
                      <w:lang w:val="en-US" w:eastAsia="zh-CN"/>
                    </w:rPr>
                    <w:t>VOCs</w:t>
                  </w:r>
                  <w:r>
                    <w:rPr>
                      <w:rFonts w:hint="eastAsia" w:ascii="Times New Roman" w:hAnsi="Times New Roman" w:eastAsia="宋体" w:cs="Times New Roman"/>
                      <w:color w:val="auto"/>
                      <w:sz w:val="21"/>
                      <w:szCs w:val="21"/>
                      <w:highlight w:val="none"/>
                      <w:vertAlign w:val="baseline"/>
                      <w:lang w:val="en-US" w:eastAsia="zh-CN"/>
                    </w:rPr>
                    <w:t>达标排放。</w:t>
                  </w:r>
                </w:p>
              </w:tc>
              <w:tc>
                <w:tcPr>
                  <w:tcW w:w="797" w:type="dxa"/>
                  <w:noWrap w:val="0"/>
                  <w:vAlign w:val="center"/>
                </w:tcPr>
                <w:p w14:paraId="346A1A1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相符</w:t>
                  </w:r>
                </w:p>
              </w:tc>
            </w:tr>
            <w:tr w14:paraId="5A1CB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9" w:type="dxa"/>
                  <w:noWrap w:val="0"/>
                  <w:vAlign w:val="center"/>
                </w:tcPr>
                <w:p w14:paraId="4AC2124E">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p>
              </w:tc>
              <w:tc>
                <w:tcPr>
                  <w:tcW w:w="3743" w:type="dxa"/>
                  <w:noWrap w:val="0"/>
                  <w:vAlign w:val="center"/>
                </w:tcPr>
                <w:p w14:paraId="4AB8A435">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开展</w:t>
                  </w:r>
                  <w:r>
                    <w:rPr>
                      <w:rFonts w:hint="eastAsia" w:ascii="宋体" w:hAnsi="宋体" w:eastAsia="宋体" w:cs="宋体"/>
                      <w:color w:val="auto"/>
                      <w:sz w:val="21"/>
                      <w:szCs w:val="21"/>
                      <w:highlight w:val="none"/>
                      <w:vertAlign w:val="baseline"/>
                      <w:lang w:val="en-US" w:eastAsia="zh-CN"/>
                    </w:rPr>
                    <w:t>“一市一策”。按</w:t>
                  </w:r>
                  <w:r>
                    <w:rPr>
                      <w:rFonts w:hint="default" w:ascii="Times New Roman" w:hAnsi="Times New Roman" w:eastAsia="宋体" w:cs="Times New Roman"/>
                      <w:color w:val="auto"/>
                      <w:sz w:val="21"/>
                      <w:szCs w:val="21"/>
                      <w:highlight w:val="none"/>
                      <w:vertAlign w:val="baseline"/>
                      <w:lang w:val="en-US" w:eastAsia="zh-CN"/>
                    </w:rPr>
                    <w:t>照生态环境部PM</w:t>
                  </w:r>
                  <w:r>
                    <w:rPr>
                      <w:rFonts w:hint="default" w:ascii="Times New Roman" w:hAnsi="Times New Roman" w:eastAsia="宋体" w:cs="Times New Roman"/>
                      <w:color w:val="auto"/>
                      <w:sz w:val="21"/>
                      <w:szCs w:val="21"/>
                      <w:highlight w:val="none"/>
                      <w:vertAlign w:val="subscript"/>
                      <w:lang w:val="en-US" w:eastAsia="zh-CN"/>
                    </w:rPr>
                    <w:t>2.5</w:t>
                  </w:r>
                  <w:r>
                    <w:rPr>
                      <w:rFonts w:hint="default" w:ascii="Times New Roman" w:hAnsi="Times New Roman" w:eastAsia="宋体" w:cs="Times New Roman"/>
                      <w:color w:val="auto"/>
                      <w:sz w:val="21"/>
                      <w:szCs w:val="21"/>
                      <w:highlight w:val="none"/>
                      <w:vertAlign w:val="baseline"/>
                      <w:lang w:val="en-US" w:eastAsia="zh-CN"/>
                    </w:rPr>
                    <w:t>和O</w:t>
                  </w:r>
                  <w:r>
                    <w:rPr>
                      <w:rFonts w:hint="default" w:ascii="Times New Roman" w:hAnsi="Times New Roman" w:eastAsia="宋体" w:cs="Times New Roman"/>
                      <w:color w:val="auto"/>
                      <w:sz w:val="21"/>
                      <w:szCs w:val="21"/>
                      <w:highlight w:val="none"/>
                      <w:vertAlign w:val="subscript"/>
                      <w:lang w:val="en-US" w:eastAsia="zh-CN"/>
                    </w:rPr>
                    <w:t>3</w:t>
                  </w:r>
                  <w:r>
                    <w:rPr>
                      <w:rFonts w:hint="default" w:ascii="Times New Roman" w:hAnsi="Times New Roman" w:eastAsia="宋体" w:cs="Times New Roman"/>
                      <w:color w:val="auto"/>
                      <w:sz w:val="21"/>
                      <w:szCs w:val="21"/>
                      <w:highlight w:val="none"/>
                      <w:vertAlign w:val="baseline"/>
                      <w:lang w:val="en-US" w:eastAsia="zh-CN"/>
                    </w:rPr>
                    <w:t>污染协同防控“一市一策”跟踪研究工作要求，自2021年4月起以两年为周期，各地组建技术团队研究提出，包括城市O</w:t>
                  </w:r>
                  <w:r>
                    <w:rPr>
                      <w:rFonts w:hint="default" w:ascii="Times New Roman" w:hAnsi="Times New Roman" w:eastAsia="宋体" w:cs="Times New Roman"/>
                      <w:color w:val="auto"/>
                      <w:sz w:val="21"/>
                      <w:szCs w:val="21"/>
                      <w:highlight w:val="none"/>
                      <w:vertAlign w:val="subscript"/>
                      <w:lang w:val="en-US" w:eastAsia="zh-CN"/>
                    </w:rPr>
                    <w:t>3</w:t>
                  </w:r>
                  <w:r>
                    <w:rPr>
                      <w:rFonts w:hint="default" w:ascii="Times New Roman" w:hAnsi="Times New Roman" w:eastAsia="宋体" w:cs="Times New Roman"/>
                      <w:color w:val="auto"/>
                      <w:sz w:val="21"/>
                      <w:szCs w:val="21"/>
                      <w:highlight w:val="none"/>
                      <w:vertAlign w:val="baseline"/>
                      <w:lang w:val="en-US" w:eastAsia="zh-CN"/>
                    </w:rPr>
                    <w:t>污染成因综合分析、O</w:t>
                  </w:r>
                  <w:r>
                    <w:rPr>
                      <w:rFonts w:hint="default" w:ascii="Times New Roman" w:hAnsi="Times New Roman" w:eastAsia="宋体" w:cs="Times New Roman"/>
                      <w:color w:val="auto"/>
                      <w:sz w:val="21"/>
                      <w:szCs w:val="21"/>
                      <w:highlight w:val="none"/>
                      <w:vertAlign w:val="subscript"/>
                      <w:lang w:val="en-US" w:eastAsia="zh-CN"/>
                    </w:rPr>
                    <w:t>3</w:t>
                  </w:r>
                  <w:r>
                    <w:rPr>
                      <w:rFonts w:hint="default" w:ascii="Times New Roman" w:hAnsi="Times New Roman" w:eastAsia="宋体" w:cs="Times New Roman"/>
                      <w:color w:val="auto"/>
                      <w:sz w:val="21"/>
                      <w:szCs w:val="21"/>
                      <w:highlight w:val="none"/>
                      <w:vertAlign w:val="baseline"/>
                      <w:lang w:val="en-US" w:eastAsia="zh-CN"/>
                    </w:rPr>
                    <w:t>前体物来源与管控、协同控制路线实施等内</w:t>
                  </w:r>
                  <w:r>
                    <w:rPr>
                      <w:rFonts w:hint="eastAsia" w:ascii="宋体" w:hAnsi="宋体" w:eastAsia="宋体" w:cs="宋体"/>
                      <w:color w:val="auto"/>
                      <w:sz w:val="21"/>
                      <w:szCs w:val="21"/>
                      <w:highlight w:val="none"/>
                      <w:vertAlign w:val="baseline"/>
                      <w:lang w:val="en-US" w:eastAsia="zh-CN"/>
                    </w:rPr>
                    <w:t>容的“一市一策”综合解决方</w:t>
                  </w:r>
                  <w:r>
                    <w:rPr>
                      <w:rFonts w:hint="default" w:ascii="Times New Roman" w:hAnsi="Times New Roman" w:eastAsia="宋体" w:cs="Times New Roman"/>
                      <w:color w:val="auto"/>
                      <w:sz w:val="21"/>
                      <w:szCs w:val="21"/>
                      <w:highlight w:val="none"/>
                      <w:vertAlign w:val="baseline"/>
                      <w:lang w:val="en-US" w:eastAsia="zh-CN"/>
                    </w:rPr>
                    <w:t>案。淮北、宿州、淮南3市今年率先启动开展</w:t>
                  </w:r>
                  <w:r>
                    <w:rPr>
                      <w:rFonts w:hint="eastAsia" w:ascii="宋体" w:hAnsi="宋体" w:eastAsia="宋体" w:cs="宋体"/>
                      <w:color w:val="auto"/>
                      <w:sz w:val="21"/>
                      <w:szCs w:val="21"/>
                      <w:highlight w:val="none"/>
                      <w:vertAlign w:val="baseline"/>
                      <w:lang w:val="en-US" w:eastAsia="zh-CN"/>
                    </w:rPr>
                    <w:t>“一市一策”研</w:t>
                  </w:r>
                  <w:r>
                    <w:rPr>
                      <w:rFonts w:hint="default" w:ascii="Times New Roman" w:hAnsi="Times New Roman" w:eastAsia="宋体" w:cs="Times New Roman"/>
                      <w:color w:val="auto"/>
                      <w:sz w:val="21"/>
                      <w:szCs w:val="21"/>
                      <w:highlight w:val="none"/>
                      <w:vertAlign w:val="baseline"/>
                      <w:lang w:val="en-US" w:eastAsia="zh-CN"/>
                    </w:rPr>
                    <w:t>究，5月-10月重点开展夏季O</w:t>
                  </w:r>
                  <w:r>
                    <w:rPr>
                      <w:rFonts w:hint="default" w:ascii="Times New Roman" w:hAnsi="Times New Roman" w:eastAsia="宋体" w:cs="Times New Roman"/>
                      <w:color w:val="auto"/>
                      <w:sz w:val="21"/>
                      <w:szCs w:val="21"/>
                      <w:highlight w:val="none"/>
                      <w:vertAlign w:val="subscript"/>
                      <w:lang w:val="en-US" w:eastAsia="zh-CN"/>
                    </w:rPr>
                    <w:t>3</w:t>
                  </w:r>
                  <w:r>
                    <w:rPr>
                      <w:rFonts w:hint="default" w:ascii="Times New Roman" w:hAnsi="Times New Roman" w:eastAsia="宋体" w:cs="Times New Roman"/>
                      <w:color w:val="auto"/>
                      <w:sz w:val="21"/>
                      <w:szCs w:val="21"/>
                      <w:highlight w:val="none"/>
                      <w:vertAlign w:val="baseline"/>
                      <w:lang w:val="en-US" w:eastAsia="zh-CN"/>
                    </w:rPr>
                    <w:t>污染跟踪研究，11月-次年3月重点推广应用大气重污染成因与治理攻关项目研究成果。其他各市适时启动研究工作，</w:t>
                  </w:r>
                  <w:r>
                    <w:rPr>
                      <w:rFonts w:hint="eastAsia" w:ascii="宋体" w:hAnsi="宋体" w:eastAsia="宋体" w:cs="宋体"/>
                      <w:color w:val="auto"/>
                      <w:sz w:val="21"/>
                      <w:szCs w:val="21"/>
                      <w:highlight w:val="none"/>
                      <w:vertAlign w:val="baseline"/>
                      <w:lang w:val="en-US" w:eastAsia="zh-CN"/>
                    </w:rPr>
                    <w:t>以“一市一策”研究</w:t>
                  </w:r>
                  <w:r>
                    <w:rPr>
                      <w:rFonts w:hint="default" w:ascii="Times New Roman" w:hAnsi="Times New Roman" w:eastAsia="宋体" w:cs="Times New Roman"/>
                      <w:color w:val="auto"/>
                      <w:sz w:val="21"/>
                      <w:szCs w:val="21"/>
                      <w:highlight w:val="none"/>
                      <w:vertAlign w:val="baseline"/>
                      <w:lang w:val="en-US" w:eastAsia="zh-CN"/>
                    </w:rPr>
                    <w:t>为契机，补齐O</w:t>
                  </w:r>
                  <w:r>
                    <w:rPr>
                      <w:rFonts w:hint="default" w:ascii="Times New Roman" w:hAnsi="Times New Roman" w:eastAsia="宋体" w:cs="Times New Roman"/>
                      <w:color w:val="auto"/>
                      <w:sz w:val="21"/>
                      <w:szCs w:val="21"/>
                      <w:highlight w:val="none"/>
                      <w:vertAlign w:val="subscript"/>
                      <w:lang w:val="en-US" w:eastAsia="zh-CN"/>
                    </w:rPr>
                    <w:t>3</w:t>
                  </w:r>
                  <w:r>
                    <w:rPr>
                      <w:rFonts w:hint="default" w:ascii="Times New Roman" w:hAnsi="Times New Roman" w:eastAsia="宋体" w:cs="Times New Roman"/>
                      <w:color w:val="auto"/>
                      <w:sz w:val="21"/>
                      <w:szCs w:val="21"/>
                      <w:highlight w:val="none"/>
                      <w:vertAlign w:val="baseline"/>
                      <w:lang w:val="en-US" w:eastAsia="zh-CN"/>
                    </w:rPr>
                    <w:t>污染防治技术、人才和能力短板，强化O</w:t>
                  </w:r>
                  <w:r>
                    <w:rPr>
                      <w:rFonts w:hint="default" w:ascii="Times New Roman" w:hAnsi="Times New Roman" w:eastAsia="宋体" w:cs="Times New Roman"/>
                      <w:color w:val="auto"/>
                      <w:sz w:val="21"/>
                      <w:szCs w:val="21"/>
                      <w:highlight w:val="none"/>
                      <w:vertAlign w:val="subscript"/>
                      <w:lang w:val="en-US" w:eastAsia="zh-CN"/>
                    </w:rPr>
                    <w:t>3</w:t>
                  </w:r>
                  <w:r>
                    <w:rPr>
                      <w:rFonts w:hint="default" w:ascii="Times New Roman" w:hAnsi="Times New Roman" w:eastAsia="宋体" w:cs="Times New Roman"/>
                      <w:color w:val="auto"/>
                      <w:sz w:val="21"/>
                      <w:szCs w:val="21"/>
                      <w:highlight w:val="none"/>
                      <w:vertAlign w:val="baseline"/>
                      <w:lang w:val="en-US" w:eastAsia="zh-CN"/>
                    </w:rPr>
                    <w:t>污染防治科技支撑。</w:t>
                  </w:r>
                </w:p>
              </w:tc>
              <w:tc>
                <w:tcPr>
                  <w:tcW w:w="2992" w:type="dxa"/>
                  <w:noWrap w:val="0"/>
                  <w:vAlign w:val="center"/>
                </w:tcPr>
                <w:p w14:paraId="555A39FF">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olor w:val="auto"/>
                      <w:sz w:val="21"/>
                      <w:szCs w:val="21"/>
                      <w:highlight w:val="none"/>
                      <w:vertAlign w:val="baseline"/>
                      <w:lang w:val="en-US" w:eastAsia="zh-CN"/>
                    </w:rPr>
                    <w:t>本项目为钨合金渔坠制造，</w:t>
                  </w:r>
                  <w:r>
                    <w:rPr>
                      <w:rFonts w:hint="eastAsia" w:ascii="Times New Roman" w:hAnsi="Times New Roman" w:eastAsia="宋体" w:cs="Times New Roman"/>
                      <w:color w:val="auto"/>
                      <w:sz w:val="21"/>
                      <w:szCs w:val="21"/>
                      <w:highlight w:val="none"/>
                      <w:vertAlign w:val="baseline"/>
                      <w:lang w:val="en-US" w:eastAsia="zh-CN"/>
                    </w:rPr>
                    <w:t>项目</w:t>
                  </w:r>
                  <w:r>
                    <w:rPr>
                      <w:rFonts w:hint="eastAsia" w:cs="Times New Roman"/>
                      <w:color w:val="auto"/>
                      <w:sz w:val="21"/>
                      <w:szCs w:val="21"/>
                      <w:highlight w:val="none"/>
                      <w:vertAlign w:val="baseline"/>
                      <w:lang w:val="en-US" w:eastAsia="zh-CN"/>
                    </w:rPr>
                    <w:t>加热废气“集气罩+二级活性炭吸附装置+15m高排气筒（DA002）”处理后排放；1#脱胶、注塑废气和固化废气采用“集气罩+二级活性炭吸附装置+15m高排气筒（DA003）”处理后排放；2#脱胶、注塑废气采用“集气罩+二级活性炭吸附装置+15m高排气筒（DA004）”处理后排放。</w:t>
                  </w:r>
                </w:p>
              </w:tc>
              <w:tc>
                <w:tcPr>
                  <w:tcW w:w="797" w:type="dxa"/>
                  <w:noWrap w:val="0"/>
                  <w:vAlign w:val="center"/>
                </w:tcPr>
                <w:p w14:paraId="08406008">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相符</w:t>
                  </w:r>
                </w:p>
              </w:tc>
            </w:tr>
          </w:tbl>
          <w:p w14:paraId="09F6D6FE">
            <w:pPr>
              <w:pStyle w:val="12"/>
              <w:keepNext w:val="0"/>
              <w:keepLines w:val="0"/>
              <w:pageBreakBefore w:val="0"/>
              <w:widowControl/>
              <w:numPr>
                <w:ilvl w:val="0"/>
                <w:numId w:val="0"/>
              </w:numPr>
              <w:kinsoku/>
              <w:wordWrap/>
              <w:overflowPunct/>
              <w:topLinePunct w:val="0"/>
              <w:autoSpaceDE/>
              <w:autoSpaceDN/>
              <w:bidi w:val="0"/>
              <w:adjustRightInd/>
              <w:snapToGrid w:val="0"/>
              <w:spacing w:before="157" w:beforeLines="50" w:after="0" w:line="360" w:lineRule="auto"/>
              <w:ind w:leftChars="0" w:right="0" w:rightChars="0"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与《宿州市生态</w:t>
            </w:r>
            <w:r>
              <w:rPr>
                <w:rFonts w:hint="eastAsia" w:ascii="宋体" w:hAnsi="宋体" w:eastAsia="宋体" w:cs="宋体"/>
                <w:color w:val="auto"/>
                <w:sz w:val="24"/>
                <w:szCs w:val="24"/>
                <w:highlight w:val="none"/>
                <w:lang w:val="en-US" w:eastAsia="zh-CN"/>
              </w:rPr>
              <w:t>环境保护委员会关于印发“十四五”生</w:t>
            </w:r>
            <w:r>
              <w:rPr>
                <w:rFonts w:hint="default" w:ascii="Times New Roman" w:hAnsi="Times New Roman" w:eastAsia="宋体" w:cs="Times New Roman"/>
                <w:color w:val="auto"/>
                <w:sz w:val="24"/>
                <w:szCs w:val="24"/>
                <w:highlight w:val="none"/>
                <w:lang w:val="en-US" w:eastAsia="zh-CN"/>
              </w:rPr>
              <w:t>态环境保护规划的通知》（宿环委会【2022】2号）的符合性分析</w:t>
            </w:r>
          </w:p>
          <w:p w14:paraId="1F6236C3">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jc w:val="center"/>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表1.</w:t>
            </w:r>
            <w:r>
              <w:rPr>
                <w:rFonts w:hint="eastAsia" w:cs="Times New Roman"/>
                <w:b/>
                <w:bCs/>
                <w:color w:val="auto"/>
                <w:sz w:val="24"/>
                <w:szCs w:val="24"/>
                <w:highlight w:val="none"/>
                <w:lang w:val="en-US" w:eastAsia="zh-CN"/>
              </w:rPr>
              <w:t xml:space="preserve">5  </w:t>
            </w:r>
            <w:r>
              <w:rPr>
                <w:rFonts w:hint="default" w:ascii="Times New Roman" w:hAnsi="Times New Roman" w:eastAsia="宋体" w:cs="Times New Roman"/>
                <w:b/>
                <w:bCs/>
                <w:color w:val="auto"/>
                <w:sz w:val="24"/>
                <w:szCs w:val="24"/>
                <w:highlight w:val="none"/>
                <w:lang w:val="en-US" w:eastAsia="zh-CN"/>
              </w:rPr>
              <w:t>与《宿州市生态环境保护委员会关于印</w:t>
            </w:r>
            <w:r>
              <w:rPr>
                <w:rFonts w:hint="eastAsia" w:ascii="宋体" w:hAnsi="宋体" w:eastAsia="宋体" w:cs="宋体"/>
                <w:b/>
                <w:bCs/>
                <w:color w:val="auto"/>
                <w:sz w:val="24"/>
                <w:szCs w:val="24"/>
                <w:highlight w:val="none"/>
                <w:lang w:val="en-US" w:eastAsia="zh-CN"/>
              </w:rPr>
              <w:t>发“十四五”生</w:t>
            </w:r>
            <w:r>
              <w:rPr>
                <w:rFonts w:hint="default" w:ascii="Times New Roman" w:hAnsi="Times New Roman" w:eastAsia="宋体" w:cs="Times New Roman"/>
                <w:b/>
                <w:bCs/>
                <w:color w:val="auto"/>
                <w:sz w:val="24"/>
                <w:szCs w:val="24"/>
                <w:highlight w:val="none"/>
                <w:lang w:val="en-US" w:eastAsia="zh-CN"/>
              </w:rPr>
              <w:t>态环境保护规划的通知》（宿环委会【2022】2号）的符合性分析</w:t>
            </w:r>
            <w:r>
              <w:rPr>
                <w:rFonts w:hint="eastAsia" w:ascii="Times New Roman" w:hAnsi="Times New Roman" w:eastAsia="宋体" w:cs="Times New Roman"/>
                <w:b/>
                <w:bCs/>
                <w:color w:val="auto"/>
                <w:sz w:val="24"/>
                <w:szCs w:val="24"/>
                <w:highlight w:val="none"/>
                <w:lang w:val="en-US" w:eastAsia="zh-CN"/>
              </w:rPr>
              <w:t>一览表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4088"/>
              <w:gridCol w:w="2647"/>
              <w:gridCol w:w="797"/>
            </w:tblGrid>
            <w:tr w14:paraId="3EDB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9" w:type="dxa"/>
                  <w:noWrap w:val="0"/>
                  <w:vAlign w:val="center"/>
                </w:tcPr>
                <w:p w14:paraId="30A3D586">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序号</w:t>
                  </w:r>
                </w:p>
              </w:tc>
              <w:tc>
                <w:tcPr>
                  <w:tcW w:w="4088" w:type="dxa"/>
                  <w:noWrap w:val="0"/>
                  <w:vAlign w:val="center"/>
                </w:tcPr>
                <w:p w14:paraId="6C53D647">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宿州市生态环境保护委员会关于印</w:t>
                  </w:r>
                  <w:r>
                    <w:rPr>
                      <w:rFonts w:hint="eastAsia" w:ascii="宋体" w:hAnsi="宋体" w:eastAsia="宋体" w:cs="宋体"/>
                      <w:color w:val="auto"/>
                      <w:sz w:val="21"/>
                      <w:szCs w:val="21"/>
                      <w:highlight w:val="none"/>
                      <w:vertAlign w:val="baseline"/>
                      <w:lang w:val="en-US" w:eastAsia="zh-CN"/>
                    </w:rPr>
                    <w:t>发“十四五”</w:t>
                  </w:r>
                  <w:r>
                    <w:rPr>
                      <w:rFonts w:hint="default" w:ascii="Times New Roman" w:hAnsi="Times New Roman" w:eastAsia="宋体" w:cs="Times New Roman"/>
                      <w:color w:val="auto"/>
                      <w:sz w:val="21"/>
                      <w:szCs w:val="21"/>
                      <w:highlight w:val="none"/>
                      <w:vertAlign w:val="baseline"/>
                      <w:lang w:val="en-US" w:eastAsia="zh-CN"/>
                    </w:rPr>
                    <w:t>生态环境保护规划的通知</w:t>
                  </w:r>
                </w:p>
              </w:tc>
              <w:tc>
                <w:tcPr>
                  <w:tcW w:w="2647" w:type="dxa"/>
                  <w:noWrap w:val="0"/>
                  <w:vAlign w:val="center"/>
                </w:tcPr>
                <w:p w14:paraId="6C32F54E">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本项目情况</w:t>
                  </w:r>
                </w:p>
              </w:tc>
              <w:tc>
                <w:tcPr>
                  <w:tcW w:w="797" w:type="dxa"/>
                  <w:noWrap w:val="0"/>
                  <w:vAlign w:val="center"/>
                </w:tcPr>
                <w:p w14:paraId="6CC3EA87">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相符性</w:t>
                  </w:r>
                </w:p>
              </w:tc>
            </w:tr>
            <w:tr w14:paraId="78D1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9" w:type="dxa"/>
                  <w:noWrap w:val="0"/>
                  <w:vAlign w:val="center"/>
                </w:tcPr>
                <w:p w14:paraId="4E88D928">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4088" w:type="dxa"/>
                  <w:noWrap w:val="0"/>
                  <w:vAlign w:val="center"/>
                </w:tcPr>
                <w:p w14:paraId="2546A707">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加强源头管控。严格落实国家和地方产品的VOCs（挥发性有机污染物）含量限值标准，优先推行生产和使用低VOCs原辅材料。鼓励加快低VOCs含量涂料、油墨、胶粘剂等研发和生产，通过低VOCs含量的涂料、油墨、胶粘剂、清洗剂等替代，减少VOCs产生。加大低VOCs含量产品的推广利用力度。将全面生产、使用符合国家要求的低VOCs含量原辅材料的企业纳入正面清单。引导将使用低VOCs含量涂料、胶粘剂等纳入政府采购装修合同环保条款。</w:t>
                  </w:r>
                </w:p>
              </w:tc>
              <w:tc>
                <w:tcPr>
                  <w:tcW w:w="2647" w:type="dxa"/>
                  <w:noWrap w:val="0"/>
                  <w:vAlign w:val="center"/>
                </w:tcPr>
                <w:p w14:paraId="7C54CA15">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olor w:val="auto"/>
                      <w:sz w:val="21"/>
                      <w:szCs w:val="21"/>
                      <w:highlight w:val="none"/>
                      <w:vertAlign w:val="baseline"/>
                      <w:lang w:val="en-US" w:eastAsia="zh-CN"/>
                    </w:rPr>
                    <w:t>本项目为钨合金渔坠制造，</w:t>
                  </w:r>
                  <w:r>
                    <w:rPr>
                      <w:rFonts w:hint="eastAsia" w:ascii="Times New Roman" w:hAnsi="Times New Roman" w:eastAsia="宋体" w:cs="Times New Roman"/>
                      <w:color w:val="auto"/>
                      <w:sz w:val="21"/>
                      <w:szCs w:val="21"/>
                      <w:highlight w:val="none"/>
                      <w:vertAlign w:val="baseline"/>
                      <w:lang w:val="en-US" w:eastAsia="zh-CN"/>
                    </w:rPr>
                    <w:t>项目</w:t>
                  </w:r>
                  <w:r>
                    <w:rPr>
                      <w:rFonts w:hint="eastAsia" w:cs="Times New Roman"/>
                      <w:color w:val="auto"/>
                      <w:sz w:val="21"/>
                      <w:szCs w:val="21"/>
                      <w:highlight w:val="none"/>
                      <w:vertAlign w:val="baseline"/>
                      <w:lang w:val="en-US" w:eastAsia="zh-CN"/>
                    </w:rPr>
                    <w:t>加热废气“集气罩+二级活性炭吸附装置+15m高排气筒（DA002）”处理后排放；1#脱胶、注塑废气和固化废气采用“集气罩+二级活性炭吸附装置+15m高排气筒（DA003）”处理后排放；2#脱胶、注塑废气采用“集气罩+二级活性炭吸附装置+15m高排气筒（DA004）”处理后排放。</w:t>
                  </w:r>
                </w:p>
              </w:tc>
              <w:tc>
                <w:tcPr>
                  <w:tcW w:w="797" w:type="dxa"/>
                  <w:noWrap w:val="0"/>
                  <w:vAlign w:val="center"/>
                </w:tcPr>
                <w:p w14:paraId="5B0029C6">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相符</w:t>
                  </w:r>
                </w:p>
              </w:tc>
            </w:tr>
          </w:tbl>
          <w:p w14:paraId="45723F23">
            <w:pPr>
              <w:pStyle w:val="52"/>
              <w:keepNext w:val="0"/>
              <w:keepLines w:val="0"/>
              <w:pageBreakBefore w:val="0"/>
              <w:widowControl/>
              <w:kinsoku/>
              <w:wordWrap/>
              <w:overflowPunct/>
              <w:topLinePunct w:val="0"/>
              <w:autoSpaceDE/>
              <w:autoSpaceDN/>
              <w:bidi w:val="0"/>
              <w:adjustRightInd/>
              <w:snapToGrid w:val="0"/>
              <w:spacing w:before="157" w:beforeLines="50" w:beforeAutospacing="0" w:after="0" w:afterAutospacing="0" w:line="360" w:lineRule="auto"/>
              <w:ind w:firstLine="482"/>
              <w:textAlignment w:val="auto"/>
              <w:rPr>
                <w:rFonts w:ascii="Times New Roman" w:hAnsi="Times New Roman" w:cs="Times New Roman"/>
                <w:b/>
                <w:bCs/>
                <w:color w:val="auto"/>
              </w:rPr>
            </w:pPr>
            <w:r>
              <w:rPr>
                <w:rFonts w:hint="default" w:ascii="Times New Roman" w:hAnsi="Times New Roman" w:cs="Times New Roman"/>
                <w:b w:val="0"/>
                <w:bCs w:val="0"/>
                <w:snapToGrid/>
                <w:color w:val="auto"/>
                <w:spacing w:val="0"/>
                <w:kern w:val="0"/>
                <w:position w:val="0"/>
                <w:sz w:val="24"/>
                <w:szCs w:val="24"/>
                <w:lang w:val="en-US" w:eastAsia="zh-CN"/>
              </w:rPr>
              <w:t>（</w:t>
            </w:r>
            <w:r>
              <w:rPr>
                <w:rFonts w:hint="eastAsia" w:ascii="Times New Roman" w:hAnsi="Times New Roman" w:cs="Times New Roman"/>
                <w:b w:val="0"/>
                <w:bCs w:val="0"/>
                <w:snapToGrid/>
                <w:color w:val="auto"/>
                <w:spacing w:val="0"/>
                <w:kern w:val="0"/>
                <w:position w:val="0"/>
                <w:sz w:val="24"/>
                <w:szCs w:val="24"/>
                <w:lang w:val="en-US" w:eastAsia="zh-CN"/>
              </w:rPr>
              <w:t>5</w:t>
            </w:r>
            <w:r>
              <w:rPr>
                <w:rFonts w:hint="default" w:ascii="Times New Roman" w:hAnsi="Times New Roman" w:cs="Times New Roman"/>
                <w:b w:val="0"/>
                <w:bCs w:val="0"/>
                <w:snapToGrid/>
                <w:color w:val="auto"/>
                <w:spacing w:val="0"/>
                <w:kern w:val="0"/>
                <w:position w:val="0"/>
                <w:sz w:val="24"/>
                <w:szCs w:val="24"/>
                <w:lang w:val="en-US" w:eastAsia="zh-CN"/>
              </w:rPr>
              <w:t>）</w:t>
            </w:r>
            <w:r>
              <w:rPr>
                <w:rFonts w:ascii="Times New Roman" w:hAnsi="Times New Roman" w:cs="Times New Roman"/>
                <w:color w:val="auto"/>
              </w:rPr>
              <w:t>项目与《安徽省低挥发性有机物含量原辅材料替代工作方案》（皖环发〔202</w:t>
            </w:r>
            <w:r>
              <w:rPr>
                <w:rFonts w:hint="eastAsia" w:ascii="Times New Roman" w:hAnsi="Times New Roman" w:cs="Times New Roman"/>
                <w:color w:val="auto"/>
              </w:rPr>
              <w:t>4</w:t>
            </w:r>
            <w:r>
              <w:rPr>
                <w:rFonts w:ascii="Times New Roman" w:hAnsi="Times New Roman" w:cs="Times New Roman"/>
                <w:color w:val="auto"/>
              </w:rPr>
              <w:t>〕1号）相符性详见下表。</w:t>
            </w:r>
          </w:p>
          <w:p w14:paraId="14E6AE9B">
            <w:pPr>
              <w:spacing w:line="360" w:lineRule="auto"/>
              <w:jc w:val="center"/>
              <w:rPr>
                <w:b/>
                <w:bCs/>
                <w:color w:val="auto"/>
                <w:sz w:val="24"/>
              </w:rPr>
            </w:pPr>
            <w:r>
              <w:rPr>
                <w:b/>
                <w:bCs/>
                <w:color w:val="auto"/>
                <w:sz w:val="24"/>
              </w:rPr>
              <w:t>表1</w:t>
            </w:r>
            <w:r>
              <w:rPr>
                <w:rFonts w:hint="eastAsia"/>
                <w:b/>
                <w:bCs/>
                <w:color w:val="auto"/>
                <w:sz w:val="24"/>
                <w:lang w:val="en-US" w:eastAsia="zh-CN"/>
              </w:rPr>
              <w:t>.6</w:t>
            </w:r>
            <w:r>
              <w:rPr>
                <w:b/>
                <w:bCs/>
                <w:color w:val="auto"/>
                <w:sz w:val="24"/>
              </w:rPr>
              <w:t xml:space="preserve">  与《安徽省低挥发性有机物含量原辅材料替代工作方案》相符性分析</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5411"/>
              <w:gridCol w:w="1758"/>
              <w:gridCol w:w="648"/>
            </w:tblGrid>
            <w:tr w14:paraId="163D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65" w:type="pct"/>
                  <w:tcBorders>
                    <w:top w:val="single" w:color="auto" w:sz="4" w:space="0"/>
                    <w:left w:val="single" w:color="auto" w:sz="4" w:space="0"/>
                    <w:bottom w:val="single" w:color="auto" w:sz="4" w:space="0"/>
                    <w:right w:val="single" w:color="auto" w:sz="4" w:space="0"/>
                  </w:tcBorders>
                  <w:noWrap w:val="0"/>
                  <w:vAlign w:val="center"/>
                </w:tcPr>
                <w:p w14:paraId="6BC4B5AD">
                  <w:pPr>
                    <w:pStyle w:val="53"/>
                    <w:jc w:val="center"/>
                    <w:rPr>
                      <w:color w:val="auto"/>
                    </w:rPr>
                  </w:pPr>
                  <w:r>
                    <w:rPr>
                      <w:color w:val="auto"/>
                    </w:rPr>
                    <w:t>序号</w:t>
                  </w:r>
                </w:p>
              </w:tc>
              <w:tc>
                <w:tcPr>
                  <w:tcW w:w="3277" w:type="pct"/>
                  <w:tcBorders>
                    <w:top w:val="single" w:color="auto" w:sz="4" w:space="0"/>
                    <w:left w:val="nil"/>
                    <w:bottom w:val="single" w:color="auto" w:sz="4" w:space="0"/>
                    <w:right w:val="single" w:color="auto" w:sz="4" w:space="0"/>
                  </w:tcBorders>
                  <w:noWrap w:val="0"/>
                  <w:vAlign w:val="center"/>
                </w:tcPr>
                <w:p w14:paraId="44FDEAAA">
                  <w:pPr>
                    <w:pStyle w:val="53"/>
                    <w:jc w:val="center"/>
                    <w:rPr>
                      <w:color w:val="auto"/>
                    </w:rPr>
                  </w:pPr>
                  <w:r>
                    <w:rPr>
                      <w:color w:val="auto"/>
                    </w:rPr>
                    <w:t>安徽省低挥发性有机物含量原辅材料替代工作方案</w:t>
                  </w:r>
                </w:p>
              </w:tc>
              <w:tc>
                <w:tcPr>
                  <w:tcW w:w="1064" w:type="pct"/>
                  <w:tcBorders>
                    <w:top w:val="single" w:color="auto" w:sz="4" w:space="0"/>
                    <w:left w:val="nil"/>
                    <w:bottom w:val="single" w:color="auto" w:sz="4" w:space="0"/>
                    <w:right w:val="single" w:color="auto" w:sz="4" w:space="0"/>
                  </w:tcBorders>
                  <w:noWrap w:val="0"/>
                  <w:vAlign w:val="center"/>
                </w:tcPr>
                <w:p w14:paraId="2165F3F4">
                  <w:pPr>
                    <w:pStyle w:val="53"/>
                    <w:jc w:val="center"/>
                    <w:rPr>
                      <w:color w:val="auto"/>
                    </w:rPr>
                  </w:pPr>
                  <w:r>
                    <w:rPr>
                      <w:color w:val="auto"/>
                    </w:rPr>
                    <w:t>项目情况</w:t>
                  </w:r>
                </w:p>
              </w:tc>
              <w:tc>
                <w:tcPr>
                  <w:tcW w:w="392" w:type="pct"/>
                  <w:tcBorders>
                    <w:top w:val="single" w:color="auto" w:sz="4" w:space="0"/>
                    <w:left w:val="nil"/>
                    <w:bottom w:val="single" w:color="auto" w:sz="4" w:space="0"/>
                    <w:right w:val="single" w:color="auto" w:sz="4" w:space="0"/>
                  </w:tcBorders>
                  <w:noWrap w:val="0"/>
                  <w:vAlign w:val="center"/>
                </w:tcPr>
                <w:p w14:paraId="0F2583CB">
                  <w:pPr>
                    <w:pStyle w:val="53"/>
                    <w:jc w:val="center"/>
                    <w:rPr>
                      <w:color w:val="auto"/>
                    </w:rPr>
                  </w:pPr>
                  <w:r>
                    <w:rPr>
                      <w:color w:val="auto"/>
                    </w:rPr>
                    <w:t>相符性</w:t>
                  </w:r>
                </w:p>
              </w:tc>
            </w:tr>
            <w:tr w14:paraId="2FA8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65" w:type="pct"/>
                  <w:tcBorders>
                    <w:top w:val="single" w:color="auto" w:sz="4" w:space="0"/>
                    <w:left w:val="single" w:color="auto" w:sz="4" w:space="0"/>
                    <w:bottom w:val="single" w:color="auto" w:sz="4" w:space="0"/>
                    <w:right w:val="single" w:color="auto" w:sz="4" w:space="0"/>
                  </w:tcBorders>
                  <w:noWrap w:val="0"/>
                  <w:vAlign w:val="center"/>
                </w:tcPr>
                <w:p w14:paraId="0F8A6ABA">
                  <w:pPr>
                    <w:pStyle w:val="53"/>
                    <w:jc w:val="center"/>
                    <w:rPr>
                      <w:color w:val="auto"/>
                    </w:rPr>
                  </w:pPr>
                  <w:r>
                    <w:rPr>
                      <w:color w:val="auto"/>
                    </w:rPr>
                    <w:t>1</w:t>
                  </w:r>
                </w:p>
              </w:tc>
              <w:tc>
                <w:tcPr>
                  <w:tcW w:w="3277" w:type="pct"/>
                  <w:tcBorders>
                    <w:top w:val="single" w:color="auto" w:sz="4" w:space="0"/>
                    <w:left w:val="nil"/>
                    <w:bottom w:val="single" w:color="auto" w:sz="4" w:space="0"/>
                    <w:right w:val="single" w:color="auto" w:sz="4" w:space="0"/>
                  </w:tcBorders>
                  <w:noWrap w:val="0"/>
                  <w:vAlign w:val="center"/>
                </w:tcPr>
                <w:p w14:paraId="1E1F9786">
                  <w:pPr>
                    <w:pStyle w:val="53"/>
                    <w:jc w:val="center"/>
                    <w:rPr>
                      <w:color w:val="auto"/>
                    </w:rPr>
                  </w:pPr>
                  <w:r>
                    <w:rPr>
                      <w:color w:val="auto"/>
                    </w:rPr>
                    <w:t>（一）加强替代管理。工业涂装、包装印刷、竹木加工、家具制造、汽车修理与维护、鞋和皮革制品制造等重点行业企业，要按照《低挥发性有机物含量原辅材料源头替代技术指引（试行）》（附件）要求，开展低VOCs原辅材料和生产方式替代，优化管控台账及档案管理，持续提升环境管理水平。各地要根据《关于深入开展挥发性有机物污染治理工作的通知》（皖大气办[2021]4号）要求，在认真梳理2021至2023年度VOCs源头削减治理项目清单基础上，对涉VOCs重点行业和使用溶剂型涂料、油墨、胶粘剂、清洗剂以及涉及有机化工生产的产业集群进行再排查，将含VOCs原辅材料使用企业全面纳入源头替代企业排查台账，对具备替代条件的，加强调度指导；对无法替代的，要开展论证核实，严格把关并逐一说明。</w:t>
                  </w:r>
                </w:p>
              </w:tc>
              <w:tc>
                <w:tcPr>
                  <w:tcW w:w="1064" w:type="pct"/>
                  <w:tcBorders>
                    <w:top w:val="single" w:color="auto" w:sz="4" w:space="0"/>
                    <w:left w:val="nil"/>
                    <w:bottom w:val="single" w:color="auto" w:sz="4" w:space="0"/>
                    <w:right w:val="single" w:color="auto" w:sz="4" w:space="0"/>
                  </w:tcBorders>
                  <w:noWrap w:val="0"/>
                  <w:vAlign w:val="center"/>
                </w:tcPr>
                <w:p w14:paraId="2FE5467C">
                  <w:pPr>
                    <w:pStyle w:val="53"/>
                    <w:jc w:val="center"/>
                    <w:rPr>
                      <w:color w:val="auto"/>
                    </w:rPr>
                  </w:pPr>
                  <w:r>
                    <w:rPr>
                      <w:color w:val="auto"/>
                    </w:rPr>
                    <w:t>本项目</w:t>
                  </w:r>
                  <w:r>
                    <w:rPr>
                      <w:rFonts w:hint="eastAsia"/>
                      <w:color w:val="auto"/>
                      <w:lang w:eastAsia="zh-CN"/>
                    </w:rPr>
                    <w:t>使用塑粉满足</w:t>
                  </w:r>
                  <w:r>
                    <w:rPr>
                      <w:color w:val="auto"/>
                    </w:rPr>
                    <w:t>《低挥发性有机物含量原辅材料源头替代技术指引（试行）》要求。</w:t>
                  </w:r>
                </w:p>
              </w:tc>
              <w:tc>
                <w:tcPr>
                  <w:tcW w:w="392" w:type="pct"/>
                  <w:tcBorders>
                    <w:top w:val="single" w:color="auto" w:sz="4" w:space="0"/>
                    <w:left w:val="nil"/>
                    <w:bottom w:val="single" w:color="auto" w:sz="4" w:space="0"/>
                    <w:right w:val="single" w:color="auto" w:sz="4" w:space="0"/>
                  </w:tcBorders>
                  <w:noWrap w:val="0"/>
                  <w:vAlign w:val="center"/>
                </w:tcPr>
                <w:p w14:paraId="6E549FA4">
                  <w:pPr>
                    <w:pStyle w:val="53"/>
                    <w:jc w:val="center"/>
                    <w:rPr>
                      <w:color w:val="auto"/>
                    </w:rPr>
                  </w:pPr>
                  <w:r>
                    <w:rPr>
                      <w:color w:val="auto"/>
                    </w:rPr>
                    <w:t>相符</w:t>
                  </w:r>
                </w:p>
              </w:tc>
            </w:tr>
            <w:tr w14:paraId="546D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65" w:type="pct"/>
                  <w:tcBorders>
                    <w:top w:val="single" w:color="auto" w:sz="4" w:space="0"/>
                    <w:left w:val="single" w:color="auto" w:sz="4" w:space="0"/>
                    <w:bottom w:val="single" w:color="auto" w:sz="4" w:space="0"/>
                    <w:right w:val="single" w:color="auto" w:sz="4" w:space="0"/>
                  </w:tcBorders>
                  <w:noWrap w:val="0"/>
                  <w:vAlign w:val="center"/>
                </w:tcPr>
                <w:p w14:paraId="35B507AC">
                  <w:pPr>
                    <w:pStyle w:val="53"/>
                    <w:jc w:val="center"/>
                    <w:rPr>
                      <w:color w:val="auto"/>
                    </w:rPr>
                  </w:pPr>
                  <w:r>
                    <w:rPr>
                      <w:color w:val="auto"/>
                    </w:rPr>
                    <w:t>2</w:t>
                  </w:r>
                </w:p>
              </w:tc>
              <w:tc>
                <w:tcPr>
                  <w:tcW w:w="3277" w:type="pct"/>
                  <w:tcBorders>
                    <w:top w:val="single" w:color="auto" w:sz="4" w:space="0"/>
                    <w:left w:val="nil"/>
                    <w:bottom w:val="single" w:color="auto" w:sz="4" w:space="0"/>
                    <w:right w:val="single" w:color="auto" w:sz="4" w:space="0"/>
                  </w:tcBorders>
                  <w:noWrap w:val="0"/>
                  <w:vAlign w:val="center"/>
                </w:tcPr>
                <w:p w14:paraId="167B3524">
                  <w:pPr>
                    <w:pStyle w:val="53"/>
                    <w:jc w:val="center"/>
                    <w:rPr>
                      <w:color w:val="auto"/>
                    </w:rPr>
                  </w:pPr>
                  <w:r>
                    <w:rPr>
                      <w:color w:val="auto"/>
                    </w:rPr>
                    <w:t>（二）严格项目准入。根据《低挥发性有机化合物含量涂料产品技术要求》（GB/T 38597-2020）要求，进一步完善VOCs 排放管控地方标准建设，细化相关行业涂料种类及各项污染物指标限值，编制实施固定源挥发性有机物综合排放标准和制鞋、汽修、木材等行业大气污染物排放标准。禁止建设生产和使用高VOCs含量的溶剂型涂料、油墨、胶黏剂等项目，全省工业涂装、包装印刷等重点行业和涂料、油墨等生产企业的新（改、扩）建项目需满足低（无）VOCs含量限值要求。省内市场上流通的水性涂料等低VOCs含量涂料产品，执行《低挥发性有机化合物含量涂料产品技术要求》，应在包装标志或产品说明上标明符合标准的分类、产品类别及产品类型（或施涂方式）。</w:t>
                  </w:r>
                </w:p>
              </w:tc>
              <w:tc>
                <w:tcPr>
                  <w:tcW w:w="1064" w:type="pct"/>
                  <w:tcBorders>
                    <w:top w:val="single" w:color="auto" w:sz="4" w:space="0"/>
                    <w:left w:val="nil"/>
                    <w:bottom w:val="single" w:color="auto" w:sz="4" w:space="0"/>
                    <w:right w:val="single" w:color="auto" w:sz="4" w:space="0"/>
                  </w:tcBorders>
                  <w:noWrap w:val="0"/>
                  <w:vAlign w:val="center"/>
                </w:tcPr>
                <w:p w14:paraId="62290905">
                  <w:pPr>
                    <w:pStyle w:val="53"/>
                    <w:jc w:val="center"/>
                    <w:rPr>
                      <w:color w:val="auto"/>
                    </w:rPr>
                  </w:pPr>
                  <w:r>
                    <w:rPr>
                      <w:color w:val="auto"/>
                    </w:rPr>
                    <w:t>本项目</w:t>
                  </w:r>
                  <w:r>
                    <w:rPr>
                      <w:rFonts w:hint="eastAsia"/>
                      <w:color w:val="auto"/>
                      <w:lang w:eastAsia="zh-CN"/>
                    </w:rPr>
                    <w:t>使用塑粉，不属于使用</w:t>
                  </w:r>
                  <w:r>
                    <w:rPr>
                      <w:color w:val="auto"/>
                    </w:rPr>
                    <w:t>高VOCs含量的溶剂型涂料、油墨、胶黏剂等项目</w:t>
                  </w:r>
                </w:p>
              </w:tc>
              <w:tc>
                <w:tcPr>
                  <w:tcW w:w="392" w:type="pct"/>
                  <w:tcBorders>
                    <w:top w:val="single" w:color="auto" w:sz="4" w:space="0"/>
                    <w:left w:val="nil"/>
                    <w:bottom w:val="single" w:color="auto" w:sz="4" w:space="0"/>
                    <w:right w:val="single" w:color="auto" w:sz="4" w:space="0"/>
                  </w:tcBorders>
                  <w:noWrap w:val="0"/>
                  <w:vAlign w:val="center"/>
                </w:tcPr>
                <w:p w14:paraId="02E8243B">
                  <w:pPr>
                    <w:pStyle w:val="53"/>
                    <w:jc w:val="center"/>
                    <w:rPr>
                      <w:color w:val="auto"/>
                    </w:rPr>
                  </w:pPr>
                  <w:r>
                    <w:rPr>
                      <w:color w:val="auto"/>
                    </w:rPr>
                    <w:t>相符</w:t>
                  </w:r>
                </w:p>
              </w:tc>
            </w:tr>
          </w:tbl>
          <w:p w14:paraId="6530605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cs="Times New Roman"/>
                <w:b w:val="0"/>
                <w:bCs w:val="0"/>
                <w:snapToGrid/>
                <w:color w:val="auto"/>
                <w:spacing w:val="0"/>
                <w:kern w:val="0"/>
                <w:position w:val="0"/>
                <w:sz w:val="24"/>
                <w:szCs w:val="24"/>
                <w:lang w:val="en-US" w:eastAsia="zh-CN"/>
              </w:rPr>
              <w:t>（</w:t>
            </w:r>
            <w:r>
              <w:rPr>
                <w:rFonts w:hint="eastAsia" w:ascii="Times New Roman" w:hAnsi="Times New Roman" w:cs="Times New Roman"/>
                <w:b w:val="0"/>
                <w:bCs w:val="0"/>
                <w:snapToGrid/>
                <w:color w:val="auto"/>
                <w:spacing w:val="0"/>
                <w:kern w:val="0"/>
                <w:position w:val="0"/>
                <w:sz w:val="24"/>
                <w:szCs w:val="24"/>
                <w:lang w:val="en-US" w:eastAsia="zh-CN"/>
              </w:rPr>
              <w:t>6</w:t>
            </w:r>
            <w:r>
              <w:rPr>
                <w:rFonts w:hint="default" w:ascii="Times New Roman" w:hAnsi="Times New Roman" w:cs="Times New Roman"/>
                <w:b w:val="0"/>
                <w:bCs w:val="0"/>
                <w:snapToGrid/>
                <w:color w:val="auto"/>
                <w:spacing w:val="0"/>
                <w:kern w:val="0"/>
                <w:position w:val="0"/>
                <w:sz w:val="24"/>
                <w:szCs w:val="24"/>
                <w:lang w:val="en-US" w:eastAsia="zh-CN"/>
              </w:rPr>
              <w:t>）</w:t>
            </w:r>
            <w:r>
              <w:rPr>
                <w:rFonts w:hint="default" w:ascii="Times New Roman" w:hAnsi="Times New Roman" w:eastAsia="宋体" w:cs="Times New Roman"/>
                <w:b w:val="0"/>
                <w:bCs w:val="0"/>
                <w:color w:val="auto"/>
                <w:sz w:val="24"/>
                <w:szCs w:val="24"/>
                <w:highlight w:val="none"/>
                <w:lang w:val="en-US" w:eastAsia="zh-CN"/>
              </w:rPr>
              <w:t>项目与《安徽省淮河流域水污染防治条例》相符性分析</w:t>
            </w:r>
          </w:p>
          <w:p w14:paraId="5A6FBCE6">
            <w:pPr>
              <w:pStyle w:val="37"/>
              <w:keepNext w:val="0"/>
              <w:keepLines w:val="0"/>
              <w:pageBreakBefore w:val="0"/>
              <w:widowControl w:val="0"/>
              <w:kinsoku/>
              <w:wordWrap/>
              <w:overflowPunct/>
              <w:topLinePunct w:val="0"/>
              <w:autoSpaceDE/>
              <w:autoSpaceDN/>
              <w:bidi w:val="0"/>
              <w:snapToGrid w:val="0"/>
              <w:spacing w:line="360" w:lineRule="auto"/>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表1.</w:t>
            </w:r>
            <w:r>
              <w:rPr>
                <w:rFonts w:hint="eastAsia" w:ascii="Times New Roman" w:hAnsi="Times New Roman" w:eastAsia="宋体" w:cs="Times New Roman"/>
                <w:color w:val="auto"/>
                <w:sz w:val="24"/>
                <w:szCs w:val="24"/>
                <w:highlight w:val="none"/>
                <w:lang w:val="en-US" w:eastAsia="zh-CN"/>
              </w:rPr>
              <w:t>7</w:t>
            </w:r>
            <w:r>
              <w:rPr>
                <w:rFonts w:hint="eastAsia"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 xml:space="preserve"> 与《安徽省淮河流域水污染防治条例》相符性分析</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3737"/>
              <w:gridCol w:w="2553"/>
              <w:gridCol w:w="952"/>
            </w:tblGrid>
            <w:tr w14:paraId="0AAF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5" w:type="dxa"/>
                  <w:tcBorders>
                    <w:tl2br w:val="nil"/>
                    <w:tr2bl w:val="nil"/>
                  </w:tcBorders>
                  <w:noWrap w:val="0"/>
                  <w:vAlign w:val="center"/>
                </w:tcPr>
                <w:p w14:paraId="3B363D99">
                  <w:pPr>
                    <w:pStyle w:val="33"/>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color w:val="auto"/>
                      <w:highlight w:val="none"/>
                      <w:lang w:val="en-US" w:eastAsia="zh-CN"/>
                    </w:rPr>
                  </w:pPr>
                  <w:r>
                    <w:rPr>
                      <w:rFonts w:hint="eastAsia"/>
                      <w:color w:val="auto"/>
                      <w:highlight w:val="none"/>
                      <w:lang w:val="en-US" w:eastAsia="zh-CN"/>
                    </w:rPr>
                    <w:t>条款</w:t>
                  </w:r>
                </w:p>
              </w:tc>
              <w:tc>
                <w:tcPr>
                  <w:tcW w:w="4125" w:type="dxa"/>
                  <w:tcBorders>
                    <w:tl2br w:val="nil"/>
                    <w:tr2bl w:val="nil"/>
                  </w:tcBorders>
                  <w:noWrap w:val="0"/>
                  <w:vAlign w:val="center"/>
                </w:tcPr>
                <w:p w14:paraId="28580DB9">
                  <w:pPr>
                    <w:pStyle w:val="33"/>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color w:val="auto"/>
                      <w:highlight w:val="none"/>
                      <w:lang w:val="en-US" w:eastAsia="zh-CN"/>
                    </w:rPr>
                  </w:pPr>
                  <w:r>
                    <w:rPr>
                      <w:rFonts w:hint="eastAsia" w:ascii="宋体" w:hAnsi="宋体" w:cs="宋体"/>
                      <w:b w:val="0"/>
                      <w:bCs w:val="0"/>
                      <w:color w:val="auto"/>
                      <w:sz w:val="21"/>
                      <w:szCs w:val="21"/>
                      <w:highlight w:val="none"/>
                      <w:shd w:val="clear" w:color="auto" w:fill="auto"/>
                      <w:lang w:eastAsia="zh-CN"/>
                    </w:rPr>
                    <w:t>内容</w:t>
                  </w:r>
                </w:p>
              </w:tc>
              <w:tc>
                <w:tcPr>
                  <w:tcW w:w="2810" w:type="dxa"/>
                  <w:tcBorders>
                    <w:tl2br w:val="nil"/>
                    <w:tr2bl w:val="nil"/>
                  </w:tcBorders>
                  <w:noWrap w:val="0"/>
                  <w:vAlign w:val="center"/>
                </w:tcPr>
                <w:p w14:paraId="6F6C8240">
                  <w:pPr>
                    <w:pStyle w:val="33"/>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color w:val="auto"/>
                      <w:highlight w:val="none"/>
                      <w:lang w:val="en-US" w:eastAsia="zh-CN"/>
                    </w:rPr>
                  </w:pPr>
                  <w:r>
                    <w:rPr>
                      <w:rFonts w:hint="eastAsia"/>
                      <w:color w:val="auto"/>
                      <w:highlight w:val="none"/>
                      <w:lang w:val="en-US" w:eastAsia="zh-CN"/>
                    </w:rPr>
                    <w:t>本项目情况</w:t>
                  </w:r>
                </w:p>
              </w:tc>
              <w:tc>
                <w:tcPr>
                  <w:tcW w:w="1031" w:type="dxa"/>
                  <w:tcBorders>
                    <w:tl2br w:val="nil"/>
                    <w:tr2bl w:val="nil"/>
                  </w:tcBorders>
                  <w:noWrap w:val="0"/>
                  <w:vAlign w:val="center"/>
                </w:tcPr>
                <w:p w14:paraId="7EE3C7CA">
                  <w:pPr>
                    <w:pStyle w:val="33"/>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color w:val="auto"/>
                      <w:highlight w:val="none"/>
                      <w:lang w:val="en-US" w:eastAsia="zh-CN"/>
                    </w:rPr>
                  </w:pPr>
                  <w:r>
                    <w:rPr>
                      <w:rFonts w:hint="default" w:ascii="Times New Roman" w:hAnsi="Times New Roman" w:eastAsia="宋体" w:cs="Times New Roman"/>
                      <w:b w:val="0"/>
                      <w:bCs w:val="0"/>
                      <w:color w:val="auto"/>
                      <w:sz w:val="21"/>
                      <w:szCs w:val="21"/>
                      <w:lang w:val="en-US" w:eastAsia="zh-CN" w:bidi="ar"/>
                    </w:rPr>
                    <w:t>符合</w:t>
                  </w:r>
                  <w:r>
                    <w:rPr>
                      <w:rFonts w:hint="default" w:ascii="Times New Roman" w:hAnsi="Times New Roman" w:eastAsia="宋体" w:cs="Times New Roman"/>
                      <w:color w:val="auto"/>
                      <w:sz w:val="21"/>
                      <w:szCs w:val="21"/>
                      <w:highlight w:val="none"/>
                      <w:vertAlign w:val="baseline"/>
                      <w:lang w:val="en-US" w:eastAsia="zh-CN"/>
                    </w:rPr>
                    <w:t>性</w:t>
                  </w:r>
                </w:p>
              </w:tc>
            </w:tr>
            <w:tr w14:paraId="63E9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5" w:type="dxa"/>
                  <w:tcBorders>
                    <w:tl2br w:val="nil"/>
                    <w:tr2bl w:val="nil"/>
                  </w:tcBorders>
                  <w:noWrap w:val="0"/>
                  <w:vAlign w:val="center"/>
                </w:tcPr>
                <w:p w14:paraId="06B1138D">
                  <w:pPr>
                    <w:pStyle w:val="33"/>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color w:val="auto"/>
                      <w:highlight w:val="none"/>
                      <w:lang w:val="en-US" w:eastAsia="zh-CN"/>
                    </w:rPr>
                  </w:pPr>
                  <w:r>
                    <w:rPr>
                      <w:rFonts w:hint="eastAsia"/>
                      <w:color w:val="auto"/>
                      <w:highlight w:val="none"/>
                      <w:lang w:val="en-US" w:eastAsia="zh-CN"/>
                    </w:rPr>
                    <w:t>第十三条</w:t>
                  </w:r>
                </w:p>
              </w:tc>
              <w:tc>
                <w:tcPr>
                  <w:tcW w:w="4125" w:type="dxa"/>
                  <w:tcBorders>
                    <w:tl2br w:val="nil"/>
                    <w:tr2bl w:val="nil"/>
                  </w:tcBorders>
                  <w:noWrap w:val="0"/>
                  <w:vAlign w:val="center"/>
                </w:tcPr>
                <w:p w14:paraId="5758DD46">
                  <w:pPr>
                    <w:pStyle w:val="33"/>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cs="宋体"/>
                      <w:b w:val="0"/>
                      <w:bCs w:val="0"/>
                      <w:color w:val="auto"/>
                      <w:sz w:val="21"/>
                      <w:szCs w:val="21"/>
                      <w:highlight w:val="none"/>
                      <w:shd w:val="clear" w:color="auto" w:fill="auto"/>
                      <w:lang w:eastAsia="zh-CN"/>
                    </w:rPr>
                  </w:pPr>
                  <w:r>
                    <w:rPr>
                      <w:rFonts w:hint="eastAsia" w:ascii="宋体" w:hAnsi="宋体" w:cs="宋体"/>
                      <w:b w:val="0"/>
                      <w:bCs w:val="0"/>
                      <w:color w:val="auto"/>
                      <w:sz w:val="21"/>
                      <w:szCs w:val="21"/>
                      <w:highlight w:val="none"/>
                      <w:shd w:val="clear" w:color="auto" w:fill="auto"/>
                      <w:lang w:eastAsia="zh-CN"/>
                    </w:rPr>
                    <w:t>禁止在淮河流域新建化学制浆造纸企业和印染、制革、化工、电镀、酿造等污染严重的小型企业。严格限制在淮河流域新建印染、制革、化工、电镀、酿造等大中型项目或者其他污染严重的项目；建设该类项目的，应当事前征得省人民政府生态环境行政主管部门的同意，并按照规定办理有关手续。</w:t>
                  </w:r>
                </w:p>
              </w:tc>
              <w:tc>
                <w:tcPr>
                  <w:tcW w:w="2810" w:type="dxa"/>
                  <w:tcBorders>
                    <w:tl2br w:val="nil"/>
                    <w:tr2bl w:val="nil"/>
                  </w:tcBorders>
                  <w:noWrap w:val="0"/>
                  <w:vAlign w:val="center"/>
                </w:tcPr>
                <w:p w14:paraId="47E4CFF5">
                  <w:pPr>
                    <w:pStyle w:val="33"/>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color w:val="auto"/>
                      <w:highlight w:val="none"/>
                      <w:lang w:val="en-US" w:eastAsia="zh-CN"/>
                    </w:rPr>
                  </w:pPr>
                  <w:r>
                    <w:rPr>
                      <w:rFonts w:hint="eastAsia" w:cs="Times New Roman"/>
                      <w:color w:val="auto"/>
                      <w:sz w:val="21"/>
                      <w:szCs w:val="21"/>
                      <w:vertAlign w:val="baseline"/>
                      <w:lang w:val="en-US" w:eastAsia="zh-CN"/>
                    </w:rPr>
                    <w:t>本项目为</w:t>
                  </w:r>
                  <w:r>
                    <w:rPr>
                      <w:rFonts w:hint="default" w:ascii="Times New Roman" w:hAnsi="Times New Roman" w:eastAsia="宋体" w:cs="Times New Roman"/>
                      <w:color w:val="auto"/>
                      <w:sz w:val="21"/>
                      <w:szCs w:val="21"/>
                    </w:rPr>
                    <w:t>本项目为</w:t>
                  </w:r>
                  <w:r>
                    <w:rPr>
                      <w:rFonts w:hint="default" w:ascii="Times New Roman" w:hAnsi="Times New Roman" w:eastAsia="宋体" w:cs="Times New Roman"/>
                      <w:color w:val="auto"/>
                      <w:sz w:val="21"/>
                      <w:szCs w:val="21"/>
                      <w:lang w:val="en-US" w:eastAsia="zh-CN"/>
                    </w:rPr>
                    <w:t>C3575 渔业机械制造，不属于化学制浆造纸企业和印染、制革、化工、电镀、酿造等企业，不属于污染严重的项目。</w:t>
                  </w:r>
                </w:p>
              </w:tc>
              <w:tc>
                <w:tcPr>
                  <w:tcW w:w="1031" w:type="dxa"/>
                  <w:tcBorders>
                    <w:tl2br w:val="nil"/>
                    <w:tr2bl w:val="nil"/>
                  </w:tcBorders>
                  <w:noWrap w:val="0"/>
                  <w:vAlign w:val="center"/>
                </w:tcPr>
                <w:p w14:paraId="2E0ACF91">
                  <w:pPr>
                    <w:pStyle w:val="33"/>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lang w:val="en-US" w:eastAsia="zh-CN" w:bidi="ar"/>
                    </w:rPr>
                  </w:pPr>
                  <w:r>
                    <w:rPr>
                      <w:rFonts w:hint="default" w:ascii="Times New Roman" w:hAnsi="Times New Roman" w:eastAsia="宋体" w:cs="Times New Roman"/>
                      <w:b w:val="0"/>
                      <w:bCs w:val="0"/>
                      <w:color w:val="auto"/>
                      <w:sz w:val="21"/>
                      <w:szCs w:val="21"/>
                      <w:lang w:val="en-US" w:eastAsia="zh-CN" w:bidi="ar"/>
                    </w:rPr>
                    <w:t>符合</w:t>
                  </w:r>
                </w:p>
              </w:tc>
            </w:tr>
            <w:tr w14:paraId="4EE1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5" w:type="dxa"/>
                  <w:vMerge w:val="restart"/>
                  <w:tcBorders>
                    <w:tl2br w:val="nil"/>
                    <w:tr2bl w:val="nil"/>
                  </w:tcBorders>
                  <w:noWrap w:val="0"/>
                  <w:vAlign w:val="center"/>
                </w:tcPr>
                <w:p w14:paraId="09067037">
                  <w:pPr>
                    <w:pStyle w:val="33"/>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color w:val="auto"/>
                      <w:highlight w:val="none"/>
                      <w:lang w:val="en-US" w:eastAsia="zh-CN"/>
                    </w:rPr>
                  </w:pPr>
                  <w:r>
                    <w:rPr>
                      <w:rFonts w:hint="eastAsia"/>
                      <w:color w:val="auto"/>
                      <w:highlight w:val="none"/>
                      <w:lang w:val="en-US" w:eastAsia="zh-CN"/>
                    </w:rPr>
                    <w:t>第十四条</w:t>
                  </w:r>
                </w:p>
              </w:tc>
              <w:tc>
                <w:tcPr>
                  <w:tcW w:w="4125" w:type="dxa"/>
                  <w:tcBorders>
                    <w:tl2br w:val="nil"/>
                    <w:tr2bl w:val="nil"/>
                  </w:tcBorders>
                  <w:noWrap w:val="0"/>
                  <w:vAlign w:val="center"/>
                </w:tcPr>
                <w:p w14:paraId="11CF2607">
                  <w:pPr>
                    <w:pStyle w:val="33"/>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cs="宋体"/>
                      <w:b w:val="0"/>
                      <w:bCs w:val="0"/>
                      <w:color w:val="auto"/>
                      <w:sz w:val="21"/>
                      <w:szCs w:val="21"/>
                      <w:highlight w:val="none"/>
                      <w:shd w:val="clear" w:color="auto" w:fill="auto"/>
                      <w:lang w:eastAsia="zh-CN"/>
                    </w:rPr>
                  </w:pPr>
                  <w:r>
                    <w:rPr>
                      <w:rFonts w:hint="eastAsia" w:ascii="宋体" w:hAnsi="宋体" w:cs="宋体"/>
                      <w:b w:val="0"/>
                      <w:bCs w:val="0"/>
                      <w:color w:val="auto"/>
                      <w:sz w:val="21"/>
                      <w:szCs w:val="21"/>
                      <w:highlight w:val="none"/>
                      <w:shd w:val="clear" w:color="auto" w:fill="auto"/>
                      <w:lang w:eastAsia="zh-CN"/>
                    </w:rPr>
                    <w:t>新建、改建、扩建直接或者间接向水体排放污染物的建设项目和其他水上设施，应当依法进行环境影响评价。建设项目的水污染防治设施，应当符合经批准或者备案的环境影响评价文件的要求，并与主体工程同时设计、同时施工、同时投入使用。</w:t>
                  </w:r>
                </w:p>
              </w:tc>
              <w:tc>
                <w:tcPr>
                  <w:tcW w:w="2810" w:type="dxa"/>
                  <w:tcBorders>
                    <w:tl2br w:val="nil"/>
                    <w:tr2bl w:val="nil"/>
                  </w:tcBorders>
                  <w:noWrap w:val="0"/>
                  <w:vAlign w:val="center"/>
                </w:tcPr>
                <w:p w14:paraId="3DD20767">
                  <w:pPr>
                    <w:pStyle w:val="33"/>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color w:val="auto"/>
                      <w:highlight w:val="none"/>
                      <w:lang w:val="en-US" w:eastAsia="zh-CN"/>
                    </w:rPr>
                  </w:pPr>
                  <w:r>
                    <w:rPr>
                      <w:rFonts w:hint="eastAsia"/>
                      <w:color w:val="auto"/>
                      <w:highlight w:val="none"/>
                      <w:lang w:val="en-US" w:eastAsia="zh-CN"/>
                    </w:rPr>
                    <w:t>本项目依法履行环评手续。本项目严格按照要求建设“三废”治理设施，并与主体工程同时设计、同时施工、同时投入使用。</w:t>
                  </w:r>
                </w:p>
              </w:tc>
              <w:tc>
                <w:tcPr>
                  <w:tcW w:w="1031" w:type="dxa"/>
                  <w:tcBorders>
                    <w:tl2br w:val="nil"/>
                    <w:tr2bl w:val="nil"/>
                  </w:tcBorders>
                  <w:noWrap w:val="0"/>
                  <w:vAlign w:val="center"/>
                </w:tcPr>
                <w:p w14:paraId="0C96B340">
                  <w:pPr>
                    <w:pStyle w:val="33"/>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lang w:val="en-US" w:eastAsia="zh-CN" w:bidi="ar"/>
                    </w:rPr>
                  </w:pPr>
                  <w:r>
                    <w:rPr>
                      <w:rFonts w:hint="default" w:ascii="Times New Roman" w:hAnsi="Times New Roman" w:eastAsia="宋体" w:cs="Times New Roman"/>
                      <w:b w:val="0"/>
                      <w:bCs w:val="0"/>
                      <w:color w:val="auto"/>
                      <w:sz w:val="21"/>
                      <w:szCs w:val="21"/>
                      <w:lang w:val="en-US" w:eastAsia="zh-CN" w:bidi="ar"/>
                    </w:rPr>
                    <w:t>符合</w:t>
                  </w:r>
                </w:p>
              </w:tc>
            </w:tr>
            <w:tr w14:paraId="1D86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5" w:type="dxa"/>
                  <w:vMerge w:val="continue"/>
                  <w:tcBorders>
                    <w:tl2br w:val="nil"/>
                    <w:tr2bl w:val="nil"/>
                  </w:tcBorders>
                  <w:noWrap w:val="0"/>
                  <w:vAlign w:val="center"/>
                </w:tcPr>
                <w:p w14:paraId="1D1E15CD">
                  <w:pPr>
                    <w:pStyle w:val="33"/>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color w:val="auto"/>
                      <w:highlight w:val="none"/>
                      <w:lang w:val="en-US" w:eastAsia="zh-CN"/>
                    </w:rPr>
                  </w:pPr>
                </w:p>
              </w:tc>
              <w:tc>
                <w:tcPr>
                  <w:tcW w:w="4125" w:type="dxa"/>
                  <w:tcBorders>
                    <w:tl2br w:val="nil"/>
                    <w:tr2bl w:val="nil"/>
                  </w:tcBorders>
                  <w:noWrap w:val="0"/>
                  <w:vAlign w:val="center"/>
                </w:tcPr>
                <w:p w14:paraId="021D0235">
                  <w:pPr>
                    <w:pStyle w:val="33"/>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cs="宋体"/>
                      <w:b w:val="0"/>
                      <w:bCs w:val="0"/>
                      <w:color w:val="auto"/>
                      <w:sz w:val="21"/>
                      <w:szCs w:val="21"/>
                      <w:highlight w:val="none"/>
                      <w:shd w:val="clear" w:color="auto" w:fill="auto"/>
                      <w:lang w:eastAsia="zh-CN"/>
                    </w:rPr>
                  </w:pPr>
                  <w:r>
                    <w:rPr>
                      <w:rFonts w:hint="eastAsia" w:ascii="宋体" w:hAnsi="宋体" w:cs="宋体"/>
                      <w:b w:val="0"/>
                      <w:bCs w:val="0"/>
                      <w:color w:val="auto"/>
                      <w:sz w:val="21"/>
                      <w:szCs w:val="21"/>
                      <w:highlight w:val="none"/>
                      <w:shd w:val="clear" w:color="auto" w:fill="auto"/>
                      <w:lang w:eastAsia="zh-CN"/>
                    </w:rPr>
                    <w:t>新建、扩建、改建项目，除执行前款规定外，还应当遵守下列规定：（一）新建项目的选址应符合城市总体规划，避开饮用水水源地和对环境有特殊要求的功能区；（二）采用资源利用率高、污染物排放量少的先进设备和先进工艺；（三）改建、拟建项目和技改项目应当把水污染治理纳入项目内容。工程配套建设的水污染防治设施竣工后，建设单位应当按照国务院生态环境行政主管部门规定的标准和程序进行验收。验收合格后，方可投入使用；未经验收或者验收不合格的，不得投入生产或者使用。</w:t>
                  </w:r>
                </w:p>
              </w:tc>
              <w:tc>
                <w:tcPr>
                  <w:tcW w:w="2810" w:type="dxa"/>
                  <w:tcBorders>
                    <w:tl2br w:val="nil"/>
                    <w:tr2bl w:val="nil"/>
                  </w:tcBorders>
                  <w:noWrap w:val="0"/>
                  <w:vAlign w:val="center"/>
                </w:tcPr>
                <w:p w14:paraId="7DBAE1F0">
                  <w:pPr>
                    <w:pStyle w:val="33"/>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color w:val="auto"/>
                      <w:highlight w:val="none"/>
                      <w:lang w:val="en-US" w:eastAsia="zh-CN"/>
                    </w:rPr>
                  </w:pPr>
                  <w:r>
                    <w:rPr>
                      <w:rFonts w:hint="eastAsia"/>
                      <w:color w:val="auto"/>
                      <w:highlight w:val="none"/>
                      <w:lang w:val="en-US" w:eastAsia="zh-CN"/>
                    </w:rPr>
                    <w:t>本项目选址位于安徽省宿州市灵璧县尹集镇田路村，符合尹集镇新型乡村工业园，本项目不在饮用水水源地和对环境有特殊要求的功能区范围内。本项目采用较先进的技术及设备，清洁生产水平能达到国内先进水平。项目无生产废水排放，冷却水循环使用，不外排至环境水体中，只需定期补充损耗即可，生活污水经化粪池处理，定期清掏用作厂区周围农田施肥，不外排。</w:t>
                  </w:r>
                </w:p>
              </w:tc>
              <w:tc>
                <w:tcPr>
                  <w:tcW w:w="1031" w:type="dxa"/>
                  <w:tcBorders>
                    <w:tl2br w:val="nil"/>
                    <w:tr2bl w:val="nil"/>
                  </w:tcBorders>
                  <w:noWrap w:val="0"/>
                  <w:vAlign w:val="center"/>
                </w:tcPr>
                <w:p w14:paraId="0A2878FC">
                  <w:pPr>
                    <w:pStyle w:val="33"/>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lang w:val="en-US" w:eastAsia="zh-CN" w:bidi="ar"/>
                    </w:rPr>
                  </w:pPr>
                  <w:r>
                    <w:rPr>
                      <w:rFonts w:hint="default" w:ascii="Times New Roman" w:hAnsi="Times New Roman" w:eastAsia="宋体" w:cs="Times New Roman"/>
                      <w:b w:val="0"/>
                      <w:bCs w:val="0"/>
                      <w:color w:val="auto"/>
                      <w:sz w:val="21"/>
                      <w:szCs w:val="21"/>
                      <w:lang w:val="en-US" w:eastAsia="zh-CN" w:bidi="ar"/>
                    </w:rPr>
                    <w:t>符合</w:t>
                  </w:r>
                </w:p>
              </w:tc>
            </w:tr>
            <w:tr w14:paraId="6DE9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5" w:type="dxa"/>
                  <w:tcBorders>
                    <w:tl2br w:val="nil"/>
                    <w:tr2bl w:val="nil"/>
                  </w:tcBorders>
                  <w:noWrap w:val="0"/>
                  <w:vAlign w:val="center"/>
                </w:tcPr>
                <w:p w14:paraId="48C7CD13">
                  <w:pPr>
                    <w:pStyle w:val="33"/>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color w:val="auto"/>
                      <w:highlight w:val="none"/>
                      <w:lang w:val="en-US" w:eastAsia="zh-CN"/>
                    </w:rPr>
                  </w:pPr>
                  <w:r>
                    <w:rPr>
                      <w:rFonts w:hint="eastAsia"/>
                      <w:color w:val="auto"/>
                      <w:highlight w:val="none"/>
                      <w:lang w:val="en-US" w:eastAsia="zh-CN"/>
                    </w:rPr>
                    <w:t>第十五条</w:t>
                  </w:r>
                </w:p>
              </w:tc>
              <w:tc>
                <w:tcPr>
                  <w:tcW w:w="4125" w:type="dxa"/>
                  <w:tcBorders>
                    <w:tl2br w:val="nil"/>
                    <w:tr2bl w:val="nil"/>
                  </w:tcBorders>
                  <w:noWrap w:val="0"/>
                  <w:vAlign w:val="center"/>
                </w:tcPr>
                <w:p w14:paraId="7C95748E">
                  <w:pPr>
                    <w:pStyle w:val="33"/>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cs="宋体"/>
                      <w:b w:val="0"/>
                      <w:bCs w:val="0"/>
                      <w:color w:val="auto"/>
                      <w:sz w:val="21"/>
                      <w:szCs w:val="21"/>
                      <w:highlight w:val="none"/>
                      <w:shd w:val="clear" w:color="auto" w:fill="auto"/>
                      <w:lang w:eastAsia="zh-CN"/>
                    </w:rPr>
                  </w:pPr>
                  <w:r>
                    <w:rPr>
                      <w:rFonts w:hint="eastAsia" w:ascii="宋体" w:hAnsi="宋体" w:cs="宋体"/>
                      <w:b w:val="0"/>
                      <w:bCs w:val="0"/>
                      <w:color w:val="auto"/>
                      <w:sz w:val="21"/>
                      <w:szCs w:val="21"/>
                      <w:highlight w:val="none"/>
                      <w:shd w:val="clear" w:color="auto" w:fill="auto"/>
                      <w:lang w:eastAsia="zh-CN"/>
                    </w:rPr>
                    <w:t>所有排污单位的污水治理设施，应当确保正常运转，达标排放。</w:t>
                  </w:r>
                </w:p>
              </w:tc>
              <w:tc>
                <w:tcPr>
                  <w:tcW w:w="2810" w:type="dxa"/>
                  <w:tcBorders>
                    <w:tl2br w:val="nil"/>
                    <w:tr2bl w:val="nil"/>
                  </w:tcBorders>
                  <w:noWrap w:val="0"/>
                  <w:vAlign w:val="center"/>
                </w:tcPr>
                <w:p w14:paraId="242DF995">
                  <w:pPr>
                    <w:pStyle w:val="33"/>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color w:val="auto"/>
                      <w:highlight w:val="none"/>
                      <w:lang w:val="en-US" w:eastAsia="zh-CN"/>
                    </w:rPr>
                  </w:pPr>
                  <w:r>
                    <w:rPr>
                      <w:rFonts w:hint="eastAsia"/>
                      <w:color w:val="auto"/>
                      <w:highlight w:val="none"/>
                      <w:lang w:val="en-US" w:eastAsia="zh-CN"/>
                    </w:rPr>
                    <w:t>项目无生产废水排放，冷却水循环使用，不外排至环境水体中，只需定期补充损耗即可，生活污水经化粪池处理，定期清掏用作厂区周围农田施肥，不外排。</w:t>
                  </w:r>
                </w:p>
              </w:tc>
              <w:tc>
                <w:tcPr>
                  <w:tcW w:w="1031" w:type="dxa"/>
                  <w:tcBorders>
                    <w:tl2br w:val="nil"/>
                    <w:tr2bl w:val="nil"/>
                  </w:tcBorders>
                  <w:noWrap w:val="0"/>
                  <w:vAlign w:val="center"/>
                </w:tcPr>
                <w:p w14:paraId="7B465402">
                  <w:pPr>
                    <w:pStyle w:val="33"/>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lang w:val="en-US" w:eastAsia="zh-CN" w:bidi="ar"/>
                    </w:rPr>
                  </w:pPr>
                  <w:r>
                    <w:rPr>
                      <w:rFonts w:hint="default" w:ascii="Times New Roman" w:hAnsi="Times New Roman" w:eastAsia="宋体" w:cs="Times New Roman"/>
                      <w:b w:val="0"/>
                      <w:bCs w:val="0"/>
                      <w:color w:val="auto"/>
                      <w:sz w:val="21"/>
                      <w:szCs w:val="21"/>
                      <w:lang w:val="en-US" w:eastAsia="zh-CN" w:bidi="ar"/>
                    </w:rPr>
                    <w:t>符合</w:t>
                  </w:r>
                </w:p>
              </w:tc>
            </w:tr>
          </w:tbl>
          <w:p w14:paraId="1306590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cs="Times New Roman"/>
                <w:b w:val="0"/>
                <w:bCs w:val="0"/>
                <w:snapToGrid/>
                <w:color w:val="auto"/>
                <w:spacing w:val="0"/>
                <w:kern w:val="0"/>
                <w:position w:val="0"/>
                <w:sz w:val="24"/>
                <w:szCs w:val="24"/>
                <w:lang w:val="en-US" w:eastAsia="zh-CN"/>
              </w:rPr>
              <w:t>（</w:t>
            </w:r>
            <w:r>
              <w:rPr>
                <w:rFonts w:hint="eastAsia" w:ascii="Times New Roman" w:hAnsi="Times New Roman" w:cs="Times New Roman"/>
                <w:b w:val="0"/>
                <w:bCs w:val="0"/>
                <w:snapToGrid/>
                <w:color w:val="auto"/>
                <w:spacing w:val="0"/>
                <w:kern w:val="0"/>
                <w:position w:val="0"/>
                <w:sz w:val="24"/>
                <w:szCs w:val="24"/>
                <w:lang w:val="en-US" w:eastAsia="zh-CN"/>
              </w:rPr>
              <w:t>7</w:t>
            </w:r>
            <w:r>
              <w:rPr>
                <w:rFonts w:hint="default" w:ascii="Times New Roman" w:hAnsi="Times New Roman" w:cs="Times New Roman"/>
                <w:b w:val="0"/>
                <w:bCs w:val="0"/>
                <w:snapToGrid/>
                <w:color w:val="auto"/>
                <w:spacing w:val="0"/>
                <w:kern w:val="0"/>
                <w:position w:val="0"/>
                <w:sz w:val="24"/>
                <w:szCs w:val="24"/>
                <w:lang w:val="en-US" w:eastAsia="zh-CN"/>
              </w:rPr>
              <w:t>）</w:t>
            </w:r>
            <w:r>
              <w:rPr>
                <w:rFonts w:hint="default" w:ascii="Times New Roman" w:hAnsi="Times New Roman" w:eastAsia="宋体" w:cs="Times New Roman"/>
                <w:b w:val="0"/>
                <w:bCs w:val="0"/>
                <w:color w:val="auto"/>
                <w:sz w:val="24"/>
                <w:szCs w:val="24"/>
                <w:highlight w:val="none"/>
                <w:lang w:val="en-US" w:eastAsia="zh-CN"/>
              </w:rPr>
              <w:t>项目与</w: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安徽省人民政府关于印发安徽省空气质量持续改善行动方案的通知</w: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（皖政〔2024〕36号）相符性分析</w:t>
            </w:r>
          </w:p>
          <w:p w14:paraId="59B1D164">
            <w:pPr>
              <w:pStyle w:val="37"/>
              <w:keepNext w:val="0"/>
              <w:keepLines w:val="0"/>
              <w:pageBreakBefore w:val="0"/>
              <w:widowControl w:val="0"/>
              <w:kinsoku/>
              <w:wordWrap/>
              <w:overflowPunct/>
              <w:topLinePunct w:val="0"/>
              <w:autoSpaceDE/>
              <w:autoSpaceDN/>
              <w:bidi w:val="0"/>
              <w:snapToGrid w:val="0"/>
              <w:spacing w:line="360" w:lineRule="auto"/>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表1.</w:t>
            </w:r>
            <w:r>
              <w:rPr>
                <w:rFonts w:hint="eastAsia" w:cs="Times New Roman"/>
                <w:color w:val="auto"/>
                <w:sz w:val="24"/>
                <w:szCs w:val="24"/>
                <w:highlight w:val="none"/>
                <w:lang w:val="en-US" w:eastAsia="zh-CN"/>
              </w:rPr>
              <w:t xml:space="preserve">8 </w:t>
            </w:r>
            <w:r>
              <w:rPr>
                <w:rFonts w:hint="default" w:ascii="Times New Roman" w:hAnsi="Times New Roman" w:eastAsia="宋体" w:cs="Times New Roman"/>
                <w:color w:val="auto"/>
                <w:sz w:val="24"/>
                <w:szCs w:val="24"/>
                <w:highlight w:val="none"/>
                <w:lang w:val="en-US" w:eastAsia="zh-CN"/>
              </w:rPr>
              <w:t xml:space="preserve"> 与《安徽省淮河流域水污染防治条例》相符性分析</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4014"/>
              <w:gridCol w:w="2553"/>
              <w:gridCol w:w="952"/>
            </w:tblGrid>
            <w:tr w14:paraId="2E5BD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l2br w:val="nil"/>
                    <w:tr2bl w:val="nil"/>
                  </w:tcBorders>
                  <w:noWrap w:val="0"/>
                  <w:vAlign w:val="center"/>
                </w:tcPr>
                <w:p w14:paraId="285C6BA3">
                  <w:pPr>
                    <w:pStyle w:val="33"/>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color w:val="auto"/>
                      <w:highlight w:val="none"/>
                      <w:lang w:val="en-US" w:eastAsia="zh-CN"/>
                    </w:rPr>
                  </w:pPr>
                  <w:r>
                    <w:rPr>
                      <w:rFonts w:hint="eastAsia"/>
                      <w:color w:val="auto"/>
                      <w:highlight w:val="none"/>
                      <w:lang w:val="en-US" w:eastAsia="zh-CN"/>
                    </w:rPr>
                    <w:t>序号</w:t>
                  </w:r>
                </w:p>
              </w:tc>
              <w:tc>
                <w:tcPr>
                  <w:tcW w:w="4014" w:type="dxa"/>
                  <w:tcBorders>
                    <w:tl2br w:val="nil"/>
                    <w:tr2bl w:val="nil"/>
                  </w:tcBorders>
                  <w:noWrap w:val="0"/>
                  <w:vAlign w:val="center"/>
                </w:tcPr>
                <w:p w14:paraId="10334BDF">
                  <w:pPr>
                    <w:pStyle w:val="33"/>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color w:val="auto"/>
                      <w:highlight w:val="none"/>
                      <w:lang w:val="en-US" w:eastAsia="zh-CN"/>
                    </w:rPr>
                  </w:pPr>
                  <w:r>
                    <w:rPr>
                      <w:rFonts w:hint="eastAsia" w:ascii="宋体" w:hAnsi="宋体" w:cs="宋体"/>
                      <w:b w:val="0"/>
                      <w:bCs w:val="0"/>
                      <w:color w:val="auto"/>
                      <w:sz w:val="21"/>
                      <w:szCs w:val="21"/>
                      <w:highlight w:val="none"/>
                      <w:shd w:val="clear" w:color="auto" w:fill="auto"/>
                      <w:lang w:eastAsia="zh-CN"/>
                    </w:rPr>
                    <w:t>内容</w:t>
                  </w:r>
                </w:p>
              </w:tc>
              <w:tc>
                <w:tcPr>
                  <w:tcW w:w="2553" w:type="dxa"/>
                  <w:tcBorders>
                    <w:tl2br w:val="nil"/>
                    <w:tr2bl w:val="nil"/>
                  </w:tcBorders>
                  <w:noWrap w:val="0"/>
                  <w:vAlign w:val="center"/>
                </w:tcPr>
                <w:p w14:paraId="6DDBBCC5">
                  <w:pPr>
                    <w:pStyle w:val="33"/>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color w:val="auto"/>
                      <w:highlight w:val="none"/>
                      <w:lang w:val="en-US" w:eastAsia="zh-CN"/>
                    </w:rPr>
                  </w:pPr>
                  <w:r>
                    <w:rPr>
                      <w:rFonts w:hint="eastAsia"/>
                      <w:color w:val="auto"/>
                      <w:highlight w:val="none"/>
                      <w:lang w:val="en-US" w:eastAsia="zh-CN"/>
                    </w:rPr>
                    <w:t>本项目情况</w:t>
                  </w:r>
                </w:p>
              </w:tc>
              <w:tc>
                <w:tcPr>
                  <w:tcW w:w="952" w:type="dxa"/>
                  <w:tcBorders>
                    <w:tl2br w:val="nil"/>
                    <w:tr2bl w:val="nil"/>
                  </w:tcBorders>
                  <w:noWrap w:val="0"/>
                  <w:vAlign w:val="center"/>
                </w:tcPr>
                <w:p w14:paraId="3A58192B">
                  <w:pPr>
                    <w:pStyle w:val="33"/>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color w:val="auto"/>
                      <w:highlight w:val="none"/>
                      <w:lang w:val="en-US" w:eastAsia="zh-CN"/>
                    </w:rPr>
                  </w:pPr>
                  <w:r>
                    <w:rPr>
                      <w:rFonts w:hint="default" w:ascii="Times New Roman" w:hAnsi="Times New Roman" w:eastAsia="宋体" w:cs="Times New Roman"/>
                      <w:b w:val="0"/>
                      <w:bCs w:val="0"/>
                      <w:color w:val="auto"/>
                      <w:sz w:val="21"/>
                      <w:szCs w:val="21"/>
                      <w:lang w:val="en-US" w:eastAsia="zh-CN" w:bidi="ar"/>
                    </w:rPr>
                    <w:t>符合</w:t>
                  </w:r>
                  <w:r>
                    <w:rPr>
                      <w:rFonts w:hint="default" w:ascii="Times New Roman" w:hAnsi="Times New Roman" w:eastAsia="宋体" w:cs="Times New Roman"/>
                      <w:color w:val="auto"/>
                      <w:sz w:val="21"/>
                      <w:szCs w:val="21"/>
                      <w:highlight w:val="none"/>
                      <w:vertAlign w:val="baseline"/>
                      <w:lang w:val="en-US" w:eastAsia="zh-CN"/>
                    </w:rPr>
                    <w:t>性</w:t>
                  </w:r>
                </w:p>
              </w:tc>
            </w:tr>
            <w:tr w14:paraId="2F26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l2br w:val="nil"/>
                    <w:tr2bl w:val="nil"/>
                  </w:tcBorders>
                  <w:noWrap w:val="0"/>
                  <w:vAlign w:val="center"/>
                </w:tcPr>
                <w:p w14:paraId="78EFE136">
                  <w:pPr>
                    <w:pStyle w:val="33"/>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color w:val="auto"/>
                      <w:highlight w:val="none"/>
                      <w:lang w:val="en-US" w:eastAsia="zh-CN"/>
                    </w:rPr>
                  </w:pPr>
                  <w:r>
                    <w:rPr>
                      <w:rFonts w:hint="eastAsia"/>
                      <w:color w:val="auto"/>
                      <w:highlight w:val="none"/>
                      <w:lang w:val="en-US" w:eastAsia="zh-CN"/>
                    </w:rPr>
                    <w:t>1</w:t>
                  </w:r>
                </w:p>
              </w:tc>
              <w:tc>
                <w:tcPr>
                  <w:tcW w:w="4014" w:type="dxa"/>
                  <w:tcBorders>
                    <w:tl2br w:val="nil"/>
                    <w:tr2bl w:val="nil"/>
                  </w:tcBorders>
                  <w:noWrap w:val="0"/>
                  <w:vAlign w:val="center"/>
                </w:tcPr>
                <w:p w14:paraId="08A73DC4">
                  <w:pPr>
                    <w:pStyle w:val="33"/>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cs="宋体"/>
                      <w:b w:val="0"/>
                      <w:bCs w:val="0"/>
                      <w:color w:val="auto"/>
                      <w:sz w:val="21"/>
                      <w:szCs w:val="21"/>
                      <w:highlight w:val="none"/>
                      <w:shd w:val="clear" w:color="auto" w:fill="auto"/>
                      <w:lang w:eastAsia="zh-CN"/>
                    </w:rPr>
                  </w:pPr>
                  <w:r>
                    <w:rPr>
                      <w:rFonts w:hint="eastAsia" w:ascii="宋体" w:hAnsi="宋体" w:cs="宋体"/>
                      <w:b w:val="0"/>
                      <w:bCs w:val="0"/>
                      <w:color w:val="auto"/>
                      <w:sz w:val="21"/>
                      <w:szCs w:val="21"/>
                      <w:highlight w:val="none"/>
                      <w:shd w:val="clear" w:color="auto" w:fill="auto"/>
                      <w:lang w:eastAsia="zh-CN"/>
                    </w:rPr>
                    <w:t>坚决遏制高耗能、高排放、低水平项目盲目上马。新改扩建项目严格落实国家产业规划、产业政策、生态环境分区管控方案、规划环评、项目环评、节能审查、产能置换、重点污染物总量控制、污染物排放区域削减、碳排放达峰目标等相关要求，原则上采用清洁运输方式。实施“高污染、高耗能”项目部门联审，源头管控低水平项目上马。制定实施安徽省加强生态环境分区管控方案。严格落实产能置换要求，不以任何名义、任何方式核准、备案产能严重过剩行业新增产能项目，被置换产能及其配套设施关停后，新建项目方可投产。</w:t>
                  </w:r>
                </w:p>
              </w:tc>
              <w:tc>
                <w:tcPr>
                  <w:tcW w:w="2553" w:type="dxa"/>
                  <w:tcBorders>
                    <w:tl2br w:val="nil"/>
                    <w:tr2bl w:val="nil"/>
                  </w:tcBorders>
                  <w:noWrap w:val="0"/>
                  <w:vAlign w:val="center"/>
                </w:tcPr>
                <w:p w14:paraId="5E842934">
                  <w:pPr>
                    <w:pStyle w:val="33"/>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color w:val="auto"/>
                      <w:highlight w:val="none"/>
                      <w:lang w:val="en-US" w:eastAsia="zh-CN"/>
                    </w:rPr>
                  </w:pPr>
                  <w:r>
                    <w:rPr>
                      <w:rFonts w:hint="eastAsia" w:cs="Times New Roman"/>
                      <w:color w:val="auto"/>
                      <w:sz w:val="21"/>
                      <w:szCs w:val="21"/>
                      <w:vertAlign w:val="baseline"/>
                      <w:lang w:val="en-US" w:eastAsia="zh-CN"/>
                    </w:rPr>
                    <w:t>本项目为</w:t>
                  </w:r>
                  <w:r>
                    <w:rPr>
                      <w:rFonts w:hint="default" w:ascii="Times New Roman" w:hAnsi="Times New Roman" w:eastAsia="宋体" w:cs="Times New Roman"/>
                      <w:color w:val="auto"/>
                      <w:sz w:val="21"/>
                      <w:szCs w:val="21"/>
                    </w:rPr>
                    <w:t>本项目为</w:t>
                  </w:r>
                  <w:r>
                    <w:rPr>
                      <w:rFonts w:hint="default" w:ascii="Times New Roman" w:hAnsi="Times New Roman" w:eastAsia="宋体" w:cs="Times New Roman"/>
                      <w:color w:val="auto"/>
                      <w:sz w:val="21"/>
                      <w:szCs w:val="21"/>
                      <w:lang w:val="en-US" w:eastAsia="zh-CN"/>
                    </w:rPr>
                    <w:t>C3575 渔业机械制造，不属于</w:t>
                  </w:r>
                  <w:r>
                    <w:rPr>
                      <w:rFonts w:hint="eastAsia" w:ascii="宋体" w:hAnsi="宋体" w:cs="宋体"/>
                      <w:b w:val="0"/>
                      <w:bCs w:val="0"/>
                      <w:color w:val="auto"/>
                      <w:sz w:val="21"/>
                      <w:szCs w:val="21"/>
                      <w:highlight w:val="none"/>
                      <w:shd w:val="clear" w:color="auto" w:fill="auto"/>
                      <w:lang w:eastAsia="zh-CN"/>
                    </w:rPr>
                    <w:t>高耗能、高排放、低水平项目</w:t>
                  </w:r>
                  <w:r>
                    <w:rPr>
                      <w:rFonts w:hint="default" w:ascii="Times New Roman" w:hAnsi="Times New Roman" w:eastAsia="宋体" w:cs="Times New Roman"/>
                      <w:color w:val="auto"/>
                      <w:sz w:val="21"/>
                      <w:szCs w:val="21"/>
                      <w:lang w:val="en-US" w:eastAsia="zh-CN"/>
                    </w:rPr>
                    <w:t>，不属于污染严重的项目。</w:t>
                  </w:r>
                </w:p>
              </w:tc>
              <w:tc>
                <w:tcPr>
                  <w:tcW w:w="952" w:type="dxa"/>
                  <w:tcBorders>
                    <w:tl2br w:val="nil"/>
                    <w:tr2bl w:val="nil"/>
                  </w:tcBorders>
                  <w:noWrap w:val="0"/>
                  <w:vAlign w:val="center"/>
                </w:tcPr>
                <w:p w14:paraId="3A4AFD8A">
                  <w:pPr>
                    <w:pStyle w:val="33"/>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lang w:val="en-US" w:eastAsia="zh-CN" w:bidi="ar"/>
                    </w:rPr>
                  </w:pPr>
                  <w:r>
                    <w:rPr>
                      <w:rFonts w:hint="default" w:ascii="Times New Roman" w:hAnsi="Times New Roman" w:eastAsia="宋体" w:cs="Times New Roman"/>
                      <w:b w:val="0"/>
                      <w:bCs w:val="0"/>
                      <w:color w:val="auto"/>
                      <w:sz w:val="21"/>
                      <w:szCs w:val="21"/>
                      <w:lang w:val="en-US" w:eastAsia="zh-CN" w:bidi="ar"/>
                    </w:rPr>
                    <w:t>符合</w:t>
                  </w:r>
                </w:p>
              </w:tc>
            </w:tr>
            <w:tr w14:paraId="52CD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l2br w:val="nil"/>
                    <w:tr2bl w:val="nil"/>
                  </w:tcBorders>
                  <w:noWrap w:val="0"/>
                  <w:vAlign w:val="center"/>
                </w:tcPr>
                <w:p w14:paraId="5F4BB44A">
                  <w:pPr>
                    <w:pStyle w:val="33"/>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color w:val="auto"/>
                      <w:highlight w:val="none"/>
                      <w:lang w:val="en-US" w:eastAsia="zh-CN"/>
                    </w:rPr>
                  </w:pPr>
                  <w:r>
                    <w:rPr>
                      <w:rFonts w:hint="eastAsia"/>
                      <w:color w:val="auto"/>
                      <w:highlight w:val="none"/>
                      <w:lang w:val="en-US" w:eastAsia="zh-CN"/>
                    </w:rPr>
                    <w:t>2</w:t>
                  </w:r>
                </w:p>
              </w:tc>
              <w:tc>
                <w:tcPr>
                  <w:tcW w:w="4014" w:type="dxa"/>
                  <w:tcBorders>
                    <w:tl2br w:val="nil"/>
                    <w:tr2bl w:val="nil"/>
                  </w:tcBorders>
                  <w:noWrap w:val="0"/>
                  <w:vAlign w:val="center"/>
                </w:tcPr>
                <w:p w14:paraId="38736BFF">
                  <w:pPr>
                    <w:pStyle w:val="33"/>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cs="宋体"/>
                      <w:b w:val="0"/>
                      <w:bCs w:val="0"/>
                      <w:color w:val="auto"/>
                      <w:sz w:val="21"/>
                      <w:szCs w:val="21"/>
                      <w:highlight w:val="none"/>
                      <w:shd w:val="clear" w:color="auto" w:fill="auto"/>
                      <w:lang w:eastAsia="zh-CN"/>
                    </w:rPr>
                  </w:pPr>
                  <w:r>
                    <w:rPr>
                      <w:rFonts w:hint="eastAsia" w:ascii="宋体" w:hAnsi="宋体" w:cs="宋体"/>
                      <w:b w:val="0"/>
                      <w:bCs w:val="0"/>
                      <w:color w:val="auto"/>
                      <w:sz w:val="21"/>
                      <w:szCs w:val="21"/>
                      <w:highlight w:val="none"/>
                      <w:shd w:val="clear" w:color="auto" w:fill="auto"/>
                      <w:lang w:eastAsia="zh-CN"/>
                    </w:rPr>
                    <w:t>加</w:t>
                  </w:r>
                  <w:r>
                    <w:rPr>
                      <w:rFonts w:hint="default" w:ascii="Times New Roman" w:hAnsi="Times New Roman" w:cs="Times New Roman"/>
                      <w:b w:val="0"/>
                      <w:bCs w:val="0"/>
                      <w:color w:val="auto"/>
                      <w:sz w:val="21"/>
                      <w:szCs w:val="21"/>
                      <w:highlight w:val="none"/>
                      <w:shd w:val="clear" w:color="auto" w:fill="auto"/>
                      <w:lang w:eastAsia="zh-CN"/>
                    </w:rPr>
                    <w:t>强VOCs综合治理。鼓励储罐使用低泄漏的呼吸阀、紧急泄压阀。汽车罐车推广使用密封式快速接头。污水处理场所高浓度有机废气单独收集处理；含VOCs有机废水储罐、装置区集水井（池）有机废气密闭收集处理。石化、化工行业集中的城市和重点工业园区，2024年底前建立统一的泄漏检测与修复信息管理平台。企业开停工、检维修期间，及时收集处理退料、清洗、吹扫等作业产生的VOCs废气，不得将火炬燃烧装置作为日常大气污染处理设施</w:t>
                  </w:r>
                  <w:r>
                    <w:rPr>
                      <w:rFonts w:hint="eastAsia" w:ascii="宋体" w:hAnsi="宋体" w:cs="宋体"/>
                      <w:b w:val="0"/>
                      <w:bCs w:val="0"/>
                      <w:color w:val="auto"/>
                      <w:sz w:val="21"/>
                      <w:szCs w:val="21"/>
                      <w:highlight w:val="none"/>
                      <w:shd w:val="clear" w:color="auto" w:fill="auto"/>
                      <w:lang w:eastAsia="zh-CN"/>
                    </w:rPr>
                    <w:t>。</w:t>
                  </w:r>
                </w:p>
              </w:tc>
              <w:tc>
                <w:tcPr>
                  <w:tcW w:w="2553" w:type="dxa"/>
                  <w:tcBorders>
                    <w:tl2br w:val="nil"/>
                    <w:tr2bl w:val="nil"/>
                  </w:tcBorders>
                  <w:noWrap w:val="0"/>
                  <w:vAlign w:val="center"/>
                </w:tcPr>
                <w:p w14:paraId="4EFBB96D">
                  <w:pPr>
                    <w:pStyle w:val="33"/>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cs="Times New Roman"/>
                      <w:color w:val="auto"/>
                      <w:sz w:val="21"/>
                      <w:szCs w:val="21"/>
                      <w:vertAlign w:val="baseline"/>
                      <w:lang w:val="en-US" w:eastAsia="zh-CN"/>
                    </w:rPr>
                  </w:pPr>
                  <w:r>
                    <w:rPr>
                      <w:rFonts w:hint="eastAsia"/>
                      <w:color w:val="auto"/>
                      <w:sz w:val="21"/>
                      <w:szCs w:val="21"/>
                      <w:highlight w:val="none"/>
                      <w:vertAlign w:val="baseline"/>
                      <w:lang w:val="en-US" w:eastAsia="zh-CN"/>
                    </w:rPr>
                    <w:t>本项目为钨合金渔坠制造，</w:t>
                  </w:r>
                  <w:r>
                    <w:rPr>
                      <w:rFonts w:hint="eastAsia" w:ascii="Times New Roman" w:hAnsi="Times New Roman" w:eastAsia="宋体" w:cs="Times New Roman"/>
                      <w:color w:val="auto"/>
                      <w:sz w:val="21"/>
                      <w:szCs w:val="21"/>
                      <w:highlight w:val="none"/>
                      <w:vertAlign w:val="baseline"/>
                      <w:lang w:val="en-US" w:eastAsia="zh-CN"/>
                    </w:rPr>
                    <w:t>项目</w:t>
                  </w:r>
                  <w:r>
                    <w:rPr>
                      <w:rFonts w:hint="eastAsia" w:cs="Times New Roman"/>
                      <w:color w:val="auto"/>
                      <w:sz w:val="21"/>
                      <w:szCs w:val="21"/>
                      <w:highlight w:val="none"/>
                      <w:vertAlign w:val="baseline"/>
                      <w:lang w:val="en-US" w:eastAsia="zh-CN"/>
                    </w:rPr>
                    <w:t>加热废气“集气罩+二级活性炭吸附装置+15m高排气筒（DA002）”处理后排放；1#脱胶、注塑废气和固化废气采用“集气罩+二级活性炭吸附装置+15m高排气筒（DA003）”处理后排放；2#脱胶、注塑废气采用“集气罩+二级活性炭吸附装置+15m高排气筒（DA004）”处理后排放。</w:t>
                  </w:r>
                </w:p>
              </w:tc>
              <w:tc>
                <w:tcPr>
                  <w:tcW w:w="952" w:type="dxa"/>
                  <w:tcBorders>
                    <w:tl2br w:val="nil"/>
                    <w:tr2bl w:val="nil"/>
                  </w:tcBorders>
                  <w:noWrap w:val="0"/>
                  <w:vAlign w:val="center"/>
                </w:tcPr>
                <w:p w14:paraId="70DB8E91">
                  <w:pPr>
                    <w:pStyle w:val="33"/>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lang w:val="en-US" w:eastAsia="zh-CN" w:bidi="ar"/>
                    </w:rPr>
                  </w:pPr>
                  <w:r>
                    <w:rPr>
                      <w:rFonts w:hint="default" w:ascii="Times New Roman" w:hAnsi="Times New Roman" w:eastAsia="宋体" w:cs="Times New Roman"/>
                      <w:b w:val="0"/>
                      <w:bCs w:val="0"/>
                      <w:color w:val="auto"/>
                      <w:sz w:val="21"/>
                      <w:szCs w:val="21"/>
                      <w:lang w:val="en-US" w:eastAsia="zh-CN" w:bidi="ar"/>
                    </w:rPr>
                    <w:t>符合</w:t>
                  </w:r>
                </w:p>
              </w:tc>
            </w:tr>
          </w:tbl>
          <w:p w14:paraId="51A6791C">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textAlignment w:val="auto"/>
              <w:rPr>
                <w:rFonts w:hint="eastAsia" w:cs="Times New Roman"/>
                <w:b/>
                <w:bCs/>
                <w:i w:val="0"/>
                <w:iCs w:val="0"/>
                <w:snapToGrid/>
                <w:color w:val="auto"/>
                <w:spacing w:val="0"/>
                <w:kern w:val="0"/>
                <w:position w:val="0"/>
                <w:sz w:val="24"/>
                <w:szCs w:val="24"/>
                <w:lang w:val="en-US" w:eastAsia="zh-CN"/>
              </w:rPr>
            </w:pPr>
            <w:r>
              <w:rPr>
                <w:rFonts w:hint="eastAsia" w:cs="Times New Roman"/>
                <w:b/>
                <w:bCs/>
                <w:i w:val="0"/>
                <w:iCs w:val="0"/>
                <w:snapToGrid/>
                <w:color w:val="auto"/>
                <w:spacing w:val="0"/>
                <w:kern w:val="0"/>
                <w:position w:val="0"/>
                <w:sz w:val="24"/>
                <w:szCs w:val="24"/>
                <w:lang w:val="en-US" w:eastAsia="zh-CN"/>
              </w:rPr>
              <w:t>4、环境相容性分析</w:t>
            </w:r>
          </w:p>
          <w:p w14:paraId="4CE6055F">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336" w:lineRule="auto"/>
              <w:ind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sz w:val="24"/>
                <w:szCs w:val="24"/>
                <w:highlight w:val="none"/>
                <w:lang w:eastAsia="zh-CN"/>
              </w:rPr>
              <w:t>建设地点位于</w:t>
            </w:r>
            <w:r>
              <w:rPr>
                <w:rFonts w:hint="eastAsia" w:cs="Times New Roman"/>
                <w:color w:val="auto"/>
                <w:sz w:val="24"/>
                <w:szCs w:val="24"/>
                <w:highlight w:val="none"/>
                <w:lang w:eastAsia="zh-CN"/>
              </w:rPr>
              <w:t>安徽省宿州市灵璧县尹集镇田路村</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厂区</w:t>
            </w:r>
            <w:r>
              <w:rPr>
                <w:rFonts w:hint="default" w:ascii="Times New Roman" w:hAnsi="Times New Roman" w:eastAsia="宋体" w:cs="Times New Roman"/>
                <w:color w:val="auto"/>
                <w:sz w:val="24"/>
                <w:szCs w:val="24"/>
                <w:highlight w:val="none"/>
                <w:lang w:val="en-US" w:eastAsia="zh-CN"/>
              </w:rPr>
              <w:t>北</w:t>
            </w:r>
            <w:r>
              <w:rPr>
                <w:rFonts w:hint="eastAsia" w:cs="Times New Roman"/>
                <w:color w:val="auto"/>
                <w:sz w:val="24"/>
                <w:szCs w:val="24"/>
                <w:highlight w:val="none"/>
                <w:lang w:val="en-US" w:eastAsia="zh-CN"/>
              </w:rPr>
              <w:t>侧为灵璧县振宇塑业有限公司</w:t>
            </w:r>
            <w:r>
              <w:rPr>
                <w:rFonts w:hint="default" w:ascii="Times New Roman" w:hAnsi="Times New Roman" w:eastAsia="宋体" w:cs="Times New Roman"/>
                <w:color w:val="auto"/>
                <w:sz w:val="24"/>
                <w:szCs w:val="24"/>
                <w:highlight w:val="none"/>
                <w:lang w:val="en-US" w:eastAsia="zh-CN"/>
              </w:rPr>
              <w:t>，东</w:t>
            </w:r>
            <w:r>
              <w:rPr>
                <w:rFonts w:hint="eastAsia" w:cs="Times New Roman"/>
                <w:color w:val="auto"/>
                <w:sz w:val="24"/>
                <w:szCs w:val="24"/>
                <w:highlight w:val="none"/>
                <w:lang w:val="en-US" w:eastAsia="zh-CN"/>
              </w:rPr>
              <w:t>侧、</w:t>
            </w:r>
            <w:r>
              <w:rPr>
                <w:rFonts w:hint="default" w:ascii="Times New Roman" w:hAnsi="Times New Roman" w:eastAsia="宋体" w:cs="Times New Roman"/>
                <w:color w:val="auto"/>
                <w:sz w:val="24"/>
                <w:szCs w:val="24"/>
                <w:highlight w:val="none"/>
                <w:lang w:val="en-US" w:eastAsia="zh-CN"/>
              </w:rPr>
              <w:t>南</w:t>
            </w:r>
            <w:r>
              <w:rPr>
                <w:rFonts w:hint="eastAsia" w:cs="Times New Roman"/>
                <w:color w:val="auto"/>
                <w:sz w:val="24"/>
                <w:szCs w:val="24"/>
                <w:highlight w:val="none"/>
                <w:lang w:val="en-US" w:eastAsia="zh-CN"/>
              </w:rPr>
              <w:t>侧、</w:t>
            </w:r>
            <w:r>
              <w:rPr>
                <w:rFonts w:hint="default" w:ascii="Times New Roman" w:hAnsi="Times New Roman" w:eastAsia="宋体" w:cs="Times New Roman"/>
                <w:color w:val="auto"/>
                <w:sz w:val="24"/>
                <w:szCs w:val="24"/>
                <w:highlight w:val="none"/>
                <w:lang w:val="en-US" w:eastAsia="zh-CN"/>
              </w:rPr>
              <w:t>西</w:t>
            </w:r>
            <w:r>
              <w:rPr>
                <w:rFonts w:hint="eastAsia" w:cs="Times New Roman"/>
                <w:color w:val="auto"/>
                <w:sz w:val="24"/>
                <w:szCs w:val="24"/>
                <w:highlight w:val="none"/>
                <w:lang w:val="en-US" w:eastAsia="zh-CN"/>
              </w:rPr>
              <w:t>侧均为农田</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对项目产生影响较小。</w:t>
            </w:r>
          </w:p>
          <w:p w14:paraId="154AB70D">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480" w:firstLineChars="200"/>
              <w:textAlignment w:val="auto"/>
              <w:rPr>
                <w:rFonts w:hint="eastAsia" w:eastAsia="宋体"/>
                <w:color w:val="auto"/>
                <w:sz w:val="24"/>
                <w:highlight w:val="none"/>
                <w:lang w:val="en-US" w:eastAsia="zh-CN"/>
              </w:rPr>
            </w:pPr>
            <w:r>
              <w:rPr>
                <w:rFonts w:hint="default" w:ascii="Times New Roman" w:hAnsi="Times New Roman" w:eastAsia="宋体" w:cs="Times New Roman"/>
                <w:color w:val="auto"/>
                <w:sz w:val="24"/>
                <w:szCs w:val="24"/>
                <w:highlight w:val="none"/>
              </w:rPr>
              <w:t>本项目属于</w:t>
            </w:r>
            <w:r>
              <w:rPr>
                <w:rFonts w:hint="eastAsia" w:cs="Times New Roman"/>
                <w:color w:val="auto"/>
                <w:sz w:val="24"/>
                <w:szCs w:val="24"/>
                <w:highlight w:val="none"/>
                <w:lang w:val="en-US" w:eastAsia="zh-CN"/>
              </w:rPr>
              <w:t>钨合金渔坠制造</w:t>
            </w:r>
            <w:r>
              <w:rPr>
                <w:rFonts w:hint="default" w:ascii="Times New Roman" w:hAnsi="Times New Roman" w:eastAsia="宋体" w:cs="Times New Roman"/>
                <w:color w:val="auto"/>
                <w:sz w:val="24"/>
                <w:szCs w:val="24"/>
                <w:highlight w:val="none"/>
              </w:rPr>
              <w:t>，</w:t>
            </w:r>
            <w:r>
              <w:rPr>
                <w:color w:val="auto"/>
                <w:sz w:val="24"/>
                <w:highlight w:val="none"/>
              </w:rPr>
              <w:t>项目运营期产生的各类污染物</w:t>
            </w:r>
            <w:r>
              <w:rPr>
                <w:color w:val="auto"/>
                <w:sz w:val="24"/>
                <w:highlight w:val="none"/>
                <w:lang w:val="zh-CN"/>
              </w:rPr>
              <w:t>在采取相应处理处置措施后，均可做到综合利用或无害化处置，不会对区域环境造成不利影响。</w:t>
            </w:r>
            <w:r>
              <w:rPr>
                <w:color w:val="auto"/>
                <w:sz w:val="24"/>
                <w:highlight w:val="none"/>
              </w:rPr>
              <w:t>因此，本项目建设对周边环境影响较小。</w:t>
            </w:r>
          </w:p>
          <w:p w14:paraId="655A5155">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480" w:firstLineChars="200"/>
              <w:textAlignment w:val="auto"/>
              <w:rPr>
                <w:rFonts w:hint="eastAsia"/>
                <w:color w:val="auto"/>
                <w:sz w:val="24"/>
                <w:szCs w:val="24"/>
                <w:highlight w:val="none"/>
              </w:rPr>
            </w:pPr>
            <w:r>
              <w:rPr>
                <w:rFonts w:hint="eastAsia"/>
                <w:color w:val="auto"/>
                <w:sz w:val="24"/>
                <w:szCs w:val="24"/>
                <w:highlight w:val="none"/>
              </w:rPr>
              <w:t>综上所述，本项目与周边环境相容。</w:t>
            </w:r>
          </w:p>
          <w:p w14:paraId="64F7F0A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cs="宋体"/>
                <w:snapToGrid/>
                <w:color w:val="auto"/>
                <w:spacing w:val="0"/>
                <w:kern w:val="0"/>
                <w:position w:val="0"/>
                <w:sz w:val="24"/>
                <w:szCs w:val="24"/>
                <w:lang w:val="en-US" w:eastAsia="zh-CN"/>
              </w:rPr>
            </w:pPr>
          </w:p>
          <w:p w14:paraId="5BAF1E0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cs="宋体"/>
                <w:snapToGrid/>
                <w:color w:val="auto"/>
                <w:spacing w:val="0"/>
                <w:kern w:val="0"/>
                <w:position w:val="0"/>
                <w:sz w:val="24"/>
                <w:szCs w:val="24"/>
                <w:lang w:val="en-US" w:eastAsia="zh-CN"/>
              </w:rPr>
            </w:pPr>
          </w:p>
          <w:p w14:paraId="3830EFF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cs="宋体"/>
                <w:snapToGrid/>
                <w:color w:val="auto"/>
                <w:spacing w:val="0"/>
                <w:kern w:val="0"/>
                <w:position w:val="0"/>
                <w:sz w:val="24"/>
                <w:szCs w:val="24"/>
                <w:lang w:val="en-US" w:eastAsia="zh-CN"/>
              </w:rPr>
            </w:pPr>
          </w:p>
          <w:p w14:paraId="0D87B36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cs="宋体"/>
                <w:snapToGrid/>
                <w:color w:val="auto"/>
                <w:spacing w:val="0"/>
                <w:kern w:val="0"/>
                <w:position w:val="0"/>
                <w:sz w:val="24"/>
                <w:szCs w:val="24"/>
                <w:lang w:val="en-US" w:eastAsia="zh-CN"/>
              </w:rPr>
            </w:pPr>
          </w:p>
          <w:p w14:paraId="2334306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cs="宋体"/>
                <w:snapToGrid/>
                <w:color w:val="auto"/>
                <w:spacing w:val="0"/>
                <w:kern w:val="0"/>
                <w:position w:val="0"/>
                <w:sz w:val="24"/>
                <w:szCs w:val="24"/>
                <w:lang w:val="en-US" w:eastAsia="zh-CN"/>
              </w:rPr>
            </w:pPr>
          </w:p>
          <w:p w14:paraId="0690DDD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cs="宋体"/>
                <w:snapToGrid/>
                <w:color w:val="auto"/>
                <w:spacing w:val="0"/>
                <w:kern w:val="0"/>
                <w:position w:val="0"/>
                <w:sz w:val="24"/>
                <w:szCs w:val="24"/>
                <w:lang w:val="en-US" w:eastAsia="zh-CN"/>
              </w:rPr>
            </w:pPr>
          </w:p>
          <w:p w14:paraId="64FDCEC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cs="宋体"/>
                <w:snapToGrid/>
                <w:color w:val="auto"/>
                <w:spacing w:val="0"/>
                <w:kern w:val="0"/>
                <w:position w:val="0"/>
                <w:sz w:val="24"/>
                <w:szCs w:val="24"/>
                <w:lang w:val="en-US" w:eastAsia="zh-CN"/>
              </w:rPr>
            </w:pPr>
          </w:p>
          <w:p w14:paraId="7347127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cs="宋体"/>
                <w:snapToGrid/>
                <w:color w:val="auto"/>
                <w:spacing w:val="0"/>
                <w:kern w:val="0"/>
                <w:position w:val="0"/>
                <w:sz w:val="24"/>
                <w:szCs w:val="24"/>
                <w:lang w:val="en-US" w:eastAsia="zh-CN"/>
              </w:rPr>
            </w:pPr>
          </w:p>
          <w:p w14:paraId="313592F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cs="宋体"/>
                <w:snapToGrid/>
                <w:color w:val="auto"/>
                <w:spacing w:val="0"/>
                <w:kern w:val="0"/>
                <w:position w:val="0"/>
                <w:sz w:val="24"/>
                <w:szCs w:val="24"/>
                <w:lang w:val="en-US" w:eastAsia="zh-CN"/>
              </w:rPr>
            </w:pPr>
          </w:p>
          <w:p w14:paraId="6A19B8B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cs="宋体"/>
                <w:snapToGrid/>
                <w:color w:val="auto"/>
                <w:spacing w:val="0"/>
                <w:kern w:val="0"/>
                <w:position w:val="0"/>
                <w:sz w:val="24"/>
                <w:szCs w:val="24"/>
                <w:lang w:val="en-US" w:eastAsia="zh-CN"/>
              </w:rPr>
            </w:pPr>
          </w:p>
          <w:p w14:paraId="18E193C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cs="宋体"/>
                <w:snapToGrid/>
                <w:color w:val="auto"/>
                <w:spacing w:val="0"/>
                <w:kern w:val="0"/>
                <w:position w:val="0"/>
                <w:sz w:val="24"/>
                <w:szCs w:val="24"/>
                <w:lang w:val="en-US" w:eastAsia="zh-CN"/>
              </w:rPr>
            </w:pPr>
          </w:p>
          <w:p w14:paraId="546BADF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宋体" w:hAnsi="宋体" w:eastAsia="宋体" w:cs="宋体"/>
                <w:snapToGrid/>
                <w:color w:val="auto"/>
                <w:spacing w:val="0"/>
                <w:kern w:val="0"/>
                <w:position w:val="0"/>
                <w:sz w:val="24"/>
                <w:szCs w:val="24"/>
                <w:lang w:val="en-US" w:eastAsia="zh-CN"/>
              </w:rPr>
            </w:pPr>
          </w:p>
        </w:tc>
      </w:tr>
    </w:tbl>
    <w:p w14:paraId="472DA4DC">
      <w:pPr>
        <w:tabs>
          <w:tab w:val="left" w:pos="558"/>
        </w:tabs>
        <w:bidi w:val="0"/>
        <w:jc w:val="left"/>
        <w:rPr>
          <w:rFonts w:hint="eastAsia"/>
          <w:snapToGrid/>
          <w:color w:val="auto"/>
          <w:spacing w:val="0"/>
          <w:kern w:val="0"/>
          <w:position w:val="0"/>
          <w:lang w:val="en-US" w:eastAsia="zh-CN"/>
        </w:rPr>
        <w:sectPr>
          <w:footerReference r:id="rId3" w:type="default"/>
          <w:pgSz w:w="11906" w:h="16838"/>
          <w:pgMar w:top="1440" w:right="1803" w:bottom="1440" w:left="1803" w:header="851" w:footer="1077" w:gutter="0"/>
          <w:pgBorders>
            <w:top w:val="none" w:sz="0" w:space="0"/>
            <w:left w:val="none" w:sz="0" w:space="0"/>
            <w:bottom w:val="none" w:sz="0" w:space="0"/>
            <w:right w:val="none" w:sz="0" w:space="0"/>
          </w:pgBorders>
          <w:pgNumType w:fmt="decimal"/>
          <w:cols w:space="720" w:num="1"/>
          <w:docGrid w:linePitch="312" w:charSpace="0"/>
        </w:sectPr>
      </w:pPr>
    </w:p>
    <w:p w14:paraId="2596EA72">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0"/>
        <w:rPr>
          <w:rFonts w:hint="eastAsia" w:ascii="宋体" w:hAnsi="宋体" w:eastAsia="宋体" w:cs="宋体"/>
          <w:b/>
          <w:bCs/>
          <w:snapToGrid/>
          <w:color w:val="auto"/>
          <w:spacing w:val="0"/>
          <w:kern w:val="0"/>
          <w:position w:val="0"/>
          <w:sz w:val="30"/>
          <w:szCs w:val="30"/>
          <w:vertAlign w:val="baseline"/>
        </w:rPr>
      </w:pPr>
      <w:r>
        <w:rPr>
          <w:rFonts w:hint="eastAsia" w:ascii="宋体" w:hAnsi="宋体" w:eastAsia="宋体" w:cs="宋体"/>
          <w:b/>
          <w:bCs/>
          <w:snapToGrid/>
          <w:color w:val="auto"/>
          <w:spacing w:val="0"/>
          <w:kern w:val="0"/>
          <w:position w:val="0"/>
          <w:sz w:val="30"/>
          <w:szCs w:val="30"/>
        </w:rPr>
        <w:t>二、建设项目工程分析</w:t>
      </w:r>
    </w:p>
    <w:tbl>
      <w:tblPr>
        <w:tblStyle w:val="23"/>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8"/>
        <w:gridCol w:w="8503"/>
      </w:tblGrid>
      <w:tr w14:paraId="4C88F4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39" w:hRule="atLeast"/>
          <w:jc w:val="center"/>
        </w:trPr>
        <w:tc>
          <w:tcPr>
            <w:tcW w:w="305" w:type="pct"/>
            <w:tcBorders>
              <w:tl2br w:val="nil"/>
              <w:tr2bl w:val="nil"/>
            </w:tcBorders>
            <w:vAlign w:val="center"/>
          </w:tcPr>
          <w:p w14:paraId="158A61F1">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outlineLvl w:val="0"/>
              <w:rPr>
                <w:rFonts w:hint="eastAsia" w:ascii="宋体" w:hAnsi="宋体" w:eastAsia="宋体" w:cs="宋体"/>
                <w:b/>
                <w:bCs/>
                <w:snapToGrid/>
                <w:color w:val="auto"/>
                <w:spacing w:val="0"/>
                <w:kern w:val="0"/>
                <w:position w:val="0"/>
                <w:sz w:val="30"/>
                <w:szCs w:val="30"/>
                <w:vertAlign w:val="baseline"/>
              </w:rPr>
            </w:pPr>
            <w:r>
              <w:rPr>
                <w:rFonts w:hint="eastAsia" w:ascii="宋体" w:hAnsi="宋体" w:eastAsia="宋体" w:cs="宋体"/>
                <w:b w:val="0"/>
                <w:bCs w:val="0"/>
                <w:snapToGrid/>
                <w:color w:val="auto"/>
                <w:spacing w:val="0"/>
                <w:kern w:val="0"/>
                <w:position w:val="0"/>
                <w:sz w:val="24"/>
                <w:szCs w:val="24"/>
              </w:rPr>
              <w:t>建设内容</w:t>
            </w:r>
          </w:p>
        </w:tc>
        <w:tc>
          <w:tcPr>
            <w:tcW w:w="4565" w:type="pct"/>
            <w:tcBorders>
              <w:tl2br w:val="nil"/>
              <w:tr2bl w:val="nil"/>
            </w:tcBorders>
            <w:vAlign w:val="top"/>
          </w:tcPr>
          <w:p w14:paraId="1E53DD54">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line="360" w:lineRule="auto"/>
              <w:jc w:val="both"/>
              <w:textAlignment w:val="auto"/>
              <w:rPr>
                <w:rFonts w:hint="eastAsia" w:cs="Times New Roman"/>
                <w:b/>
                <w:bCs/>
                <w:snapToGrid/>
                <w:color w:val="auto"/>
                <w:spacing w:val="0"/>
                <w:kern w:val="0"/>
                <w:position w:val="0"/>
                <w:sz w:val="24"/>
                <w:szCs w:val="24"/>
                <w:lang w:val="en-US" w:eastAsia="zh-CN"/>
              </w:rPr>
            </w:pPr>
            <w:r>
              <w:rPr>
                <w:rFonts w:hint="eastAsia" w:ascii="Times New Roman" w:hAnsi="Times New Roman" w:eastAsia="宋体" w:cs="Times New Roman"/>
                <w:b/>
                <w:bCs/>
                <w:snapToGrid/>
                <w:color w:val="auto"/>
                <w:spacing w:val="0"/>
                <w:kern w:val="0"/>
                <w:position w:val="0"/>
                <w:sz w:val="24"/>
                <w:szCs w:val="24"/>
                <w:lang w:val="en-US" w:eastAsia="zh-CN"/>
              </w:rPr>
              <w:t>项目建设基本情况</w:t>
            </w:r>
          </w:p>
          <w:p w14:paraId="59C8B0A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eastAsia="宋体"/>
                <w:color w:val="auto"/>
                <w:sz w:val="24"/>
                <w:lang w:val="en-US" w:eastAsia="zh-CN"/>
              </w:rPr>
            </w:pPr>
            <w:r>
              <w:rPr>
                <w:rFonts w:hint="eastAsia" w:eastAsia="宋体"/>
                <w:color w:val="auto"/>
                <w:sz w:val="24"/>
                <w:lang w:val="en-US" w:eastAsia="zh-CN"/>
              </w:rPr>
              <w:t>（1）环评报告表类别确定</w:t>
            </w:r>
          </w:p>
          <w:p w14:paraId="1CF5A1B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eastAsia="宋体"/>
                <w:color w:val="auto"/>
                <w:sz w:val="24"/>
                <w:lang w:val="en-US" w:eastAsia="zh-CN"/>
              </w:rPr>
            </w:pPr>
            <w:r>
              <w:rPr>
                <w:rFonts w:hint="eastAsia" w:eastAsia="宋体"/>
                <w:color w:val="auto"/>
                <w:sz w:val="24"/>
                <w:lang w:val="en-US" w:eastAsia="zh-CN"/>
              </w:rPr>
              <w:t>根据《中华人民共和国环境保护法》、《中华人民共和国环境影响评价法》、《建设项目环境影响评价分类管理名录（2021 年版）》（生态环境部令第16号）中的有关规定，本项目属于：</w:t>
            </w:r>
            <w:r>
              <w:rPr>
                <w:rFonts w:hint="default"/>
                <w:color w:val="auto"/>
                <w:sz w:val="24"/>
                <w:szCs w:val="24"/>
                <w:lang w:val="en-US" w:eastAsia="zh-CN"/>
              </w:rPr>
              <w:t>三十二、专用设备制造业 35-</w:t>
            </w:r>
            <w:r>
              <w:rPr>
                <w:rFonts w:hint="eastAsia"/>
                <w:color w:val="auto"/>
                <w:sz w:val="24"/>
                <w:szCs w:val="24"/>
                <w:lang w:val="en-US" w:eastAsia="zh-CN"/>
              </w:rPr>
              <w:t>70、采矿、冶金、建筑专用设备制造 351；化工、木材、非金属加工专用设备制造 352；食品、饮料、烟草及饲料生产专用设备制造 353；印刷、制药、日化及日用品生产专用设备制造 354；纺织、服装和皮革加工专用设备制造 355；电子和电工机械专用设备制造 356；农、林、牧、渔专用机械制造 357；医疗仪器设备及器械制造 358；环保、邮政、社会公共服务及其他专用设备制造 359</w:t>
            </w:r>
            <w:r>
              <w:rPr>
                <w:rFonts w:hint="default" w:ascii="Times New Roman" w:hAnsi="Times New Roman" w:eastAsia="宋体" w:cs="Times New Roman"/>
                <w:color w:val="auto"/>
                <w:sz w:val="24"/>
                <w:lang w:val="en-US" w:eastAsia="zh-CN"/>
              </w:rPr>
              <w:t>，本项目</w:t>
            </w:r>
            <w:r>
              <w:rPr>
                <w:rFonts w:hint="eastAsia" w:eastAsia="宋体" w:cs="Times New Roman"/>
                <w:color w:val="auto"/>
                <w:sz w:val="24"/>
                <w:lang w:val="en-US" w:eastAsia="zh-CN"/>
              </w:rPr>
              <w:t>为</w:t>
            </w:r>
            <w:r>
              <w:rPr>
                <w:rFonts w:hint="eastAsia" w:cs="Times New Roman"/>
                <w:color w:val="auto"/>
                <w:sz w:val="24"/>
                <w:lang w:val="en-US" w:eastAsia="zh-CN"/>
              </w:rPr>
              <w:t>钨合金渔坠制造</w:t>
            </w:r>
            <w:r>
              <w:rPr>
                <w:rFonts w:hint="default" w:ascii="Times New Roman" w:hAnsi="Times New Roman" w:eastAsia="宋体" w:cs="Times New Roman"/>
                <w:color w:val="auto"/>
                <w:sz w:val="24"/>
                <w:lang w:val="en-US" w:eastAsia="zh-CN"/>
              </w:rPr>
              <w:t>，应</w:t>
            </w:r>
            <w:r>
              <w:rPr>
                <w:rFonts w:hint="eastAsia" w:eastAsia="宋体"/>
                <w:color w:val="auto"/>
                <w:sz w:val="24"/>
                <w:lang w:val="en-US" w:eastAsia="zh-CN"/>
              </w:rPr>
              <w:t>当编制环境影响报告表。</w:t>
            </w:r>
          </w:p>
          <w:p w14:paraId="24EF1D4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b/>
                <w:bCs/>
                <w:color w:val="auto"/>
              </w:rPr>
            </w:pPr>
            <w:r>
              <w:rPr>
                <w:rFonts w:hint="eastAsia" w:eastAsia="宋体"/>
                <w:b/>
                <w:bCs/>
                <w:color w:val="auto"/>
                <w:sz w:val="24"/>
                <w:lang w:val="en-US" w:eastAsia="zh-CN"/>
              </w:rPr>
              <w:t xml:space="preserve">表2.1 </w:t>
            </w:r>
            <w:r>
              <w:rPr>
                <w:rFonts w:hint="eastAsia"/>
                <w:b/>
                <w:bCs/>
                <w:color w:val="auto"/>
                <w:sz w:val="24"/>
                <w:lang w:val="en-US" w:eastAsia="zh-CN"/>
              </w:rPr>
              <w:t xml:space="preserve"> </w:t>
            </w:r>
            <w:r>
              <w:rPr>
                <w:rFonts w:hint="eastAsia" w:ascii="宋体" w:hAnsi="宋体" w:eastAsia="宋体" w:cs="宋体"/>
                <w:b/>
                <w:bCs/>
                <w:color w:val="auto"/>
                <w:kern w:val="0"/>
                <w:sz w:val="24"/>
                <w:szCs w:val="24"/>
                <w:lang w:val="en-US" w:eastAsia="zh-CN" w:bidi="ar"/>
              </w:rPr>
              <w:t>环评类别对照表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2927"/>
              <w:gridCol w:w="1443"/>
              <w:gridCol w:w="1446"/>
              <w:gridCol w:w="937"/>
              <w:gridCol w:w="960"/>
            </w:tblGrid>
            <w:tr w14:paraId="79AD9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108" w:type="pct"/>
                  <w:gridSpan w:val="2"/>
                  <w:vMerge w:val="restart"/>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14:paraId="70C996C6">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jc w:val="center"/>
                    <w:textAlignment w:val="auto"/>
                    <w:rPr>
                      <w:rFonts w:hint="default" w:ascii="Times New Roman" w:hAnsi="Times New Roman" w:eastAsia="宋体" w:cs="Times New Roman"/>
                      <w:color w:val="auto"/>
                      <w:sz w:val="21"/>
                      <w:szCs w:val="21"/>
                      <w:lang w:val="en-US" w:eastAsia="zh-CN"/>
                    </w:rPr>
                  </w:pPr>
                </w:p>
                <w:p w14:paraId="3168DFD8">
                  <w:pPr>
                    <w:keepNext w:val="0"/>
                    <w:keepLines w:val="0"/>
                    <w:pageBreakBefore w:val="0"/>
                    <w:widowControl w:val="0"/>
                    <w:kinsoku/>
                    <w:wordWrap/>
                    <w:overflowPunct/>
                    <w:topLinePunct w:val="0"/>
                    <w:autoSpaceDE/>
                    <w:autoSpaceDN/>
                    <w:bidi w:val="0"/>
                    <w:adjustRightInd/>
                    <w:spacing w:line="240" w:lineRule="auto"/>
                    <w:ind w:left="0" w:leftChars="0" w:firstLine="0"/>
                    <w:jc w:val="center"/>
                    <w:textAlignment w:val="auto"/>
                    <mc:AlternateContent>
                      <mc:Choice Requires="wpsCustomData">
                        <wpsCustomData:diagonalParaType/>
                      </mc:Choice>
                    </mc:AlternateConten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vertAlign w:val="baseline"/>
                      <w:lang w:val="en-US" w:eastAsia="zh-CN"/>
                    </w:rPr>
                    <w:t>项目类别</w:t>
                  </w:r>
                </w:p>
                <w:p w14:paraId="305FCF3A">
                  <w:pPr>
                    <w:pStyle w:val="2"/>
                    <w:keepNext w:val="0"/>
                    <w:keepLines w:val="0"/>
                    <w:pageBreakBefore w:val="0"/>
                    <w:widowControl w:val="0"/>
                    <w:kinsoku/>
                    <w:wordWrap/>
                    <w:overflowPunct/>
                    <w:topLinePunct w:val="0"/>
                    <w:autoSpaceDE/>
                    <w:autoSpaceDN/>
                    <w:bidi w:val="0"/>
                    <w:adjustRightInd/>
                    <w:spacing w:after="0" w:line="240" w:lineRule="auto"/>
                    <w:ind w:left="0" w:leftChars="0" w:firstLine="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环评类别</w:t>
                  </w:r>
                </w:p>
              </w:tc>
              <w:tc>
                <w:tcPr>
                  <w:tcW w:w="2312" w:type="pct"/>
                  <w:gridSpan w:val="3"/>
                  <w:noWrap w:val="0"/>
                  <w:vAlign w:val="center"/>
                </w:tcPr>
                <w:p w14:paraId="531B30D3">
                  <w:pPr>
                    <w:pStyle w:val="2"/>
                    <w:keepNext w:val="0"/>
                    <w:keepLines w:val="0"/>
                    <w:pageBreakBefore w:val="0"/>
                    <w:widowControl w:val="0"/>
                    <w:kinsoku/>
                    <w:wordWrap/>
                    <w:overflowPunct/>
                    <w:topLinePunct w:val="0"/>
                    <w:autoSpaceDE/>
                    <w:autoSpaceDN/>
                    <w:bidi w:val="0"/>
                    <w:adjustRightInd/>
                    <w:spacing w:after="0"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环境影响评价类别</w:t>
                  </w:r>
                </w:p>
              </w:tc>
              <w:tc>
                <w:tcPr>
                  <w:tcW w:w="578" w:type="pct"/>
                  <w:vMerge w:val="restart"/>
                  <w:noWrap w:val="0"/>
                  <w:vAlign w:val="center"/>
                </w:tcPr>
                <w:p w14:paraId="0AC89913">
                  <w:pPr>
                    <w:pStyle w:val="2"/>
                    <w:keepNext w:val="0"/>
                    <w:keepLines w:val="0"/>
                    <w:pageBreakBefore w:val="0"/>
                    <w:widowControl w:val="0"/>
                    <w:kinsoku/>
                    <w:wordWrap/>
                    <w:overflowPunct/>
                    <w:topLinePunct w:val="0"/>
                    <w:autoSpaceDE/>
                    <w:autoSpaceDN/>
                    <w:bidi w:val="0"/>
                    <w:adjustRightInd/>
                    <w:spacing w:after="0" w:line="240" w:lineRule="auto"/>
                    <w:ind w:left="0" w:leftChars="0"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项目环评类别判定</w:t>
                  </w:r>
                </w:p>
              </w:tc>
            </w:tr>
            <w:tr w14:paraId="355D5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108" w:type="pct"/>
                  <w:gridSpan w:val="2"/>
                  <w:vMerge w:val="continue"/>
                  <w:noWrap w:val="0"/>
                  <w:vAlign w:val="center"/>
                </w:tcPr>
                <w:p w14:paraId="26DFA441">
                  <w:pPr>
                    <w:pStyle w:val="2"/>
                    <w:keepNext w:val="0"/>
                    <w:keepLines w:val="0"/>
                    <w:pageBreakBefore w:val="0"/>
                    <w:widowControl w:val="0"/>
                    <w:kinsoku/>
                    <w:wordWrap/>
                    <w:overflowPunct/>
                    <w:topLinePunct w:val="0"/>
                    <w:autoSpaceDE/>
                    <w:autoSpaceDN/>
                    <w:bidi w:val="0"/>
                    <w:adjustRightInd/>
                    <w:spacing w:after="0" w:line="240" w:lineRule="auto"/>
                    <w:ind w:left="0" w:leftChars="0" w:firstLine="0"/>
                    <w:jc w:val="center"/>
                    <w:textAlignment w:val="auto"/>
                    <w:rPr>
                      <w:rFonts w:hint="default" w:ascii="Times New Roman" w:hAnsi="Times New Roman" w:eastAsia="宋体" w:cs="Times New Roman"/>
                      <w:color w:val="auto"/>
                      <w:sz w:val="21"/>
                      <w:szCs w:val="21"/>
                    </w:rPr>
                  </w:pPr>
                </w:p>
              </w:tc>
              <w:tc>
                <w:tcPr>
                  <w:tcW w:w="872" w:type="pct"/>
                  <w:noWrap w:val="0"/>
                  <w:vAlign w:val="center"/>
                </w:tcPr>
                <w:p w14:paraId="14EC75D2">
                  <w:pPr>
                    <w:pStyle w:val="2"/>
                    <w:keepNext w:val="0"/>
                    <w:keepLines w:val="0"/>
                    <w:pageBreakBefore w:val="0"/>
                    <w:widowControl w:val="0"/>
                    <w:kinsoku/>
                    <w:wordWrap/>
                    <w:overflowPunct/>
                    <w:topLinePunct w:val="0"/>
                    <w:autoSpaceDE/>
                    <w:autoSpaceDN/>
                    <w:bidi w:val="0"/>
                    <w:adjustRightInd/>
                    <w:spacing w:after="0"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报告书</w:t>
                  </w:r>
                </w:p>
              </w:tc>
              <w:tc>
                <w:tcPr>
                  <w:tcW w:w="874" w:type="pct"/>
                  <w:noWrap w:val="0"/>
                  <w:vAlign w:val="center"/>
                </w:tcPr>
                <w:p w14:paraId="38904E0B">
                  <w:pPr>
                    <w:pStyle w:val="2"/>
                    <w:keepNext w:val="0"/>
                    <w:keepLines w:val="0"/>
                    <w:pageBreakBefore w:val="0"/>
                    <w:widowControl w:val="0"/>
                    <w:kinsoku/>
                    <w:wordWrap/>
                    <w:overflowPunct/>
                    <w:topLinePunct w:val="0"/>
                    <w:autoSpaceDE/>
                    <w:autoSpaceDN/>
                    <w:bidi w:val="0"/>
                    <w:adjustRightInd/>
                    <w:spacing w:after="0" w:line="240" w:lineRule="auto"/>
                    <w:ind w:left="0" w:leftChars="0"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报告表</w:t>
                  </w:r>
                </w:p>
              </w:tc>
              <w:tc>
                <w:tcPr>
                  <w:tcW w:w="565" w:type="pct"/>
                  <w:noWrap w:val="0"/>
                  <w:vAlign w:val="center"/>
                </w:tcPr>
                <w:p w14:paraId="3E58BA88">
                  <w:pPr>
                    <w:pStyle w:val="2"/>
                    <w:keepNext w:val="0"/>
                    <w:keepLines w:val="0"/>
                    <w:pageBreakBefore w:val="0"/>
                    <w:widowControl w:val="0"/>
                    <w:kinsoku/>
                    <w:wordWrap/>
                    <w:overflowPunct/>
                    <w:topLinePunct w:val="0"/>
                    <w:autoSpaceDE/>
                    <w:autoSpaceDN/>
                    <w:bidi w:val="0"/>
                    <w:adjustRightInd/>
                    <w:spacing w:after="0" w:line="240" w:lineRule="auto"/>
                    <w:ind w:left="0" w:leftChars="0"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登记表</w:t>
                  </w:r>
                </w:p>
              </w:tc>
              <w:tc>
                <w:tcPr>
                  <w:tcW w:w="578" w:type="pct"/>
                  <w:vMerge w:val="continue"/>
                  <w:noWrap w:val="0"/>
                  <w:vAlign w:val="center"/>
                </w:tcPr>
                <w:p w14:paraId="581A7E66">
                  <w:pPr>
                    <w:pStyle w:val="2"/>
                    <w:keepNext w:val="0"/>
                    <w:keepLines w:val="0"/>
                    <w:pageBreakBefore w:val="0"/>
                    <w:widowControl w:val="0"/>
                    <w:kinsoku/>
                    <w:wordWrap/>
                    <w:overflowPunct/>
                    <w:topLinePunct w:val="0"/>
                    <w:autoSpaceDE/>
                    <w:autoSpaceDN/>
                    <w:bidi w:val="0"/>
                    <w:adjustRightInd/>
                    <w:spacing w:after="0" w:line="240" w:lineRule="auto"/>
                    <w:ind w:left="0" w:leftChars="0"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p>
              </w:tc>
            </w:tr>
            <w:tr w14:paraId="5189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00" w:type="pct"/>
                  <w:gridSpan w:val="6"/>
                  <w:noWrap w:val="0"/>
                  <w:vAlign w:val="center"/>
                </w:tcPr>
                <w:p w14:paraId="6642952A">
                  <w:pPr>
                    <w:keepNext w:val="0"/>
                    <w:keepLines w:val="0"/>
                    <w:pageBreakBefore w:val="0"/>
                    <w:widowControl/>
                    <w:suppressLineNumbers w:val="0"/>
                    <w:kinsoku/>
                    <w:wordWrap/>
                    <w:overflowPunct/>
                    <w:topLinePunct w:val="0"/>
                    <w:autoSpaceDE/>
                    <w:autoSpaceDN/>
                    <w:bidi w:val="0"/>
                    <w:adjustRightInd/>
                    <w:jc w:val="both"/>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三十二、专用设备制造业 35</w:t>
                  </w:r>
                </w:p>
              </w:tc>
            </w:tr>
            <w:tr w14:paraId="3D53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339" w:type="pct"/>
                  <w:noWrap w:val="0"/>
                  <w:vAlign w:val="center"/>
                </w:tcPr>
                <w:p w14:paraId="713025B8">
                  <w:pPr>
                    <w:keepNext w:val="0"/>
                    <w:keepLines w:val="0"/>
                    <w:pageBreakBefore w:val="0"/>
                    <w:widowControl/>
                    <w:suppressLineNumbers w:val="0"/>
                    <w:kinsoku/>
                    <w:wordWrap/>
                    <w:overflowPunct/>
                    <w:topLinePunct w:val="0"/>
                    <w:autoSpaceDE/>
                    <w:autoSpaceDN/>
                    <w:bidi w:val="0"/>
                    <w:adjustRightInd/>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color w:val="auto"/>
                      <w:kern w:val="0"/>
                      <w:sz w:val="21"/>
                      <w:szCs w:val="21"/>
                      <w:lang w:val="en-US" w:eastAsia="zh-CN" w:bidi="ar"/>
                    </w:rPr>
                    <w:t>70</w:t>
                  </w:r>
                </w:p>
              </w:tc>
              <w:tc>
                <w:tcPr>
                  <w:tcW w:w="1769" w:type="pct"/>
                  <w:noWrap w:val="0"/>
                  <w:vAlign w:val="center"/>
                </w:tcPr>
                <w:p w14:paraId="553D8BAD">
                  <w:pPr>
                    <w:keepNext w:val="0"/>
                    <w:keepLines w:val="0"/>
                    <w:pageBreakBefore w:val="0"/>
                    <w:widowControl/>
                    <w:suppressLineNumbers w:val="0"/>
                    <w:kinsoku/>
                    <w:wordWrap/>
                    <w:overflowPunct/>
                    <w:topLinePunct w:val="0"/>
                    <w:autoSpaceDE/>
                    <w:autoSpaceDN/>
                    <w:bidi w:val="0"/>
                    <w:adjustRightInd/>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采矿、冶金、建筑专用设备制造 351；化工、木材、非金属加工专用设备制造 352；食品、饮料、烟草及饲料生产专用设备制造 353；印刷、制药、日化及日用品生产专用设备制造 354；纺织、服装和皮革加工专用设备制造 355；电子和电工机械专用设备制造 356；农、林、牧、渔专用机械制造 357；医疗仪器设备及器械制造 358；环保、邮政、社会公共服务及其他专用设备制造 359</w:t>
                  </w:r>
                </w:p>
              </w:tc>
              <w:tc>
                <w:tcPr>
                  <w:tcW w:w="872" w:type="pct"/>
                  <w:noWrap w:val="0"/>
                  <w:vAlign w:val="center"/>
                </w:tcPr>
                <w:p w14:paraId="6E7236E5">
                  <w:pPr>
                    <w:keepNext w:val="0"/>
                    <w:keepLines w:val="0"/>
                    <w:pageBreakBefore w:val="0"/>
                    <w:widowControl/>
                    <w:suppressLineNumbers w:val="0"/>
                    <w:kinsoku/>
                    <w:wordWrap/>
                    <w:overflowPunct/>
                    <w:topLinePunct w:val="0"/>
                    <w:autoSpaceDE/>
                    <w:autoSpaceDN/>
                    <w:bidi w:val="0"/>
                    <w:adjustRightInd/>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有电镀工艺的；年用溶剂型涂料（含稀释剂）10吨及以上的</w:t>
                  </w:r>
                </w:p>
              </w:tc>
              <w:tc>
                <w:tcPr>
                  <w:tcW w:w="874" w:type="pct"/>
                  <w:noWrap w:val="0"/>
                  <w:vAlign w:val="center"/>
                </w:tcPr>
                <w:p w14:paraId="570AD8E6">
                  <w:pPr>
                    <w:keepNext w:val="0"/>
                    <w:keepLines w:val="0"/>
                    <w:pageBreakBefore w:val="0"/>
                    <w:widowControl/>
                    <w:suppressLineNumbers w:val="0"/>
                    <w:kinsoku/>
                    <w:wordWrap/>
                    <w:overflowPunct/>
                    <w:topLinePunct w:val="0"/>
                    <w:autoSpaceDE/>
                    <w:autoSpaceDN/>
                    <w:bidi w:val="0"/>
                    <w:adjustRightInd/>
                    <w:jc w:val="center"/>
                    <w:textAlignment w:val="auto"/>
                    <w:rPr>
                      <w:rFonts w:hint="default" w:ascii="Times New Roman" w:hAnsi="Times New Roman" w:eastAsia="宋体" w:cs="Times New Roman"/>
                      <w:b w:val="0"/>
                      <w:bCs w:val="0"/>
                      <w:color w:val="auto"/>
                      <w:sz w:val="21"/>
                      <w:szCs w:val="21"/>
                      <w:highlight w:val="lightGray"/>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其他（仅分割、焊接、组装的除外；年用非溶剂型低VOCs含量涂料10吨以下的除外）</w:t>
                  </w:r>
                </w:p>
              </w:tc>
              <w:tc>
                <w:tcPr>
                  <w:tcW w:w="565" w:type="pct"/>
                  <w:noWrap w:val="0"/>
                  <w:vAlign w:val="center"/>
                </w:tcPr>
                <w:p w14:paraId="3346754D">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c>
                <w:tcPr>
                  <w:tcW w:w="578" w:type="pct"/>
                  <w:noWrap w:val="0"/>
                  <w:vAlign w:val="center"/>
                </w:tcPr>
                <w:p w14:paraId="18FFA477">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color w:val="auto"/>
                      <w:kern w:val="0"/>
                      <w:sz w:val="21"/>
                      <w:szCs w:val="21"/>
                      <w:lang w:val="en-US" w:eastAsia="zh-CN" w:bidi="ar"/>
                    </w:rPr>
                    <w:t>报告表</w:t>
                  </w:r>
                </w:p>
              </w:tc>
            </w:tr>
          </w:tbl>
          <w:p w14:paraId="11F117A4">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eastAsia="宋体"/>
                <w:color w:val="auto"/>
                <w:sz w:val="24"/>
                <w:lang w:val="en-US" w:eastAsia="zh-CN"/>
              </w:rPr>
            </w:pPr>
            <w:r>
              <w:rPr>
                <w:rFonts w:hint="eastAsia" w:eastAsia="宋体"/>
                <w:color w:val="auto"/>
                <w:sz w:val="24"/>
                <w:lang w:val="en-US" w:eastAsia="zh-CN"/>
              </w:rPr>
              <w:t>（</w:t>
            </w:r>
            <w:r>
              <w:rPr>
                <w:rFonts w:hint="eastAsia"/>
                <w:color w:val="auto"/>
                <w:sz w:val="24"/>
                <w:lang w:val="en-US" w:eastAsia="zh-CN"/>
              </w:rPr>
              <w:t>2</w:t>
            </w:r>
            <w:r>
              <w:rPr>
                <w:rFonts w:hint="eastAsia" w:eastAsia="宋体"/>
                <w:color w:val="auto"/>
                <w:sz w:val="24"/>
                <w:lang w:val="en-US" w:eastAsia="zh-CN"/>
              </w:rPr>
              <w:t>）排污许可管理类别确定</w:t>
            </w:r>
          </w:p>
          <w:p w14:paraId="25925E5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eastAsia="宋体"/>
                <w:color w:val="auto"/>
                <w:sz w:val="24"/>
                <w:lang w:val="en-US" w:eastAsia="zh-CN"/>
              </w:rPr>
            </w:pPr>
            <w:r>
              <w:rPr>
                <w:rFonts w:hint="eastAsia" w:eastAsia="宋体"/>
                <w:color w:val="auto"/>
                <w:sz w:val="24"/>
                <w:lang w:val="en-US" w:eastAsia="zh-CN"/>
              </w:rPr>
              <w:t>根据《固定污染源排污许可分类管理名录（2019年版）》（生态环境部令第11号）中的有关规定，</w:t>
            </w:r>
            <w:r>
              <w:rPr>
                <w:rFonts w:hint="default" w:ascii="Times New Roman" w:hAnsi="Times New Roman" w:cs="Times New Roman"/>
                <w:color w:val="auto"/>
                <w:kern w:val="0"/>
                <w:sz w:val="24"/>
              </w:rPr>
              <w:t>本项目属于</w:t>
            </w:r>
            <w:r>
              <w:rPr>
                <w:rFonts w:hint="eastAsia" w:ascii="宋体" w:hAnsi="宋体" w:eastAsia="宋体" w:cs="宋体"/>
                <w:color w:val="auto"/>
                <w:kern w:val="0"/>
                <w:sz w:val="24"/>
              </w:rPr>
              <w:t>“</w:t>
            </w:r>
            <w:r>
              <w:rPr>
                <w:rFonts w:hint="eastAsia" w:ascii="宋体" w:hAnsi="宋体" w:cs="宋体"/>
                <w:color w:val="auto"/>
                <w:kern w:val="0"/>
                <w:sz w:val="24"/>
                <w:lang w:eastAsia="zh-CN"/>
              </w:rPr>
              <w:t>三十</w:t>
            </w:r>
            <w:r>
              <w:rPr>
                <w:rFonts w:hint="eastAsia" w:ascii="宋体" w:hAnsi="宋体" w:eastAsia="宋体" w:cs="宋体"/>
                <w:color w:val="auto"/>
                <w:kern w:val="0"/>
                <w:sz w:val="24"/>
              </w:rPr>
              <w:t>、专用设备制</w:t>
            </w:r>
            <w:r>
              <w:rPr>
                <w:rFonts w:hint="default" w:ascii="Times New Roman" w:hAnsi="Times New Roman" w:eastAsia="宋体" w:cs="Times New Roman"/>
                <w:color w:val="auto"/>
                <w:kern w:val="0"/>
                <w:sz w:val="24"/>
              </w:rPr>
              <w:t>造业 35</w:t>
            </w:r>
            <w:r>
              <w:rPr>
                <w:rFonts w:hint="eastAsia" w:ascii="Times New Roman" w:hAnsi="Times New Roman" w:cs="Times New Roman"/>
                <w:color w:val="auto"/>
                <w:kern w:val="0"/>
                <w:sz w:val="24"/>
                <w:lang w:val="en-US" w:eastAsia="zh-CN"/>
              </w:rPr>
              <w:t xml:space="preserve">  84采矿、冶金、建筑专用设备制造 351，化工、木材、非金属加工专用设备制造 352，食品、饮料、烟草及饲料生产专用设备制造 353，印刷、制药、日化及日用品生产专用设备制造 354，纺织、服装和皮革加工专用设备制造 355，电子和电工机械专用设备制造 356，农、林、牧、渔专用机械制造 357，医疗仪器设备及器械制造 358，环保、邮政、社会公共服务及其他专用设备制造 359</w:t>
            </w:r>
            <w:r>
              <w:rPr>
                <w:rFonts w:hint="eastAsia" w:ascii="宋体" w:hAnsi="宋体" w:eastAsia="宋体" w:cs="宋体"/>
                <w:color w:val="auto"/>
                <w:kern w:val="0"/>
                <w:sz w:val="24"/>
              </w:rPr>
              <w:t>”</w:t>
            </w:r>
            <w:r>
              <w:rPr>
                <w:rFonts w:hint="default" w:ascii="Times New Roman" w:hAnsi="Times New Roman" w:cs="Times New Roman"/>
                <w:color w:val="auto"/>
                <w:kern w:val="0"/>
                <w:sz w:val="24"/>
              </w:rPr>
              <w:t>。其中</w:t>
            </w:r>
            <w:r>
              <w:rPr>
                <w:rFonts w:hint="eastAsia" w:ascii="宋体" w:hAnsi="宋体" w:eastAsia="宋体" w:cs="宋体"/>
                <w:color w:val="auto"/>
                <w:kern w:val="0"/>
                <w:sz w:val="24"/>
              </w:rPr>
              <w:t>“</w:t>
            </w:r>
            <w:r>
              <w:rPr>
                <w:rFonts w:hint="default" w:ascii="Times New Roman" w:hAnsi="Times New Roman" w:cs="Times New Roman"/>
                <w:color w:val="auto"/>
                <w:kern w:val="0"/>
                <w:sz w:val="24"/>
              </w:rPr>
              <w:t>涉及通用工序重点管理的</w:t>
            </w:r>
            <w:r>
              <w:rPr>
                <w:rFonts w:hint="eastAsia" w:ascii="宋体" w:hAnsi="宋体" w:eastAsia="宋体" w:cs="宋体"/>
                <w:color w:val="auto"/>
                <w:kern w:val="0"/>
                <w:sz w:val="24"/>
              </w:rPr>
              <w:t>”</w:t>
            </w:r>
            <w:r>
              <w:rPr>
                <w:rFonts w:hint="default" w:ascii="Times New Roman" w:hAnsi="Times New Roman" w:cs="Times New Roman"/>
                <w:color w:val="auto"/>
                <w:kern w:val="0"/>
                <w:sz w:val="24"/>
              </w:rPr>
              <w:t>为重点管理，</w:t>
            </w:r>
            <w:r>
              <w:rPr>
                <w:rFonts w:hint="eastAsia" w:ascii="宋体" w:hAnsi="宋体" w:eastAsia="宋体" w:cs="宋体"/>
                <w:color w:val="auto"/>
                <w:kern w:val="0"/>
                <w:sz w:val="24"/>
              </w:rPr>
              <w:t>“涉及通用工序简化管理的”</w:t>
            </w:r>
            <w:r>
              <w:rPr>
                <w:rFonts w:hint="default" w:ascii="Times New Roman" w:hAnsi="Times New Roman" w:cs="Times New Roman"/>
                <w:color w:val="auto"/>
                <w:kern w:val="0"/>
                <w:sz w:val="24"/>
              </w:rPr>
              <w:t>为简化管理，</w:t>
            </w:r>
            <w:r>
              <w:rPr>
                <w:rFonts w:hint="eastAsia" w:ascii="宋体" w:hAnsi="宋体" w:eastAsia="宋体" w:cs="宋体"/>
                <w:color w:val="auto"/>
                <w:kern w:val="0"/>
                <w:sz w:val="24"/>
              </w:rPr>
              <w:t>“</w:t>
            </w:r>
            <w:r>
              <w:rPr>
                <w:rFonts w:hint="default" w:ascii="Times New Roman" w:hAnsi="Times New Roman" w:cs="Times New Roman"/>
                <w:color w:val="auto"/>
                <w:kern w:val="0"/>
                <w:sz w:val="24"/>
              </w:rPr>
              <w:t>其他</w:t>
            </w:r>
            <w:r>
              <w:rPr>
                <w:rFonts w:hint="eastAsia" w:ascii="宋体" w:hAnsi="宋体" w:eastAsia="宋体" w:cs="宋体"/>
                <w:color w:val="auto"/>
                <w:kern w:val="0"/>
                <w:sz w:val="24"/>
              </w:rPr>
              <w:t>”</w:t>
            </w:r>
            <w:r>
              <w:rPr>
                <w:rFonts w:hint="default" w:ascii="Times New Roman" w:hAnsi="Times New Roman" w:cs="Times New Roman"/>
                <w:color w:val="auto"/>
                <w:kern w:val="0"/>
                <w:sz w:val="24"/>
              </w:rPr>
              <w:t>为登记管理。</w:t>
            </w:r>
            <w:r>
              <w:rPr>
                <w:rFonts w:hint="eastAsia" w:cs="Times New Roman"/>
                <w:color w:val="auto"/>
                <w:kern w:val="0"/>
                <w:sz w:val="24"/>
                <w:lang w:eastAsia="zh-CN"/>
              </w:rPr>
              <w:t>本项目涉及“通用工序</w:t>
            </w:r>
            <w:r>
              <w:rPr>
                <w:rFonts w:hint="eastAsia" w:cs="Times New Roman"/>
                <w:color w:val="auto"/>
                <w:kern w:val="0"/>
                <w:sz w:val="24"/>
                <w:lang w:val="en-US" w:eastAsia="zh-CN"/>
              </w:rPr>
              <w:t xml:space="preserve"> 110 工业炉窑</w:t>
            </w:r>
            <w:r>
              <w:rPr>
                <w:rFonts w:hint="eastAsia" w:ascii="宋体" w:hAnsi="宋体" w:eastAsia="宋体" w:cs="宋体"/>
                <w:color w:val="auto"/>
                <w:kern w:val="0"/>
                <w:sz w:val="24"/>
              </w:rPr>
              <w:t>”</w:t>
            </w:r>
            <w:r>
              <w:rPr>
                <w:rFonts w:hint="eastAsia" w:ascii="宋体" w:hAnsi="宋体" w:cs="宋体"/>
                <w:color w:val="auto"/>
                <w:kern w:val="0"/>
                <w:sz w:val="24"/>
                <w:lang w:val="en-US" w:eastAsia="zh-CN"/>
              </w:rPr>
              <w:t>,</w:t>
            </w:r>
            <w:r>
              <w:rPr>
                <w:rFonts w:hint="default" w:ascii="Times New Roman" w:hAnsi="Times New Roman" w:cs="Times New Roman"/>
                <w:color w:val="auto"/>
                <w:kern w:val="0"/>
                <w:sz w:val="24"/>
              </w:rPr>
              <w:t>其中</w:t>
            </w:r>
            <w:r>
              <w:rPr>
                <w:rFonts w:hint="eastAsia" w:ascii="宋体" w:hAnsi="宋体" w:eastAsia="宋体" w:cs="宋体"/>
                <w:color w:val="auto"/>
                <w:kern w:val="0"/>
                <w:sz w:val="24"/>
              </w:rPr>
              <w:t>“纳入重点排污单位名录的”</w:t>
            </w:r>
            <w:r>
              <w:rPr>
                <w:rFonts w:hint="default" w:ascii="Times New Roman" w:hAnsi="Times New Roman" w:cs="Times New Roman"/>
                <w:color w:val="auto"/>
                <w:kern w:val="0"/>
                <w:sz w:val="24"/>
              </w:rPr>
              <w:t>为重点管理，</w:t>
            </w:r>
            <w:r>
              <w:rPr>
                <w:rFonts w:hint="eastAsia" w:ascii="宋体" w:hAnsi="宋体" w:eastAsia="宋体" w:cs="宋体"/>
                <w:color w:val="auto"/>
                <w:kern w:val="0"/>
                <w:sz w:val="24"/>
              </w:rPr>
              <w:t>“除纳入重点排污单位名录的，除以天然气或者电为能源的加热炉、热处理炉、干燥炉（窑）以外的其他工业炉窑”</w:t>
            </w:r>
            <w:r>
              <w:rPr>
                <w:rFonts w:hint="default" w:ascii="Times New Roman" w:hAnsi="Times New Roman" w:cs="Times New Roman"/>
                <w:color w:val="auto"/>
                <w:kern w:val="0"/>
                <w:sz w:val="24"/>
              </w:rPr>
              <w:t>为简化管理，</w:t>
            </w:r>
            <w:r>
              <w:rPr>
                <w:rFonts w:hint="eastAsia" w:ascii="宋体" w:hAnsi="宋体" w:eastAsia="宋体" w:cs="宋体"/>
                <w:color w:val="auto"/>
                <w:kern w:val="0"/>
                <w:sz w:val="24"/>
              </w:rPr>
              <w:t>“除纳入重点排污单位名录的，以天然气或者电为能源的加热炉、热处理炉或者干燥炉（窑）”</w:t>
            </w:r>
            <w:r>
              <w:rPr>
                <w:rFonts w:hint="default" w:ascii="Times New Roman" w:hAnsi="Times New Roman" w:cs="Times New Roman"/>
                <w:color w:val="auto"/>
                <w:kern w:val="0"/>
                <w:sz w:val="24"/>
              </w:rPr>
              <w:t>为登记管理。本项目</w:t>
            </w:r>
            <w:r>
              <w:rPr>
                <w:rFonts w:hint="eastAsia" w:cs="Times New Roman"/>
                <w:color w:val="auto"/>
                <w:kern w:val="0"/>
                <w:sz w:val="24"/>
                <w:lang w:eastAsia="zh-CN"/>
              </w:rPr>
              <w:t>产品为</w:t>
            </w:r>
            <w:r>
              <w:rPr>
                <w:rFonts w:hint="eastAsia" w:cs="Times New Roman"/>
                <w:color w:val="auto"/>
                <w:kern w:val="0"/>
                <w:sz w:val="24"/>
                <w:lang w:val="en-US" w:eastAsia="zh-CN"/>
              </w:rPr>
              <w:t>钨合金渔坠</w:t>
            </w:r>
            <w:r>
              <w:rPr>
                <w:rFonts w:hint="eastAsia" w:cs="Times New Roman"/>
                <w:color w:val="auto"/>
                <w:kern w:val="0"/>
                <w:sz w:val="24"/>
                <w:lang w:eastAsia="zh-CN"/>
              </w:rPr>
              <w:t>，属于</w:t>
            </w:r>
            <w:r>
              <w:rPr>
                <w:rFonts w:hint="eastAsia" w:cs="Times New Roman"/>
                <w:b/>
                <w:bCs/>
                <w:color w:val="auto"/>
                <w:kern w:val="0"/>
                <w:sz w:val="24"/>
                <w:lang w:val="en-US" w:eastAsia="zh-CN"/>
              </w:rPr>
              <w:t xml:space="preserve">C3575 </w:t>
            </w:r>
            <w:r>
              <w:rPr>
                <w:rFonts w:hint="eastAsia" w:cs="Times New Roman"/>
                <w:color w:val="auto"/>
                <w:kern w:val="0"/>
                <w:sz w:val="24"/>
                <w:lang w:val="en-US" w:eastAsia="zh-CN"/>
              </w:rPr>
              <w:t>渔业机械制造，使用微电脑钼丝炉以电为能源</w:t>
            </w:r>
            <w:r>
              <w:rPr>
                <w:rFonts w:hint="eastAsia" w:ascii="华文宋体" w:hAnsi="华文宋体" w:eastAsia="华文宋体" w:cs="华文宋体"/>
                <w:color w:val="auto"/>
                <w:sz w:val="24"/>
                <w:lang w:eastAsia="zh-CN"/>
              </w:rPr>
              <w:t>，</w:t>
            </w:r>
            <w:r>
              <w:rPr>
                <w:rFonts w:hint="default" w:ascii="Times New Roman" w:hAnsi="Times New Roman" w:cs="Times New Roman"/>
                <w:color w:val="auto"/>
                <w:kern w:val="0"/>
                <w:sz w:val="24"/>
              </w:rPr>
              <w:t>因此本项目排污许可实行登记管理。</w:t>
            </w:r>
          </w:p>
          <w:p w14:paraId="0FA085F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eastAsia="宋体"/>
                <w:b/>
                <w:bCs/>
                <w:color w:val="auto"/>
                <w:sz w:val="24"/>
                <w:lang w:val="en-US" w:eastAsia="zh-CN"/>
              </w:rPr>
            </w:pPr>
            <w:r>
              <w:rPr>
                <w:rFonts w:hint="eastAsia" w:eastAsia="宋体"/>
                <w:b/>
                <w:bCs/>
                <w:color w:val="auto"/>
                <w:sz w:val="24"/>
                <w:lang w:val="en-US" w:eastAsia="zh-CN"/>
              </w:rPr>
              <w:t xml:space="preserve">表2.2 </w:t>
            </w:r>
            <w:r>
              <w:rPr>
                <w:rFonts w:hint="eastAsia"/>
                <w:b/>
                <w:bCs/>
                <w:color w:val="auto"/>
                <w:sz w:val="24"/>
                <w:lang w:val="en-US" w:eastAsia="zh-CN"/>
              </w:rPr>
              <w:t xml:space="preserve"> </w:t>
            </w:r>
            <w:r>
              <w:rPr>
                <w:rFonts w:hint="eastAsia" w:eastAsia="宋体"/>
                <w:b/>
                <w:bCs/>
                <w:color w:val="auto"/>
                <w:sz w:val="24"/>
                <w:lang w:val="en-US" w:eastAsia="zh-CN"/>
              </w:rPr>
              <w:t>排污许可类别对照表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585"/>
              <w:gridCol w:w="994"/>
              <w:gridCol w:w="1622"/>
              <w:gridCol w:w="1423"/>
              <w:gridCol w:w="951"/>
            </w:tblGrid>
            <w:tr w14:paraId="56868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3" w:type="dxa"/>
                  <w:gridSpan w:val="2"/>
                  <w:vMerge w:val="restart"/>
                  <w:vAlign w:val="center"/>
                </w:tcPr>
                <w:p w14:paraId="04352B46">
                  <w:pPr>
                    <w:jc w:val="center"/>
                    <w:rPr>
                      <w:color w:val="auto"/>
                      <w:szCs w:val="21"/>
                    </w:rPr>
                  </w:pPr>
                  <w:r>
                    <w:rPr>
                      <w:color w:val="auto"/>
                      <w:szCs w:val="21"/>
                    </w:rPr>
                    <w:t>项目类别</w:t>
                  </w:r>
                </w:p>
                <w:p w14:paraId="21D34364">
                  <w:pPr>
                    <w:pStyle w:val="2"/>
                    <w:spacing w:after="0"/>
                    <w:ind w:left="0" w:leftChars="0" w:firstLine="0"/>
                    <w:jc w:val="center"/>
                    <w:rPr>
                      <w:color w:val="auto"/>
                      <w:sz w:val="21"/>
                      <w:szCs w:val="21"/>
                    </w:rPr>
                  </w:pPr>
                  <w:r>
                    <w:rPr>
                      <w:color w:val="auto"/>
                      <w:sz w:val="21"/>
                      <w:szCs w:val="21"/>
                    </w:rPr>
                    <w:t>排污许可类别</w:t>
                  </w:r>
                </w:p>
              </w:tc>
              <w:tc>
                <w:tcPr>
                  <w:tcW w:w="3960" w:type="dxa"/>
                  <w:gridSpan w:val="3"/>
                  <w:vAlign w:val="center"/>
                </w:tcPr>
                <w:p w14:paraId="77149F46">
                  <w:pPr>
                    <w:pStyle w:val="2"/>
                    <w:spacing w:after="0"/>
                    <w:ind w:left="0" w:leftChars="0" w:firstLine="0"/>
                    <w:jc w:val="center"/>
                    <w:rPr>
                      <w:color w:val="auto"/>
                      <w:sz w:val="21"/>
                      <w:szCs w:val="21"/>
                    </w:rPr>
                  </w:pPr>
                  <w:r>
                    <w:rPr>
                      <w:color w:val="auto"/>
                      <w:sz w:val="21"/>
                      <w:szCs w:val="21"/>
                    </w:rPr>
                    <w:t>排污许可类别</w:t>
                  </w:r>
                </w:p>
              </w:tc>
              <w:tc>
                <w:tcPr>
                  <w:tcW w:w="932" w:type="dxa"/>
                  <w:vMerge w:val="restart"/>
                  <w:vAlign w:val="center"/>
                </w:tcPr>
                <w:p w14:paraId="40EBE64A">
                  <w:pPr>
                    <w:widowControl/>
                    <w:adjustRightInd w:val="0"/>
                    <w:snapToGrid w:val="0"/>
                    <w:jc w:val="center"/>
                    <w:rPr>
                      <w:color w:val="auto"/>
                      <w:kern w:val="0"/>
                      <w:szCs w:val="21"/>
                    </w:rPr>
                  </w:pPr>
                  <w:r>
                    <w:rPr>
                      <w:rFonts w:hint="eastAsia"/>
                      <w:color w:val="auto"/>
                      <w:kern w:val="0"/>
                      <w:szCs w:val="21"/>
                    </w:rPr>
                    <w:t>排污许可</w:t>
                  </w:r>
                </w:p>
                <w:p w14:paraId="47756156">
                  <w:pPr>
                    <w:pStyle w:val="2"/>
                    <w:spacing w:after="0"/>
                    <w:ind w:left="0" w:leftChars="0" w:firstLine="0"/>
                    <w:jc w:val="center"/>
                    <w:rPr>
                      <w:color w:val="auto"/>
                      <w:sz w:val="21"/>
                      <w:szCs w:val="21"/>
                    </w:rPr>
                  </w:pPr>
                  <w:r>
                    <w:rPr>
                      <w:rFonts w:hint="eastAsia"/>
                      <w:color w:val="auto"/>
                      <w:sz w:val="21"/>
                      <w:szCs w:val="21"/>
                    </w:rPr>
                    <w:t>管理类别</w:t>
                  </w:r>
                </w:p>
              </w:tc>
            </w:tr>
            <w:tr w14:paraId="7460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3" w:type="dxa"/>
                  <w:gridSpan w:val="2"/>
                  <w:vMerge w:val="continue"/>
                  <w:vAlign w:val="center"/>
                </w:tcPr>
                <w:p w14:paraId="4400524F">
                  <w:pPr>
                    <w:pStyle w:val="2"/>
                    <w:spacing w:after="0"/>
                    <w:ind w:left="0" w:leftChars="0" w:firstLine="0"/>
                    <w:jc w:val="center"/>
                    <w:rPr>
                      <w:color w:val="auto"/>
                      <w:sz w:val="21"/>
                      <w:szCs w:val="21"/>
                    </w:rPr>
                  </w:pPr>
                </w:p>
              </w:tc>
              <w:tc>
                <w:tcPr>
                  <w:tcW w:w="975" w:type="dxa"/>
                  <w:vAlign w:val="center"/>
                </w:tcPr>
                <w:p w14:paraId="001E9123">
                  <w:pPr>
                    <w:pStyle w:val="2"/>
                    <w:spacing w:after="0"/>
                    <w:ind w:left="0" w:leftChars="0" w:firstLine="0"/>
                    <w:jc w:val="center"/>
                    <w:rPr>
                      <w:color w:val="auto"/>
                      <w:sz w:val="21"/>
                      <w:szCs w:val="21"/>
                    </w:rPr>
                  </w:pPr>
                  <w:r>
                    <w:rPr>
                      <w:rFonts w:hint="eastAsia"/>
                      <w:color w:val="auto"/>
                      <w:sz w:val="21"/>
                      <w:szCs w:val="21"/>
                    </w:rPr>
                    <w:t>重点管理</w:t>
                  </w:r>
                </w:p>
              </w:tc>
              <w:tc>
                <w:tcPr>
                  <w:tcW w:w="1590" w:type="dxa"/>
                  <w:vAlign w:val="center"/>
                </w:tcPr>
                <w:p w14:paraId="0A425D84">
                  <w:pPr>
                    <w:pStyle w:val="2"/>
                    <w:spacing w:after="0"/>
                    <w:ind w:left="0" w:leftChars="0" w:firstLine="0"/>
                    <w:jc w:val="center"/>
                    <w:rPr>
                      <w:color w:val="auto"/>
                      <w:sz w:val="21"/>
                      <w:szCs w:val="21"/>
                    </w:rPr>
                  </w:pPr>
                  <w:r>
                    <w:rPr>
                      <w:rFonts w:hint="eastAsia"/>
                      <w:color w:val="auto"/>
                      <w:sz w:val="21"/>
                      <w:szCs w:val="21"/>
                    </w:rPr>
                    <w:t>简化管理</w:t>
                  </w:r>
                </w:p>
              </w:tc>
              <w:tc>
                <w:tcPr>
                  <w:tcW w:w="1395" w:type="dxa"/>
                  <w:vAlign w:val="center"/>
                </w:tcPr>
                <w:p w14:paraId="68D9BDBC">
                  <w:pPr>
                    <w:pStyle w:val="2"/>
                    <w:spacing w:after="0"/>
                    <w:ind w:left="0" w:leftChars="0" w:firstLine="0"/>
                    <w:jc w:val="center"/>
                    <w:rPr>
                      <w:color w:val="auto"/>
                      <w:sz w:val="21"/>
                      <w:szCs w:val="21"/>
                    </w:rPr>
                  </w:pPr>
                  <w:r>
                    <w:rPr>
                      <w:color w:val="auto"/>
                      <w:sz w:val="21"/>
                      <w:szCs w:val="21"/>
                    </w:rPr>
                    <w:t>登记</w:t>
                  </w:r>
                  <w:r>
                    <w:rPr>
                      <w:rFonts w:hint="eastAsia"/>
                      <w:color w:val="auto"/>
                      <w:sz w:val="21"/>
                      <w:szCs w:val="21"/>
                    </w:rPr>
                    <w:t>管理</w:t>
                  </w:r>
                </w:p>
              </w:tc>
              <w:tc>
                <w:tcPr>
                  <w:tcW w:w="932" w:type="dxa"/>
                  <w:vMerge w:val="continue"/>
                  <w:vAlign w:val="center"/>
                </w:tcPr>
                <w:p w14:paraId="7BD17B25">
                  <w:pPr>
                    <w:pStyle w:val="2"/>
                    <w:spacing w:after="0"/>
                    <w:ind w:left="0" w:leftChars="0" w:firstLine="0"/>
                    <w:jc w:val="center"/>
                    <w:rPr>
                      <w:color w:val="auto"/>
                      <w:sz w:val="21"/>
                      <w:szCs w:val="21"/>
                    </w:rPr>
                  </w:pPr>
                </w:p>
              </w:tc>
            </w:tr>
            <w:tr w14:paraId="3D82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15" w:type="dxa"/>
                  <w:gridSpan w:val="6"/>
                  <w:vAlign w:val="center"/>
                </w:tcPr>
                <w:p w14:paraId="4194914D">
                  <w:pPr>
                    <w:widowControl/>
                    <w:jc w:val="both"/>
                    <w:rPr>
                      <w:rFonts w:hint="default" w:eastAsia="宋体"/>
                      <w:color w:val="auto"/>
                      <w:szCs w:val="21"/>
                      <w:lang w:val="en-US" w:eastAsia="zh-CN"/>
                    </w:rPr>
                  </w:pPr>
                  <w:r>
                    <w:rPr>
                      <w:rFonts w:hint="default" w:eastAsia="宋体"/>
                      <w:color w:val="auto"/>
                      <w:szCs w:val="21"/>
                      <w:lang w:val="en-US" w:eastAsia="zh-CN"/>
                    </w:rPr>
                    <w:t>二十五、非金属矿物制品业30</w:t>
                  </w:r>
                </w:p>
              </w:tc>
            </w:tr>
            <w:tr w14:paraId="7544E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9" w:type="dxa"/>
                  <w:vAlign w:val="center"/>
                </w:tcPr>
                <w:p w14:paraId="681D1B8F">
                  <w:pPr>
                    <w:widowControl/>
                    <w:jc w:val="center"/>
                    <w:rPr>
                      <w:rFonts w:hint="default" w:eastAsia="宋体"/>
                      <w:color w:val="auto"/>
                      <w:szCs w:val="21"/>
                      <w:lang w:val="en-US" w:eastAsia="zh-CN"/>
                    </w:rPr>
                  </w:pPr>
                  <w:r>
                    <w:rPr>
                      <w:rFonts w:hint="eastAsia"/>
                      <w:color w:val="auto"/>
                      <w:szCs w:val="21"/>
                      <w:lang w:val="en-US" w:eastAsia="zh-CN"/>
                    </w:rPr>
                    <w:t>84</w:t>
                  </w:r>
                </w:p>
              </w:tc>
              <w:tc>
                <w:tcPr>
                  <w:tcW w:w="2534" w:type="dxa"/>
                  <w:vAlign w:val="center"/>
                </w:tcPr>
                <w:p w14:paraId="29AF3B86">
                  <w:pPr>
                    <w:widowControl/>
                    <w:jc w:val="center"/>
                    <w:rPr>
                      <w:color w:val="auto"/>
                      <w:szCs w:val="21"/>
                    </w:rPr>
                  </w:pPr>
                  <w:r>
                    <w:rPr>
                      <w:rFonts w:hint="eastAsia"/>
                      <w:color w:val="auto"/>
                      <w:szCs w:val="21"/>
                      <w:lang w:val="en-US" w:eastAsia="zh-CN"/>
                    </w:rPr>
                    <w:t>采矿、冶金、建筑专用设备制造 351，化工、木材、非金属加工专用设备制造 352，食品、饮料、烟草及饲料生产专用设备制造 353，印刷、制药、日化及日用品生产专用设备制造 354，纺织、服装和皮革加工专用设备制造 355，电子和电工机械专用设备制造 356，农、林、牧、渔专用机械制造 357，医疗仪器设备及器械制造 358，环保、邮政、社会公共服务及其他专用设备制造 359</w:t>
                  </w:r>
                </w:p>
              </w:tc>
              <w:tc>
                <w:tcPr>
                  <w:tcW w:w="975" w:type="dxa"/>
                  <w:vAlign w:val="center"/>
                </w:tcPr>
                <w:p w14:paraId="4B768F0A">
                  <w:pPr>
                    <w:widowControl/>
                    <w:jc w:val="center"/>
                    <w:rPr>
                      <w:color w:val="auto"/>
                      <w:szCs w:val="21"/>
                    </w:rPr>
                  </w:pPr>
                  <w:r>
                    <w:rPr>
                      <w:rFonts w:hint="default"/>
                      <w:color w:val="auto"/>
                      <w:szCs w:val="21"/>
                    </w:rPr>
                    <w:t>涉及通用工序重点管理的</w:t>
                  </w:r>
                </w:p>
              </w:tc>
              <w:tc>
                <w:tcPr>
                  <w:tcW w:w="1590" w:type="dxa"/>
                  <w:vAlign w:val="center"/>
                </w:tcPr>
                <w:p w14:paraId="137BC03B">
                  <w:pPr>
                    <w:widowControl/>
                    <w:jc w:val="center"/>
                    <w:rPr>
                      <w:color w:val="auto"/>
                      <w:szCs w:val="21"/>
                      <w:highlight w:val="lightGray"/>
                    </w:rPr>
                  </w:pPr>
                  <w:r>
                    <w:rPr>
                      <w:rFonts w:hint="eastAsia"/>
                      <w:color w:val="auto"/>
                      <w:szCs w:val="21"/>
                      <w:highlight w:val="none"/>
                      <w:shd w:val="clear" w:color="auto" w:fill="auto"/>
                    </w:rPr>
                    <w:t>涉及通用工序简化管理的</w:t>
                  </w:r>
                </w:p>
              </w:tc>
              <w:tc>
                <w:tcPr>
                  <w:tcW w:w="1395" w:type="dxa"/>
                  <w:vAlign w:val="center"/>
                </w:tcPr>
                <w:p w14:paraId="1E76129C">
                  <w:pPr>
                    <w:pStyle w:val="2"/>
                    <w:spacing w:after="0"/>
                    <w:ind w:left="0" w:leftChars="0" w:firstLine="0"/>
                    <w:jc w:val="center"/>
                    <w:rPr>
                      <w:rFonts w:hint="eastAsia" w:eastAsia="宋体"/>
                      <w:color w:val="auto"/>
                      <w:sz w:val="21"/>
                      <w:szCs w:val="21"/>
                      <w:lang w:eastAsia="zh-CN"/>
                    </w:rPr>
                  </w:pPr>
                  <w:r>
                    <w:rPr>
                      <w:rFonts w:hint="eastAsia"/>
                      <w:color w:val="auto"/>
                      <w:sz w:val="21"/>
                      <w:szCs w:val="21"/>
                      <w:lang w:eastAsia="zh-CN"/>
                    </w:rPr>
                    <w:t>其他</w:t>
                  </w:r>
                </w:p>
              </w:tc>
              <w:tc>
                <w:tcPr>
                  <w:tcW w:w="932" w:type="dxa"/>
                  <w:vAlign w:val="center"/>
                </w:tcPr>
                <w:p w14:paraId="62334BA8">
                  <w:pPr>
                    <w:pStyle w:val="2"/>
                    <w:spacing w:after="0"/>
                    <w:ind w:left="0" w:leftChars="0" w:firstLine="0"/>
                    <w:jc w:val="center"/>
                    <w:rPr>
                      <w:rFonts w:hint="eastAsia" w:eastAsia="宋体"/>
                      <w:color w:val="auto"/>
                      <w:sz w:val="21"/>
                      <w:szCs w:val="21"/>
                      <w:lang w:eastAsia="zh-CN"/>
                    </w:rPr>
                  </w:pPr>
                  <w:r>
                    <w:rPr>
                      <w:rFonts w:hint="eastAsia"/>
                      <w:color w:val="auto"/>
                      <w:sz w:val="21"/>
                      <w:szCs w:val="21"/>
                      <w:lang w:eastAsia="zh-CN" w:bidi="ar"/>
                    </w:rPr>
                    <w:t>登记</w:t>
                  </w:r>
                  <w:r>
                    <w:rPr>
                      <w:rFonts w:hint="eastAsia"/>
                      <w:color w:val="auto"/>
                      <w:sz w:val="21"/>
                      <w:szCs w:val="21"/>
                    </w:rPr>
                    <w:t>管理</w:t>
                  </w:r>
                </w:p>
              </w:tc>
            </w:tr>
            <w:tr w14:paraId="717FC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9" w:type="dxa"/>
                  <w:vAlign w:val="center"/>
                </w:tcPr>
                <w:p w14:paraId="5BA88511">
                  <w:pPr>
                    <w:widowControl/>
                    <w:jc w:val="center"/>
                    <w:rPr>
                      <w:rFonts w:hint="default"/>
                      <w:color w:val="auto"/>
                      <w:szCs w:val="21"/>
                      <w:lang w:val="en-US" w:eastAsia="zh-CN"/>
                    </w:rPr>
                  </w:pPr>
                  <w:r>
                    <w:rPr>
                      <w:rFonts w:hint="eastAsia"/>
                      <w:color w:val="auto"/>
                      <w:szCs w:val="21"/>
                      <w:lang w:val="en-US" w:eastAsia="zh-CN"/>
                    </w:rPr>
                    <w:t>110</w:t>
                  </w:r>
                </w:p>
              </w:tc>
              <w:tc>
                <w:tcPr>
                  <w:tcW w:w="2534" w:type="dxa"/>
                  <w:vAlign w:val="center"/>
                </w:tcPr>
                <w:p w14:paraId="1CA26537">
                  <w:pPr>
                    <w:widowControl/>
                    <w:jc w:val="center"/>
                    <w:rPr>
                      <w:rFonts w:hint="eastAsia"/>
                      <w:color w:val="auto"/>
                      <w:szCs w:val="21"/>
                    </w:rPr>
                  </w:pPr>
                  <w:r>
                    <w:rPr>
                      <w:rFonts w:hint="eastAsia"/>
                      <w:color w:val="auto"/>
                      <w:szCs w:val="21"/>
                    </w:rPr>
                    <w:t>工业炉窑</w:t>
                  </w:r>
                </w:p>
              </w:tc>
              <w:tc>
                <w:tcPr>
                  <w:tcW w:w="975" w:type="dxa"/>
                  <w:vAlign w:val="center"/>
                </w:tcPr>
                <w:p w14:paraId="59F73CE7">
                  <w:pPr>
                    <w:widowControl/>
                    <w:jc w:val="center"/>
                    <w:rPr>
                      <w:rFonts w:hint="eastAsia"/>
                      <w:color w:val="auto"/>
                      <w:szCs w:val="21"/>
                    </w:rPr>
                  </w:pPr>
                  <w:r>
                    <w:rPr>
                      <w:rFonts w:hint="eastAsia"/>
                      <w:color w:val="auto"/>
                      <w:szCs w:val="21"/>
                    </w:rPr>
                    <w:t>纳入重点排污单位名录的</w:t>
                  </w:r>
                </w:p>
              </w:tc>
              <w:tc>
                <w:tcPr>
                  <w:tcW w:w="1590" w:type="dxa"/>
                  <w:vAlign w:val="center"/>
                </w:tcPr>
                <w:p w14:paraId="42B56453">
                  <w:pPr>
                    <w:widowControl/>
                    <w:jc w:val="center"/>
                    <w:rPr>
                      <w:rFonts w:hint="eastAsia"/>
                      <w:color w:val="auto"/>
                      <w:szCs w:val="21"/>
                      <w:highlight w:val="none"/>
                      <w:shd w:val="clear"/>
                    </w:rPr>
                  </w:pPr>
                  <w:r>
                    <w:rPr>
                      <w:rFonts w:hint="eastAsia"/>
                      <w:color w:val="auto"/>
                      <w:sz w:val="21"/>
                      <w:szCs w:val="21"/>
                      <w:highlight w:val="none"/>
                      <w:shd w:val="clear"/>
                    </w:rPr>
                    <w:t>除纳入重点排污单位名录的，除以天然气或者电为能源的加热炉、热处理炉、干燥炉（窑）以外的其他工业炉窑</w:t>
                  </w:r>
                </w:p>
              </w:tc>
              <w:tc>
                <w:tcPr>
                  <w:tcW w:w="1395" w:type="dxa"/>
                  <w:vAlign w:val="center"/>
                </w:tcPr>
                <w:p w14:paraId="2CA16670">
                  <w:pPr>
                    <w:pStyle w:val="2"/>
                    <w:spacing w:after="0"/>
                    <w:ind w:left="0" w:leftChars="0" w:firstLine="0"/>
                    <w:jc w:val="center"/>
                    <w:rPr>
                      <w:rFonts w:hint="eastAsia"/>
                      <w:color w:val="auto"/>
                      <w:sz w:val="21"/>
                      <w:szCs w:val="21"/>
                    </w:rPr>
                  </w:pPr>
                  <w:r>
                    <w:rPr>
                      <w:rFonts w:hint="eastAsia"/>
                      <w:color w:val="auto"/>
                      <w:sz w:val="21"/>
                      <w:szCs w:val="21"/>
                    </w:rPr>
                    <w:t>除纳入重点排污单位名录的，以天然气或者电为能源的加热炉、热处理炉或者干燥炉（窑）</w:t>
                  </w:r>
                </w:p>
              </w:tc>
              <w:tc>
                <w:tcPr>
                  <w:tcW w:w="932" w:type="dxa"/>
                  <w:vAlign w:val="center"/>
                </w:tcPr>
                <w:p w14:paraId="39D2B964">
                  <w:pPr>
                    <w:pStyle w:val="2"/>
                    <w:spacing w:after="0"/>
                    <w:ind w:left="0" w:leftChars="0" w:firstLine="0"/>
                    <w:jc w:val="center"/>
                    <w:rPr>
                      <w:rFonts w:hint="eastAsia"/>
                      <w:color w:val="auto"/>
                      <w:sz w:val="21"/>
                      <w:szCs w:val="21"/>
                      <w:lang w:eastAsia="zh-CN" w:bidi="ar"/>
                    </w:rPr>
                  </w:pPr>
                  <w:r>
                    <w:rPr>
                      <w:rFonts w:hint="eastAsia"/>
                      <w:color w:val="auto"/>
                      <w:sz w:val="21"/>
                      <w:szCs w:val="21"/>
                      <w:lang w:eastAsia="zh-CN" w:bidi="ar"/>
                    </w:rPr>
                    <w:t>登记</w:t>
                  </w:r>
                  <w:r>
                    <w:rPr>
                      <w:rFonts w:hint="eastAsia"/>
                      <w:color w:val="auto"/>
                      <w:sz w:val="21"/>
                      <w:szCs w:val="21"/>
                    </w:rPr>
                    <w:t>管理</w:t>
                  </w:r>
                </w:p>
              </w:tc>
            </w:tr>
          </w:tbl>
          <w:p w14:paraId="62593AC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both"/>
              <w:textAlignment w:val="auto"/>
              <w:rPr>
                <w:rFonts w:hint="default" w:ascii="Times New Roman" w:hAnsi="Times New Roman" w:eastAsia="宋体" w:cs="Times New Roman"/>
                <w:snapToGrid/>
                <w:color w:val="auto"/>
                <w:spacing w:val="0"/>
                <w:kern w:val="0"/>
                <w:position w:val="0"/>
                <w:sz w:val="24"/>
                <w:szCs w:val="24"/>
                <w:lang w:val="en-US" w:eastAsia="zh-CN"/>
              </w:rPr>
            </w:pPr>
            <w:r>
              <w:rPr>
                <w:rFonts w:hint="eastAsia" w:cs="Times New Roman"/>
                <w:snapToGrid/>
                <w:color w:val="auto"/>
                <w:spacing w:val="0"/>
                <w:kern w:val="0"/>
                <w:position w:val="0"/>
                <w:sz w:val="24"/>
                <w:szCs w:val="24"/>
                <w:lang w:eastAsia="zh-CN"/>
              </w:rPr>
              <w:t>（</w:t>
            </w:r>
            <w:r>
              <w:rPr>
                <w:rFonts w:hint="eastAsia" w:cs="Times New Roman"/>
                <w:snapToGrid/>
                <w:color w:val="auto"/>
                <w:spacing w:val="0"/>
                <w:kern w:val="0"/>
                <w:position w:val="0"/>
                <w:sz w:val="24"/>
                <w:szCs w:val="24"/>
                <w:lang w:val="en-US" w:eastAsia="zh-CN"/>
              </w:rPr>
              <w:t>3</w:t>
            </w:r>
            <w:r>
              <w:rPr>
                <w:rFonts w:hint="eastAsia" w:cs="Times New Roman"/>
                <w:snapToGrid/>
                <w:color w:val="auto"/>
                <w:spacing w:val="0"/>
                <w:kern w:val="0"/>
                <w:position w:val="0"/>
                <w:sz w:val="24"/>
                <w:szCs w:val="24"/>
                <w:lang w:eastAsia="zh-CN"/>
              </w:rPr>
              <w:t>）</w:t>
            </w:r>
            <w:r>
              <w:rPr>
                <w:rFonts w:hint="eastAsia" w:cs="Times New Roman"/>
                <w:snapToGrid/>
                <w:color w:val="auto"/>
                <w:spacing w:val="0"/>
                <w:kern w:val="0"/>
                <w:position w:val="0"/>
                <w:sz w:val="24"/>
                <w:szCs w:val="24"/>
                <w:lang w:val="en-US" w:eastAsia="zh-CN"/>
              </w:rPr>
              <w:t>项目建设背景及由来</w:t>
            </w:r>
          </w:p>
          <w:p w14:paraId="358D09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灵璧县威科钓具有限公司成立于2013年，选址位于安徽省宿州市灵璧县尹集镇田路村。2016年，灵璧县威科钓具有限公司投资1500万元建设威科钓具钨合金渔坠生产项目，项目已于2016年3月21日取得了灵璧县发展和改革委员会的备案。2016年4月委托河南金环环境影响评价有限公司编制完成《灵璧县威科钓具有限公司威科钓具钨合金渔坠生产项目环境影响报告表》。2016年11月14日取得灵璧县环境保护局《关于对威科钓具钨合金渔坠生产项目环境影响报告表的批复》（灵环建〔2016〕61号）。环评设计年产能为钨合金渔坠30吨，2016年12月通过环境保护竣工验收，取得《灵璧县威科钓具有限公司威科钓具钨合金渔坠生产项目竣工环境保护验收的意见》（灵环验【2016】39号，灵璧县环境保护局），验收年产能为钨合金渔坠30吨</w:t>
            </w:r>
            <w:r>
              <w:rPr>
                <w:rFonts w:hint="default" w:ascii="Times New Roman" w:hAnsi="Times New Roman" w:cs="Times New Roman"/>
                <w:color w:val="auto"/>
                <w:lang w:eastAsia="zh-CN"/>
              </w:rPr>
              <w:t>。</w:t>
            </w:r>
            <w:r>
              <w:rPr>
                <w:rFonts w:hint="default" w:ascii="Times New Roman" w:hAnsi="Times New Roman" w:cs="Times New Roman"/>
                <w:color w:val="auto"/>
                <w:sz w:val="24"/>
                <w:szCs w:val="24"/>
                <w:highlight w:val="none"/>
                <w:lang w:val="en-US" w:eastAsia="zh-CN"/>
              </w:rPr>
              <w:t>2020年5月22日取得</w:t>
            </w:r>
            <w:r>
              <w:rPr>
                <w:rStyle w:val="42"/>
                <w:rFonts w:hint="default" w:ascii="Times New Roman" w:hAnsi="Times New Roman" w:eastAsia="宋体" w:cs="Times New Roman"/>
                <w:color w:val="auto"/>
                <w:sz w:val="24"/>
                <w:szCs w:val="24"/>
                <w:lang w:val="en-US" w:eastAsia="zh-CN" w:bidi="ar"/>
              </w:rPr>
              <w:t>固定污染源排污登记回执（登记编号：913413</w:t>
            </w:r>
            <w:r>
              <w:rPr>
                <w:rStyle w:val="42"/>
                <w:rFonts w:hint="default" w:ascii="Times New Roman" w:hAnsi="Times New Roman" w:cs="Times New Roman"/>
                <w:color w:val="auto"/>
                <w:sz w:val="24"/>
                <w:szCs w:val="24"/>
                <w:lang w:val="en-US" w:eastAsia="zh-CN" w:bidi="ar"/>
              </w:rPr>
              <w:t>23073901643D001X</w:t>
            </w:r>
            <w:r>
              <w:rPr>
                <w:rStyle w:val="42"/>
                <w:rFonts w:hint="default" w:ascii="Times New Roman" w:hAnsi="Times New Roman" w:eastAsia="宋体" w:cs="Times New Roman"/>
                <w:color w:val="auto"/>
                <w:sz w:val="24"/>
                <w:szCs w:val="24"/>
                <w:lang w:val="en-US" w:eastAsia="zh-CN" w:bidi="ar"/>
              </w:rPr>
              <w:t>）。</w:t>
            </w:r>
          </w:p>
          <w:p w14:paraId="00EA6A2D">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auto"/>
              <w:outlineLvl w:val="0"/>
              <w:rPr>
                <w:rStyle w:val="42"/>
                <w:rFonts w:hint="default" w:ascii="Times New Roman" w:hAnsi="Times New Roman" w:eastAsia="宋体" w:cs="Times New Roman"/>
                <w:snapToGrid/>
                <w:color w:val="auto"/>
                <w:spacing w:val="0"/>
                <w:kern w:val="0"/>
                <w:position w:val="0"/>
                <w:sz w:val="24"/>
                <w:szCs w:val="24"/>
                <w:lang w:val="en-US" w:eastAsia="zh-CN" w:bidi="ar"/>
              </w:rPr>
            </w:pPr>
            <w:r>
              <w:rPr>
                <w:rFonts w:hint="default" w:cs="Times New Roman"/>
                <w:b/>
                <w:bCs/>
                <w:color w:val="auto"/>
                <w:sz w:val="24"/>
                <w:szCs w:val="24"/>
                <w:highlight w:val="none"/>
                <w:lang w:val="en-US" w:eastAsia="zh-CN"/>
              </w:rPr>
              <w:t>由于</w:t>
            </w:r>
            <w:r>
              <w:rPr>
                <w:rFonts w:hint="eastAsia" w:cs="Times New Roman"/>
                <w:b/>
                <w:bCs/>
                <w:color w:val="auto"/>
                <w:sz w:val="24"/>
                <w:szCs w:val="24"/>
                <w:highlight w:val="none"/>
                <w:lang w:val="en-US" w:eastAsia="zh-CN"/>
              </w:rPr>
              <w:t>市场需求，</w:t>
            </w:r>
            <w:r>
              <w:rPr>
                <w:rFonts w:hint="default" w:cs="Times New Roman"/>
                <w:b/>
                <w:bCs/>
                <w:color w:val="auto"/>
                <w:sz w:val="24"/>
                <w:szCs w:val="24"/>
                <w:highlight w:val="none"/>
                <w:lang w:val="en-US" w:eastAsia="zh-CN"/>
              </w:rPr>
              <w:t>企业</w:t>
            </w:r>
            <w:r>
              <w:rPr>
                <w:rFonts w:hint="eastAsia" w:cs="Times New Roman"/>
                <w:b/>
                <w:bCs/>
                <w:color w:val="auto"/>
                <w:sz w:val="24"/>
                <w:szCs w:val="24"/>
                <w:highlight w:val="none"/>
                <w:lang w:val="en-US" w:eastAsia="zh-CN"/>
              </w:rPr>
              <w:t>投资</w:t>
            </w:r>
            <w:r>
              <w:rPr>
                <w:rFonts w:hint="eastAsia" w:ascii="Times New Roman" w:hAnsi="Times New Roman" w:cs="Times New Roman"/>
                <w:b/>
                <w:bCs/>
                <w:color w:val="auto"/>
                <w:sz w:val="24"/>
                <w:szCs w:val="24"/>
                <w:highlight w:val="none"/>
                <w:lang w:val="en-US" w:eastAsia="zh-CN"/>
              </w:rPr>
              <w:t>1000</w:t>
            </w:r>
            <w:r>
              <w:rPr>
                <w:rFonts w:hint="eastAsia" w:cs="Times New Roman"/>
                <w:b/>
                <w:bCs/>
                <w:color w:val="auto"/>
                <w:sz w:val="24"/>
                <w:szCs w:val="24"/>
                <w:highlight w:val="none"/>
                <w:lang w:val="en-US" w:eastAsia="zh-CN"/>
              </w:rPr>
              <w:t>万元建设“钨合金渔坠生产扩建项目”，灵璧县发展和改革委员会</w:t>
            </w:r>
            <w:r>
              <w:rPr>
                <w:rFonts w:hint="default" w:ascii="Times New Roman" w:hAnsi="Times New Roman" w:cs="Times New Roman"/>
                <w:b/>
                <w:bCs/>
                <w:color w:val="auto"/>
                <w:sz w:val="24"/>
                <w:szCs w:val="24"/>
                <w:highlight w:val="none"/>
                <w:lang w:val="en-US" w:eastAsia="zh-CN"/>
              </w:rPr>
              <w:t>于20</w:t>
            </w:r>
            <w:r>
              <w:rPr>
                <w:rFonts w:hint="eastAsia" w:ascii="Times New Roman" w:hAnsi="Times New Roman" w:cs="Times New Roman"/>
                <w:b/>
                <w:bCs/>
                <w:color w:val="auto"/>
                <w:sz w:val="24"/>
                <w:szCs w:val="24"/>
                <w:highlight w:val="none"/>
                <w:lang w:val="en-US" w:eastAsia="zh-CN"/>
              </w:rPr>
              <w:t>25</w:t>
            </w:r>
            <w:r>
              <w:rPr>
                <w:rFonts w:hint="default" w:ascii="Times New Roman" w:hAnsi="Times New Roman" w:cs="Times New Roman"/>
                <w:b/>
                <w:bCs/>
                <w:color w:val="auto"/>
                <w:sz w:val="24"/>
                <w:szCs w:val="24"/>
                <w:highlight w:val="none"/>
                <w:lang w:val="en-US" w:eastAsia="zh-CN"/>
              </w:rPr>
              <w:t>年3月</w:t>
            </w:r>
            <w:r>
              <w:rPr>
                <w:rFonts w:hint="eastAsia" w:ascii="Times New Roman" w:hAnsi="Times New Roman" w:cs="Times New Roman"/>
                <w:b/>
                <w:bCs/>
                <w:color w:val="auto"/>
                <w:sz w:val="24"/>
                <w:szCs w:val="24"/>
                <w:highlight w:val="none"/>
                <w:lang w:val="en-US" w:eastAsia="zh-CN"/>
              </w:rPr>
              <w:t>予以备案</w:t>
            </w:r>
            <w:r>
              <w:rPr>
                <w:rFonts w:hint="eastAsia" w:cs="Times New Roman"/>
                <w:b/>
                <w:bCs/>
                <w:color w:val="auto"/>
                <w:sz w:val="24"/>
                <w:szCs w:val="24"/>
                <w:highlight w:val="none"/>
                <w:lang w:val="en-US" w:eastAsia="zh-CN"/>
              </w:rPr>
              <w:t>，项目代码为：</w:t>
            </w:r>
            <w:r>
              <w:rPr>
                <w:rFonts w:hint="default" w:ascii="Times New Roman" w:hAnsi="Times New Roman" w:cs="Times New Roman"/>
                <w:b/>
                <w:bCs/>
                <w:color w:val="auto"/>
                <w:sz w:val="24"/>
                <w:szCs w:val="24"/>
                <w:highlight w:val="none"/>
                <w:lang w:val="en-US" w:eastAsia="zh-CN"/>
              </w:rPr>
              <w:t>2503-341323-04-01-133099，</w:t>
            </w:r>
            <w:r>
              <w:rPr>
                <w:rFonts w:hint="eastAsia" w:cs="Times New Roman"/>
                <w:b/>
                <w:bCs/>
                <w:color w:val="auto"/>
                <w:sz w:val="24"/>
                <w:szCs w:val="24"/>
                <w:highlight w:val="none"/>
                <w:lang w:val="en-US" w:eastAsia="zh-CN"/>
              </w:rPr>
              <w:t>同时对厂区的生产布局进行重新规划。</w:t>
            </w:r>
          </w:p>
          <w:p w14:paraId="55EB0208">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outlineLvl w:val="0"/>
              <w:rPr>
                <w:rStyle w:val="42"/>
                <w:rFonts w:hint="default" w:ascii="Times New Roman" w:hAnsi="Times New Roman" w:cs="Times New Roman"/>
                <w:snapToGrid/>
                <w:color w:val="auto"/>
                <w:spacing w:val="0"/>
                <w:kern w:val="0"/>
                <w:position w:val="0"/>
                <w:sz w:val="24"/>
                <w:szCs w:val="24"/>
                <w:lang w:val="en-US" w:eastAsia="zh-CN" w:bidi="ar"/>
              </w:rPr>
            </w:pPr>
            <w:r>
              <w:rPr>
                <w:rStyle w:val="42"/>
                <w:rFonts w:hint="eastAsia" w:ascii="Times New Roman" w:hAnsi="Times New Roman" w:cs="Times New Roman"/>
                <w:snapToGrid/>
                <w:color w:val="auto"/>
                <w:spacing w:val="0"/>
                <w:kern w:val="0"/>
                <w:position w:val="0"/>
                <w:sz w:val="24"/>
                <w:szCs w:val="24"/>
                <w:lang w:val="en-US" w:eastAsia="zh-CN" w:bidi="ar"/>
              </w:rPr>
              <w:t>（4）项目建设内容</w:t>
            </w:r>
          </w:p>
          <w:p w14:paraId="7FEA7EDC">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outlineLvl w:val="0"/>
              <w:rPr>
                <w:rFonts w:hint="eastAsia" w:cs="Times New Roman"/>
                <w:b w:val="0"/>
                <w:bCs w:val="0"/>
                <w:snapToGrid/>
                <w:color w:val="auto"/>
                <w:spacing w:val="0"/>
                <w:kern w:val="0"/>
                <w:position w:val="0"/>
                <w:sz w:val="24"/>
                <w:szCs w:val="24"/>
                <w:lang w:val="en-US" w:eastAsia="zh-CN" w:bidi="ar-SA"/>
              </w:rPr>
            </w:pPr>
            <w:r>
              <w:rPr>
                <w:rFonts w:hint="eastAsia" w:cs="Times New Roman"/>
                <w:color w:val="auto"/>
                <w:sz w:val="24"/>
                <w:szCs w:val="24"/>
                <w:highlight w:val="none"/>
                <w:lang w:val="en-US" w:eastAsia="zh-CN"/>
              </w:rPr>
              <w:t>灵璧县威科钓具有限公司</w:t>
            </w:r>
            <w:r>
              <w:rPr>
                <w:rFonts w:hint="eastAsia" w:ascii="Times New Roman" w:hAnsi="Times New Roman" w:cs="Times New Roman"/>
                <w:color w:val="auto"/>
                <w:sz w:val="24"/>
                <w:lang w:val="en-US" w:eastAsia="zh-CN"/>
              </w:rPr>
              <w:t>投资1000万元，在原有项目基础上建设钨合金渔坠生产扩建项目，项目占地面积不变，拟在原有项目基础上增加生产线，拟购置微电脑钼丝炉、混料机、注塑机、震动研磨机等设备，并配套建设消防、环保等设施。项目建成后，可实现年产30吨钨合金渔坠的生产能力。</w:t>
            </w:r>
          </w:p>
          <w:p w14:paraId="6CE270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项目建</w:t>
            </w:r>
            <w:r>
              <w:rPr>
                <w:rFonts w:hint="default" w:ascii="Times New Roman" w:hAnsi="Times New Roman" w:eastAsia="宋体" w:cs="Times New Roman"/>
                <w:b w:val="0"/>
                <w:bCs w:val="0"/>
                <w:color w:val="auto"/>
                <w:sz w:val="24"/>
                <w:szCs w:val="24"/>
                <w:highlight w:val="none"/>
              </w:rPr>
              <w:t>设</w:t>
            </w:r>
            <w:r>
              <w:rPr>
                <w:rFonts w:hint="eastAsia" w:ascii="Times New Roman" w:hAnsi="Times New Roman" w:eastAsia="宋体" w:cs="Times New Roman"/>
                <w:b w:val="0"/>
                <w:bCs w:val="0"/>
                <w:color w:val="auto"/>
                <w:sz w:val="24"/>
                <w:szCs w:val="24"/>
                <w:highlight w:val="none"/>
                <w:lang w:val="en-US" w:eastAsia="zh-CN"/>
              </w:rPr>
              <w:t>基本情况</w:t>
            </w:r>
            <w:r>
              <w:rPr>
                <w:rFonts w:hint="default" w:ascii="Times New Roman" w:hAnsi="Times New Roman" w:eastAsia="宋体" w:cs="Times New Roman"/>
                <w:color w:val="auto"/>
                <w:sz w:val="24"/>
                <w:szCs w:val="24"/>
                <w:highlight w:val="none"/>
              </w:rPr>
              <w:t>一览表见表</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w:t>
            </w:r>
          </w:p>
          <w:p w14:paraId="08251ED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cs="Times New Roman"/>
                <w:b/>
                <w:bCs/>
                <w:snapToGrid/>
                <w:color w:val="auto"/>
                <w:spacing w:val="0"/>
                <w:kern w:val="0"/>
                <w:position w:val="0"/>
                <w:sz w:val="24"/>
                <w:szCs w:val="24"/>
                <w:lang w:val="en-US" w:eastAsia="zh-CN"/>
              </w:rPr>
            </w:pPr>
            <w:r>
              <w:rPr>
                <w:b/>
                <w:bCs/>
                <w:color w:val="auto"/>
                <w:kern w:val="0"/>
                <w:sz w:val="24"/>
              </w:rPr>
              <w:t>表2.</w:t>
            </w:r>
            <w:r>
              <w:rPr>
                <w:rFonts w:hint="eastAsia"/>
                <w:b/>
                <w:bCs/>
                <w:color w:val="auto"/>
                <w:kern w:val="0"/>
                <w:sz w:val="24"/>
              </w:rPr>
              <w:t>3</w:t>
            </w:r>
            <w:r>
              <w:rPr>
                <w:b/>
                <w:bCs/>
                <w:color w:val="auto"/>
                <w:kern w:val="0"/>
                <w:sz w:val="24"/>
              </w:rPr>
              <w:t xml:space="preserve">  项目建设内容一览表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918"/>
              <w:gridCol w:w="1755"/>
              <w:gridCol w:w="1953"/>
              <w:gridCol w:w="2178"/>
              <w:gridCol w:w="1025"/>
            </w:tblGrid>
            <w:tr w14:paraId="502A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vAlign w:val="center"/>
                </w:tcPr>
                <w:p w14:paraId="7ED14E3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snapToGrid/>
                      <w:color w:val="auto"/>
                      <w:spacing w:val="0"/>
                      <w:kern w:val="0"/>
                      <w:position w:val="0"/>
                      <w:sz w:val="30"/>
                      <w:szCs w:val="30"/>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工程类别</w:t>
                  </w:r>
                </w:p>
              </w:tc>
              <w:tc>
                <w:tcPr>
                  <w:tcW w:w="918" w:type="dxa"/>
                  <w:vAlign w:val="center"/>
                </w:tcPr>
                <w:p w14:paraId="4BD7E3E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snapToGrid/>
                      <w:color w:val="auto"/>
                      <w:spacing w:val="0"/>
                      <w:kern w:val="0"/>
                      <w:position w:val="0"/>
                      <w:sz w:val="30"/>
                      <w:szCs w:val="30"/>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单项工程</w:t>
                  </w:r>
                </w:p>
              </w:tc>
              <w:tc>
                <w:tcPr>
                  <w:tcW w:w="1755" w:type="dxa"/>
                  <w:vAlign w:val="center"/>
                </w:tcPr>
                <w:p w14:paraId="1CF9C05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snapToGrid/>
                      <w:color w:val="auto"/>
                      <w:spacing w:val="0"/>
                      <w:kern w:val="0"/>
                      <w:position w:val="0"/>
                      <w:sz w:val="30"/>
                      <w:szCs w:val="30"/>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现有工程内容及规模</w:t>
                  </w:r>
                </w:p>
              </w:tc>
              <w:tc>
                <w:tcPr>
                  <w:tcW w:w="1953" w:type="dxa"/>
                  <w:vAlign w:val="center"/>
                </w:tcPr>
                <w:p w14:paraId="1F86BD9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snapToGrid/>
                      <w:color w:val="auto"/>
                      <w:spacing w:val="0"/>
                      <w:kern w:val="0"/>
                      <w:position w:val="0"/>
                      <w:sz w:val="30"/>
                      <w:szCs w:val="30"/>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本项目工程内容及规模</w:t>
                  </w:r>
                </w:p>
              </w:tc>
              <w:tc>
                <w:tcPr>
                  <w:tcW w:w="2178" w:type="dxa"/>
                  <w:vAlign w:val="center"/>
                </w:tcPr>
                <w:p w14:paraId="44A8859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snapToGrid/>
                      <w:color w:val="auto"/>
                      <w:spacing w:val="0"/>
                      <w:kern w:val="0"/>
                      <w:position w:val="0"/>
                      <w:sz w:val="30"/>
                      <w:szCs w:val="30"/>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本项目建成后全厂工程内容及规模</w:t>
                  </w:r>
                </w:p>
              </w:tc>
              <w:tc>
                <w:tcPr>
                  <w:tcW w:w="1025" w:type="dxa"/>
                  <w:vAlign w:val="center"/>
                </w:tcPr>
                <w:p w14:paraId="277B940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snapToGrid/>
                      <w:color w:val="auto"/>
                      <w:spacing w:val="0"/>
                      <w:kern w:val="0"/>
                      <w:position w:val="0"/>
                      <w:sz w:val="30"/>
                      <w:szCs w:val="30"/>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备注</w:t>
                  </w:r>
                </w:p>
              </w:tc>
            </w:tr>
            <w:tr w14:paraId="091DB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vMerge w:val="restart"/>
                  <w:vAlign w:val="center"/>
                </w:tcPr>
                <w:p w14:paraId="566A54AE">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eastAsia" w:ascii="宋体" w:hAnsi="宋体" w:eastAsia="宋体" w:cs="宋体"/>
                      <w:b/>
                      <w:bCs/>
                      <w:snapToGrid/>
                      <w:color w:val="auto"/>
                      <w:spacing w:val="0"/>
                      <w:kern w:val="0"/>
                      <w:position w:val="0"/>
                      <w:sz w:val="30"/>
                      <w:szCs w:val="30"/>
                      <w:vertAlign w:val="baseline"/>
                      <w:lang w:val="en-US" w:eastAsia="zh-CN"/>
                    </w:rPr>
                  </w:pPr>
                  <w:r>
                    <w:rPr>
                      <w:rFonts w:hint="eastAsia" w:ascii="宋体" w:hAnsi="宋体" w:eastAsia="宋体" w:cs="宋体"/>
                      <w:b w:val="0"/>
                      <w:bCs w:val="0"/>
                      <w:snapToGrid/>
                      <w:color w:val="auto"/>
                      <w:spacing w:val="0"/>
                      <w:kern w:val="0"/>
                      <w:position w:val="0"/>
                      <w:sz w:val="21"/>
                      <w:szCs w:val="21"/>
                      <w:vertAlign w:val="baseline"/>
                      <w:lang w:val="en-US" w:eastAsia="zh-CN"/>
                    </w:rPr>
                    <w:t>主体工程</w:t>
                  </w:r>
                </w:p>
              </w:tc>
              <w:tc>
                <w:tcPr>
                  <w:tcW w:w="918" w:type="dxa"/>
                  <w:vAlign w:val="center"/>
                </w:tcPr>
                <w:p w14:paraId="4422878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snapToGrid/>
                      <w:color w:val="auto"/>
                      <w:spacing w:val="0"/>
                      <w:kern w:val="0"/>
                      <w:position w:val="0"/>
                      <w:sz w:val="30"/>
                      <w:szCs w:val="30"/>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1#生产车间</w:t>
                  </w:r>
                </w:p>
              </w:tc>
              <w:tc>
                <w:tcPr>
                  <w:tcW w:w="1755" w:type="dxa"/>
                  <w:vAlign w:val="center"/>
                </w:tcPr>
                <w:p w14:paraId="7BCC69E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snapToGrid/>
                      <w:color w:val="auto"/>
                      <w:spacing w:val="0"/>
                      <w:kern w:val="0"/>
                      <w:position w:val="0"/>
                      <w:sz w:val="30"/>
                      <w:szCs w:val="30"/>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1</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F，</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建筑面积为</w:t>
                  </w:r>
                  <w:r>
                    <w:rPr>
                      <w:rFonts w:hint="eastAsia" w:cs="Times New Roman"/>
                      <w:b w:val="0"/>
                      <w:bCs w:val="0"/>
                      <w:snapToGrid/>
                      <w:color w:val="auto"/>
                      <w:spacing w:val="0"/>
                      <w:kern w:val="0"/>
                      <w:position w:val="0"/>
                      <w:sz w:val="21"/>
                      <w:szCs w:val="21"/>
                      <w:vertAlign w:val="baseline"/>
                      <w:lang w:val="en-US" w:eastAsia="zh-CN"/>
                    </w:rPr>
                    <w:t>1250</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eastAsia" w:ascii="Times New Roman" w:hAnsi="Times New Roman" w:eastAsia="宋体" w:cs="Times New Roman"/>
                      <w:b w:val="0"/>
                      <w:bCs w:val="0"/>
                      <w:snapToGrid/>
                      <w:color w:val="auto"/>
                      <w:spacing w:val="0"/>
                      <w:kern w:val="0"/>
                      <w:position w:val="0"/>
                      <w:sz w:val="21"/>
                      <w:szCs w:val="21"/>
                      <w:vertAlign w:val="superscript"/>
                      <w:lang w:val="en-US" w:eastAsia="zh-CN"/>
                    </w:rPr>
                    <w:t>2</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w:t>
                  </w:r>
                  <w:r>
                    <w:rPr>
                      <w:rFonts w:hint="eastAsia" w:cs="Times New Roman"/>
                      <w:b w:val="0"/>
                      <w:bCs w:val="0"/>
                      <w:snapToGrid/>
                      <w:color w:val="auto"/>
                      <w:spacing w:val="0"/>
                      <w:kern w:val="0"/>
                      <w:position w:val="0"/>
                      <w:sz w:val="21"/>
                      <w:szCs w:val="21"/>
                      <w:vertAlign w:val="baseline"/>
                      <w:lang w:val="en-US" w:eastAsia="zh-CN"/>
                    </w:rPr>
                    <w:t>购置</w:t>
                  </w:r>
                  <w:r>
                    <w:rPr>
                      <w:rFonts w:hint="eastAsia"/>
                      <w:color w:val="auto"/>
                    </w:rPr>
                    <w:t>V型混料机</w:t>
                  </w:r>
                  <w:r>
                    <w:rPr>
                      <w:rFonts w:hint="eastAsia"/>
                      <w:color w:val="auto"/>
                      <w:lang w:eastAsia="zh-CN"/>
                    </w:rPr>
                    <w:t>、</w:t>
                  </w:r>
                  <w:r>
                    <w:rPr>
                      <w:rFonts w:hint="eastAsia"/>
                      <w:color w:val="auto"/>
                    </w:rPr>
                    <w:t>高速混料机</w:t>
                  </w:r>
                  <w:r>
                    <w:rPr>
                      <w:rFonts w:hint="eastAsia"/>
                      <w:color w:val="auto"/>
                      <w:lang w:eastAsia="zh-CN"/>
                    </w:rPr>
                    <w:t>、</w:t>
                  </w:r>
                  <w:r>
                    <w:rPr>
                      <w:rFonts w:hint="eastAsia"/>
                      <w:color w:val="auto"/>
                    </w:rPr>
                    <w:t>注塑机</w:t>
                  </w:r>
                  <w:r>
                    <w:rPr>
                      <w:rFonts w:hint="eastAsia"/>
                      <w:color w:val="auto"/>
                      <w:lang w:eastAsia="zh-CN"/>
                    </w:rPr>
                    <w:t>、</w:t>
                  </w:r>
                  <w:r>
                    <w:rPr>
                      <w:rFonts w:hint="eastAsia"/>
                      <w:color w:val="auto"/>
                    </w:rPr>
                    <w:t>软鱼注塑机</w:t>
                  </w:r>
                  <w:r>
                    <w:rPr>
                      <w:rFonts w:hint="eastAsia"/>
                      <w:color w:val="auto"/>
                      <w:lang w:eastAsia="zh-CN"/>
                    </w:rPr>
                    <w:t>、压铸机、</w:t>
                  </w:r>
                  <w:r>
                    <w:rPr>
                      <w:rFonts w:hint="eastAsia"/>
                      <w:color w:val="auto"/>
                    </w:rPr>
                    <w:t>微电脑钼丝炉</w:t>
                  </w:r>
                  <w:r>
                    <w:rPr>
                      <w:rFonts w:hint="eastAsia"/>
                      <w:color w:val="auto"/>
                      <w:lang w:eastAsia="zh-CN"/>
                    </w:rPr>
                    <w:t>等设备，用于项目的混料、加热、注塑、脱胶、烧结致密等工艺的生产。</w:t>
                  </w:r>
                </w:p>
              </w:tc>
              <w:tc>
                <w:tcPr>
                  <w:tcW w:w="1953" w:type="dxa"/>
                  <w:vAlign w:val="center"/>
                </w:tcPr>
                <w:p w14:paraId="3C517F9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snapToGrid/>
                      <w:color w:val="auto"/>
                      <w:spacing w:val="0"/>
                      <w:kern w:val="0"/>
                      <w:position w:val="0"/>
                      <w:sz w:val="30"/>
                      <w:szCs w:val="30"/>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1</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F，新增</w:t>
                  </w:r>
                  <w:r>
                    <w:rPr>
                      <w:rFonts w:hint="eastAsia"/>
                      <w:color w:val="auto"/>
                    </w:rPr>
                    <w:t>高速混料机</w:t>
                  </w:r>
                  <w:r>
                    <w:rPr>
                      <w:rFonts w:hint="eastAsia"/>
                      <w:color w:val="auto"/>
                      <w:lang w:eastAsia="zh-CN"/>
                    </w:rPr>
                    <w:t>、</w:t>
                  </w:r>
                  <w:r>
                    <w:rPr>
                      <w:rFonts w:hint="eastAsia"/>
                      <w:color w:val="auto"/>
                    </w:rPr>
                    <w:t>V型混料机</w:t>
                  </w:r>
                  <w:r>
                    <w:rPr>
                      <w:rFonts w:hint="eastAsia"/>
                      <w:color w:val="auto"/>
                      <w:lang w:eastAsia="zh-CN"/>
                    </w:rPr>
                    <w:t>、</w:t>
                  </w:r>
                  <w:r>
                    <w:rPr>
                      <w:rFonts w:hint="eastAsia"/>
                      <w:color w:val="auto"/>
                    </w:rPr>
                    <w:t>注塑机</w:t>
                  </w:r>
                  <w:r>
                    <w:rPr>
                      <w:rFonts w:hint="eastAsia"/>
                      <w:color w:val="auto"/>
                      <w:lang w:eastAsia="zh-CN"/>
                    </w:rPr>
                    <w:t>、</w:t>
                  </w:r>
                  <w:r>
                    <w:rPr>
                      <w:rFonts w:hint="eastAsia"/>
                      <w:color w:val="auto"/>
                    </w:rPr>
                    <w:t>微电脑钼丝炉</w:t>
                  </w:r>
                  <w:r>
                    <w:rPr>
                      <w:rFonts w:hint="eastAsia"/>
                      <w:color w:val="auto"/>
                      <w:lang w:eastAsia="zh-CN"/>
                    </w:rPr>
                    <w:t>等设备，</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并对厂房进行重新布局。</w:t>
                  </w:r>
                </w:p>
              </w:tc>
              <w:tc>
                <w:tcPr>
                  <w:tcW w:w="2178" w:type="dxa"/>
                  <w:vAlign w:val="center"/>
                </w:tcPr>
                <w:p w14:paraId="4F7EA43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宋体" w:hAnsi="宋体" w:eastAsia="宋体" w:cs="宋体"/>
                      <w:b/>
                      <w:bCs/>
                      <w:snapToGrid/>
                      <w:color w:val="auto"/>
                      <w:spacing w:val="0"/>
                      <w:kern w:val="0"/>
                      <w:position w:val="0"/>
                      <w:sz w:val="30"/>
                      <w:szCs w:val="30"/>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1</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F，</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建筑面积为</w:t>
                  </w:r>
                  <w:r>
                    <w:rPr>
                      <w:rFonts w:hint="eastAsia" w:cs="Times New Roman"/>
                      <w:b w:val="0"/>
                      <w:bCs w:val="0"/>
                      <w:snapToGrid/>
                      <w:color w:val="auto"/>
                      <w:spacing w:val="0"/>
                      <w:kern w:val="0"/>
                      <w:position w:val="0"/>
                      <w:sz w:val="21"/>
                      <w:szCs w:val="21"/>
                      <w:vertAlign w:val="baseline"/>
                      <w:lang w:val="en-US" w:eastAsia="zh-CN"/>
                    </w:rPr>
                    <w:t>1250</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eastAsia" w:ascii="Times New Roman" w:hAnsi="Times New Roman" w:eastAsia="宋体" w:cs="Times New Roman"/>
                      <w:b w:val="0"/>
                      <w:bCs w:val="0"/>
                      <w:snapToGrid/>
                      <w:color w:val="auto"/>
                      <w:spacing w:val="0"/>
                      <w:kern w:val="0"/>
                      <w:position w:val="0"/>
                      <w:sz w:val="21"/>
                      <w:szCs w:val="21"/>
                      <w:vertAlign w:val="superscript"/>
                      <w:lang w:val="en-US" w:eastAsia="zh-CN"/>
                    </w:rPr>
                    <w:t>2</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w:t>
                  </w:r>
                  <w:r>
                    <w:rPr>
                      <w:rFonts w:hint="eastAsia" w:cs="Times New Roman"/>
                      <w:b w:val="0"/>
                      <w:bCs w:val="0"/>
                      <w:snapToGrid/>
                      <w:color w:val="auto"/>
                      <w:spacing w:val="0"/>
                      <w:kern w:val="0"/>
                      <w:position w:val="0"/>
                      <w:sz w:val="21"/>
                      <w:szCs w:val="21"/>
                      <w:vertAlign w:val="baseline"/>
                      <w:lang w:val="en-US" w:eastAsia="zh-CN"/>
                    </w:rPr>
                    <w:t>购置</w:t>
                  </w:r>
                  <w:r>
                    <w:rPr>
                      <w:rFonts w:hint="eastAsia"/>
                      <w:color w:val="auto"/>
                    </w:rPr>
                    <w:t>高速混料机</w:t>
                  </w:r>
                  <w:r>
                    <w:rPr>
                      <w:rFonts w:hint="eastAsia"/>
                      <w:color w:val="auto"/>
                      <w:lang w:eastAsia="zh-CN"/>
                    </w:rPr>
                    <w:t>、</w:t>
                  </w:r>
                  <w:r>
                    <w:rPr>
                      <w:rFonts w:hint="eastAsia"/>
                      <w:color w:val="auto"/>
                    </w:rPr>
                    <w:t>V型混料机</w:t>
                  </w:r>
                  <w:r>
                    <w:rPr>
                      <w:rFonts w:hint="eastAsia"/>
                      <w:color w:val="auto"/>
                      <w:lang w:eastAsia="zh-CN"/>
                    </w:rPr>
                    <w:t>、</w:t>
                  </w:r>
                  <w:r>
                    <w:rPr>
                      <w:rFonts w:hint="eastAsia"/>
                      <w:color w:val="auto"/>
                    </w:rPr>
                    <w:t>注塑机</w:t>
                  </w:r>
                  <w:r>
                    <w:rPr>
                      <w:rFonts w:hint="eastAsia"/>
                      <w:color w:val="auto"/>
                      <w:lang w:eastAsia="zh-CN"/>
                    </w:rPr>
                    <w:t>、</w:t>
                  </w:r>
                  <w:r>
                    <w:rPr>
                      <w:rFonts w:hint="eastAsia"/>
                      <w:color w:val="auto"/>
                    </w:rPr>
                    <w:t>微电脑钼丝炉</w:t>
                  </w:r>
                  <w:r>
                    <w:rPr>
                      <w:rFonts w:hint="eastAsia"/>
                      <w:color w:val="auto"/>
                      <w:lang w:eastAsia="zh-CN"/>
                    </w:rPr>
                    <w:t>等设备，用于项目的混料、加热、注塑、脱胶、烧结致密等工艺的生产。</w:t>
                  </w:r>
                </w:p>
              </w:tc>
              <w:tc>
                <w:tcPr>
                  <w:tcW w:w="1025" w:type="dxa"/>
                  <w:vAlign w:val="center"/>
                </w:tcPr>
                <w:p w14:paraId="6D24A76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snapToGrid/>
                      <w:color w:val="auto"/>
                      <w:spacing w:val="0"/>
                      <w:kern w:val="0"/>
                      <w:position w:val="0"/>
                      <w:sz w:val="30"/>
                      <w:szCs w:val="30"/>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新增设备</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，厂房重新布局。</w:t>
                  </w:r>
                </w:p>
              </w:tc>
            </w:tr>
            <w:tr w14:paraId="15A3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vMerge w:val="continue"/>
                  <w:vAlign w:val="center"/>
                </w:tcPr>
                <w:p w14:paraId="00F6C99B">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eastAsia" w:ascii="宋体" w:hAnsi="宋体" w:eastAsia="宋体" w:cs="宋体"/>
                      <w:b/>
                      <w:bCs/>
                      <w:snapToGrid/>
                      <w:color w:val="auto"/>
                      <w:spacing w:val="0"/>
                      <w:kern w:val="0"/>
                      <w:position w:val="0"/>
                      <w:sz w:val="30"/>
                      <w:szCs w:val="30"/>
                      <w:vertAlign w:val="baseline"/>
                      <w:lang w:val="en-US" w:eastAsia="zh-CN"/>
                    </w:rPr>
                  </w:pPr>
                </w:p>
              </w:tc>
              <w:tc>
                <w:tcPr>
                  <w:tcW w:w="918" w:type="dxa"/>
                  <w:vAlign w:val="center"/>
                </w:tcPr>
                <w:p w14:paraId="0CA8AF3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snapToGrid/>
                      <w:color w:val="auto"/>
                      <w:spacing w:val="0"/>
                      <w:kern w:val="0"/>
                      <w:position w:val="0"/>
                      <w:sz w:val="30"/>
                      <w:szCs w:val="30"/>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2#生产车间</w:t>
                  </w:r>
                </w:p>
              </w:tc>
              <w:tc>
                <w:tcPr>
                  <w:tcW w:w="1755" w:type="dxa"/>
                  <w:vAlign w:val="center"/>
                </w:tcPr>
                <w:p w14:paraId="4C810D5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snapToGrid/>
                      <w:color w:val="auto"/>
                      <w:spacing w:val="0"/>
                      <w:kern w:val="0"/>
                      <w:position w:val="0"/>
                      <w:sz w:val="30"/>
                      <w:szCs w:val="30"/>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1F，建筑面积</w:t>
                  </w:r>
                  <w:r>
                    <w:rPr>
                      <w:rFonts w:hint="eastAsia" w:cs="Times New Roman"/>
                      <w:b w:val="0"/>
                      <w:bCs w:val="0"/>
                      <w:snapToGrid/>
                      <w:color w:val="auto"/>
                      <w:spacing w:val="0"/>
                      <w:kern w:val="0"/>
                      <w:position w:val="0"/>
                      <w:sz w:val="21"/>
                      <w:szCs w:val="21"/>
                      <w:vertAlign w:val="baseline"/>
                      <w:lang w:val="en-US" w:eastAsia="zh-CN"/>
                    </w:rPr>
                    <w:t>1250</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default" w:ascii="Times New Roman" w:hAnsi="Times New Roman" w:eastAsia="宋体" w:cs="Times New Roman"/>
                      <w:b w:val="0"/>
                      <w:bCs w:val="0"/>
                      <w:snapToGrid/>
                      <w:color w:val="auto"/>
                      <w:spacing w:val="0"/>
                      <w:kern w:val="0"/>
                      <w:position w:val="0"/>
                      <w:sz w:val="21"/>
                      <w:szCs w:val="21"/>
                      <w:vertAlign w:val="superscript"/>
                      <w:lang w:val="en-US" w:eastAsia="zh-CN"/>
                    </w:rPr>
                    <w:t>2</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w:t>
                  </w:r>
                  <w:r>
                    <w:rPr>
                      <w:rFonts w:hint="eastAsia" w:cs="Times New Roman"/>
                      <w:b w:val="0"/>
                      <w:bCs w:val="0"/>
                      <w:snapToGrid/>
                      <w:color w:val="auto"/>
                      <w:spacing w:val="0"/>
                      <w:kern w:val="0"/>
                      <w:position w:val="0"/>
                      <w:sz w:val="21"/>
                      <w:szCs w:val="21"/>
                      <w:vertAlign w:val="baseline"/>
                      <w:lang w:val="en-US" w:eastAsia="zh-CN"/>
                    </w:rPr>
                    <w:t>购置震动</w:t>
                  </w:r>
                  <w:r>
                    <w:rPr>
                      <w:rFonts w:hint="eastAsia"/>
                      <w:color w:val="auto"/>
                      <w:lang w:eastAsia="zh-CN"/>
                    </w:rPr>
                    <w:t>注塑机、</w:t>
                  </w:r>
                  <w:r>
                    <w:rPr>
                      <w:rFonts w:hint="eastAsia" w:cs="Times New Roman"/>
                      <w:b w:val="0"/>
                      <w:bCs w:val="0"/>
                      <w:snapToGrid/>
                      <w:color w:val="auto"/>
                      <w:spacing w:val="0"/>
                      <w:kern w:val="0"/>
                      <w:position w:val="0"/>
                      <w:sz w:val="21"/>
                      <w:szCs w:val="21"/>
                      <w:vertAlign w:val="baseline"/>
                      <w:lang w:val="en-US" w:eastAsia="zh-CN"/>
                    </w:rPr>
                    <w:t>研磨机、台钻、</w:t>
                  </w:r>
                  <w:r>
                    <w:rPr>
                      <w:rFonts w:hint="eastAsia"/>
                      <w:color w:val="auto"/>
                    </w:rPr>
                    <w:t>静电喷塑机</w:t>
                  </w:r>
                  <w:r>
                    <w:rPr>
                      <w:rFonts w:hint="eastAsia"/>
                      <w:color w:val="auto"/>
                      <w:lang w:eastAsia="zh-CN"/>
                    </w:rPr>
                    <w:t>、固化炉等设备，用于项目的注塑、研磨、打孔、喷塑固化等工艺的生产。</w:t>
                  </w:r>
                </w:p>
              </w:tc>
              <w:tc>
                <w:tcPr>
                  <w:tcW w:w="1953" w:type="dxa"/>
                  <w:vAlign w:val="center"/>
                </w:tcPr>
                <w:p w14:paraId="43A770C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snapToGrid/>
                      <w:color w:val="auto"/>
                      <w:spacing w:val="0"/>
                      <w:kern w:val="0"/>
                      <w:position w:val="0"/>
                      <w:sz w:val="30"/>
                      <w:szCs w:val="30"/>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1</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F，新增</w:t>
                  </w:r>
                  <w:r>
                    <w:rPr>
                      <w:rFonts w:hint="eastAsia"/>
                      <w:color w:val="auto"/>
                    </w:rPr>
                    <w:t>注塑机</w:t>
                  </w:r>
                  <w:r>
                    <w:rPr>
                      <w:rFonts w:hint="eastAsia"/>
                      <w:color w:val="auto"/>
                      <w:lang w:eastAsia="zh-CN"/>
                    </w:rPr>
                    <w:t>、</w:t>
                  </w:r>
                  <w:r>
                    <w:rPr>
                      <w:rFonts w:hint="eastAsia"/>
                      <w:color w:val="auto"/>
                    </w:rPr>
                    <w:t>静电喷塑机</w:t>
                  </w:r>
                  <w:r>
                    <w:rPr>
                      <w:rFonts w:hint="eastAsia"/>
                      <w:color w:val="auto"/>
                      <w:lang w:eastAsia="zh-CN"/>
                    </w:rPr>
                    <w:t>等设备，用于项目的注塑、喷塑固化等工艺的生产。</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并对厂房进行重新布局。</w:t>
                  </w:r>
                </w:p>
              </w:tc>
              <w:tc>
                <w:tcPr>
                  <w:tcW w:w="2178" w:type="dxa"/>
                  <w:vAlign w:val="center"/>
                </w:tcPr>
                <w:p w14:paraId="34732E9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snapToGrid/>
                      <w:color w:val="auto"/>
                      <w:spacing w:val="0"/>
                      <w:kern w:val="0"/>
                      <w:position w:val="0"/>
                      <w:sz w:val="30"/>
                      <w:szCs w:val="30"/>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1F，建筑面积</w:t>
                  </w:r>
                  <w:r>
                    <w:rPr>
                      <w:rFonts w:hint="eastAsia" w:cs="Times New Roman"/>
                      <w:b w:val="0"/>
                      <w:bCs w:val="0"/>
                      <w:snapToGrid/>
                      <w:color w:val="auto"/>
                      <w:spacing w:val="0"/>
                      <w:kern w:val="0"/>
                      <w:position w:val="0"/>
                      <w:sz w:val="21"/>
                      <w:szCs w:val="21"/>
                      <w:vertAlign w:val="baseline"/>
                      <w:lang w:val="en-US" w:eastAsia="zh-CN"/>
                    </w:rPr>
                    <w:t>1250</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default" w:ascii="Times New Roman" w:hAnsi="Times New Roman" w:eastAsia="宋体" w:cs="Times New Roman"/>
                      <w:b w:val="0"/>
                      <w:bCs w:val="0"/>
                      <w:snapToGrid/>
                      <w:color w:val="auto"/>
                      <w:spacing w:val="0"/>
                      <w:kern w:val="0"/>
                      <w:position w:val="0"/>
                      <w:sz w:val="21"/>
                      <w:szCs w:val="21"/>
                      <w:vertAlign w:val="superscript"/>
                      <w:lang w:val="en-US" w:eastAsia="zh-CN"/>
                    </w:rPr>
                    <w:t>2</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w:t>
                  </w:r>
                  <w:r>
                    <w:rPr>
                      <w:rFonts w:hint="eastAsia"/>
                      <w:color w:val="auto"/>
                    </w:rPr>
                    <w:t>注塑机</w:t>
                  </w:r>
                  <w:r>
                    <w:rPr>
                      <w:rFonts w:hint="eastAsia"/>
                      <w:color w:val="auto"/>
                      <w:lang w:eastAsia="zh-CN"/>
                    </w:rPr>
                    <w:t>、</w:t>
                  </w:r>
                  <w:r>
                    <w:rPr>
                      <w:rFonts w:hint="eastAsia" w:cs="Times New Roman"/>
                      <w:b w:val="0"/>
                      <w:bCs w:val="0"/>
                      <w:snapToGrid/>
                      <w:color w:val="auto"/>
                      <w:spacing w:val="0"/>
                      <w:kern w:val="0"/>
                      <w:position w:val="0"/>
                      <w:sz w:val="21"/>
                      <w:szCs w:val="21"/>
                      <w:vertAlign w:val="baseline"/>
                      <w:lang w:val="en-US" w:eastAsia="zh-CN"/>
                    </w:rPr>
                    <w:t>震动研磨机、台钻、</w:t>
                  </w:r>
                  <w:r>
                    <w:rPr>
                      <w:rFonts w:hint="eastAsia"/>
                      <w:color w:val="auto"/>
                    </w:rPr>
                    <w:t>静电喷塑机</w:t>
                  </w:r>
                  <w:r>
                    <w:rPr>
                      <w:rFonts w:hint="eastAsia"/>
                      <w:color w:val="auto"/>
                      <w:lang w:eastAsia="zh-CN"/>
                    </w:rPr>
                    <w:t>等设备，用于项目的注塑、研磨、打孔、喷塑固化等工艺的生产。</w:t>
                  </w:r>
                </w:p>
              </w:tc>
              <w:tc>
                <w:tcPr>
                  <w:tcW w:w="1025" w:type="dxa"/>
                  <w:vAlign w:val="center"/>
                </w:tcPr>
                <w:p w14:paraId="1919FB1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snapToGrid/>
                      <w:color w:val="auto"/>
                      <w:spacing w:val="0"/>
                      <w:kern w:val="0"/>
                      <w:position w:val="0"/>
                      <w:sz w:val="30"/>
                      <w:szCs w:val="30"/>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新增设备</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，厂房重新布局。</w:t>
                  </w:r>
                </w:p>
              </w:tc>
            </w:tr>
            <w:tr w14:paraId="3D4B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vMerge w:val="continue"/>
                  <w:vAlign w:val="center"/>
                </w:tcPr>
                <w:p w14:paraId="7C285A1F">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eastAsia" w:ascii="宋体" w:hAnsi="宋体" w:eastAsia="宋体" w:cs="宋体"/>
                      <w:b/>
                      <w:bCs/>
                      <w:snapToGrid/>
                      <w:color w:val="auto"/>
                      <w:spacing w:val="0"/>
                      <w:kern w:val="0"/>
                      <w:position w:val="0"/>
                      <w:sz w:val="30"/>
                      <w:szCs w:val="30"/>
                      <w:vertAlign w:val="baseline"/>
                      <w:lang w:val="en-US" w:eastAsia="zh-CN"/>
                    </w:rPr>
                  </w:pPr>
                </w:p>
              </w:tc>
              <w:tc>
                <w:tcPr>
                  <w:tcW w:w="918" w:type="dxa"/>
                  <w:vAlign w:val="center"/>
                </w:tcPr>
                <w:p w14:paraId="48B2EC9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snapToGrid/>
                      <w:color w:val="auto"/>
                      <w:spacing w:val="0"/>
                      <w:kern w:val="0"/>
                      <w:position w:val="0"/>
                      <w:sz w:val="30"/>
                      <w:szCs w:val="30"/>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3#生产车间</w:t>
                  </w:r>
                </w:p>
              </w:tc>
              <w:tc>
                <w:tcPr>
                  <w:tcW w:w="1755" w:type="dxa"/>
                  <w:vAlign w:val="center"/>
                </w:tcPr>
                <w:p w14:paraId="2BD6708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snapToGrid/>
                      <w:color w:val="auto"/>
                      <w:spacing w:val="0"/>
                      <w:kern w:val="0"/>
                      <w:position w:val="0"/>
                      <w:sz w:val="30"/>
                      <w:szCs w:val="30"/>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1F，</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建筑面积</w:t>
                  </w:r>
                  <w:r>
                    <w:rPr>
                      <w:rFonts w:hint="eastAsia" w:cs="Times New Roman"/>
                      <w:b w:val="0"/>
                      <w:bCs w:val="0"/>
                      <w:snapToGrid/>
                      <w:color w:val="auto"/>
                      <w:spacing w:val="0"/>
                      <w:kern w:val="0"/>
                      <w:position w:val="0"/>
                      <w:sz w:val="21"/>
                      <w:szCs w:val="21"/>
                      <w:vertAlign w:val="baseline"/>
                      <w:lang w:val="en-US" w:eastAsia="zh-CN"/>
                    </w:rPr>
                    <w:t>1250</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default" w:ascii="Times New Roman" w:hAnsi="Times New Roman" w:eastAsia="宋体" w:cs="Times New Roman"/>
                      <w:b w:val="0"/>
                      <w:bCs w:val="0"/>
                      <w:snapToGrid/>
                      <w:color w:val="auto"/>
                      <w:spacing w:val="0"/>
                      <w:kern w:val="0"/>
                      <w:position w:val="0"/>
                      <w:sz w:val="21"/>
                      <w:szCs w:val="21"/>
                      <w:vertAlign w:val="superscript"/>
                      <w:lang w:val="en-US" w:eastAsia="zh-CN"/>
                    </w:rPr>
                    <w:t>2</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w:t>
                  </w:r>
                  <w:r>
                    <w:rPr>
                      <w:rFonts w:hint="eastAsia" w:cs="Times New Roman"/>
                      <w:b w:val="0"/>
                      <w:bCs w:val="0"/>
                      <w:snapToGrid/>
                      <w:color w:val="auto"/>
                      <w:spacing w:val="0"/>
                      <w:kern w:val="0"/>
                      <w:position w:val="0"/>
                      <w:sz w:val="21"/>
                      <w:szCs w:val="21"/>
                      <w:vertAlign w:val="baseline"/>
                      <w:lang w:val="en-US" w:eastAsia="zh-CN"/>
                    </w:rPr>
                    <w:t>用于项目产品包装及贮存。</w:t>
                  </w:r>
                </w:p>
              </w:tc>
              <w:tc>
                <w:tcPr>
                  <w:tcW w:w="1953" w:type="dxa"/>
                  <w:vAlign w:val="center"/>
                </w:tcPr>
                <w:p w14:paraId="30CAB67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宋体" w:hAnsi="宋体" w:eastAsia="宋体" w:cs="宋体"/>
                      <w:b/>
                      <w:bCs/>
                      <w:snapToGrid/>
                      <w:color w:val="auto"/>
                      <w:spacing w:val="0"/>
                      <w:kern w:val="0"/>
                      <w:position w:val="0"/>
                      <w:sz w:val="30"/>
                      <w:szCs w:val="30"/>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1F，</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建筑面积</w:t>
                  </w:r>
                  <w:r>
                    <w:rPr>
                      <w:rFonts w:hint="eastAsia" w:cs="Times New Roman"/>
                      <w:b w:val="0"/>
                      <w:bCs w:val="0"/>
                      <w:snapToGrid/>
                      <w:color w:val="auto"/>
                      <w:spacing w:val="0"/>
                      <w:kern w:val="0"/>
                      <w:position w:val="0"/>
                      <w:sz w:val="21"/>
                      <w:szCs w:val="21"/>
                      <w:vertAlign w:val="baseline"/>
                      <w:lang w:val="en-US" w:eastAsia="zh-CN"/>
                    </w:rPr>
                    <w:t>1250</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default" w:ascii="Times New Roman" w:hAnsi="Times New Roman" w:eastAsia="宋体" w:cs="Times New Roman"/>
                      <w:b w:val="0"/>
                      <w:bCs w:val="0"/>
                      <w:snapToGrid/>
                      <w:color w:val="auto"/>
                      <w:spacing w:val="0"/>
                      <w:kern w:val="0"/>
                      <w:position w:val="0"/>
                      <w:sz w:val="21"/>
                      <w:szCs w:val="21"/>
                      <w:vertAlign w:val="superscript"/>
                      <w:lang w:val="en-US" w:eastAsia="zh-CN"/>
                    </w:rPr>
                    <w:t>2</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w:t>
                  </w:r>
                  <w:r>
                    <w:rPr>
                      <w:rFonts w:hint="eastAsia" w:cs="Times New Roman"/>
                      <w:b w:val="0"/>
                      <w:bCs w:val="0"/>
                      <w:snapToGrid/>
                      <w:color w:val="auto"/>
                      <w:spacing w:val="0"/>
                      <w:kern w:val="0"/>
                      <w:position w:val="0"/>
                      <w:sz w:val="21"/>
                      <w:szCs w:val="21"/>
                      <w:vertAlign w:val="baseline"/>
                      <w:lang w:val="en-US" w:eastAsia="zh-CN"/>
                    </w:rPr>
                    <w:t>用于项目产品包装及贮存。</w:t>
                  </w:r>
                </w:p>
              </w:tc>
              <w:tc>
                <w:tcPr>
                  <w:tcW w:w="2178" w:type="dxa"/>
                  <w:vAlign w:val="center"/>
                </w:tcPr>
                <w:p w14:paraId="7669A01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snapToGrid/>
                      <w:color w:val="auto"/>
                      <w:spacing w:val="0"/>
                      <w:kern w:val="0"/>
                      <w:position w:val="0"/>
                      <w:sz w:val="30"/>
                      <w:szCs w:val="30"/>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1F，</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建筑面积</w:t>
                  </w:r>
                  <w:r>
                    <w:rPr>
                      <w:rFonts w:hint="eastAsia" w:cs="Times New Roman"/>
                      <w:b w:val="0"/>
                      <w:bCs w:val="0"/>
                      <w:snapToGrid/>
                      <w:color w:val="auto"/>
                      <w:spacing w:val="0"/>
                      <w:kern w:val="0"/>
                      <w:position w:val="0"/>
                      <w:sz w:val="21"/>
                      <w:szCs w:val="21"/>
                      <w:vertAlign w:val="baseline"/>
                      <w:lang w:val="en-US" w:eastAsia="zh-CN"/>
                    </w:rPr>
                    <w:t>1250</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default" w:ascii="Times New Roman" w:hAnsi="Times New Roman" w:eastAsia="宋体" w:cs="Times New Roman"/>
                      <w:b w:val="0"/>
                      <w:bCs w:val="0"/>
                      <w:snapToGrid/>
                      <w:color w:val="auto"/>
                      <w:spacing w:val="0"/>
                      <w:kern w:val="0"/>
                      <w:position w:val="0"/>
                      <w:sz w:val="21"/>
                      <w:szCs w:val="21"/>
                      <w:vertAlign w:val="superscript"/>
                      <w:lang w:val="en-US" w:eastAsia="zh-CN"/>
                    </w:rPr>
                    <w:t>2</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w:t>
                  </w:r>
                  <w:r>
                    <w:rPr>
                      <w:rFonts w:hint="eastAsia" w:cs="Times New Roman"/>
                      <w:b w:val="0"/>
                      <w:bCs w:val="0"/>
                      <w:snapToGrid/>
                      <w:color w:val="auto"/>
                      <w:spacing w:val="0"/>
                      <w:kern w:val="0"/>
                      <w:position w:val="0"/>
                      <w:sz w:val="21"/>
                      <w:szCs w:val="21"/>
                      <w:vertAlign w:val="baseline"/>
                      <w:lang w:val="en-US" w:eastAsia="zh-CN"/>
                    </w:rPr>
                    <w:t>用于项目产品包装及贮存。</w:t>
                  </w:r>
                </w:p>
              </w:tc>
              <w:tc>
                <w:tcPr>
                  <w:tcW w:w="1025" w:type="dxa"/>
                  <w:vAlign w:val="center"/>
                </w:tcPr>
                <w:p w14:paraId="32476AF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snapToGrid/>
                      <w:color w:val="auto"/>
                      <w:spacing w:val="0"/>
                      <w:kern w:val="0"/>
                      <w:position w:val="0"/>
                      <w:sz w:val="30"/>
                      <w:szCs w:val="30"/>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无变更</w:t>
                  </w:r>
                </w:p>
              </w:tc>
            </w:tr>
            <w:tr w14:paraId="63AC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vMerge w:val="restart"/>
                  <w:vAlign w:val="center"/>
                </w:tcPr>
                <w:p w14:paraId="7ED438F6">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eastAsia" w:ascii="宋体" w:hAnsi="宋体" w:eastAsia="宋体" w:cs="宋体"/>
                      <w:b/>
                      <w:bCs/>
                      <w:snapToGrid/>
                      <w:color w:val="auto"/>
                      <w:spacing w:val="0"/>
                      <w:kern w:val="0"/>
                      <w:position w:val="0"/>
                      <w:sz w:val="30"/>
                      <w:szCs w:val="30"/>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辅助工程</w:t>
                  </w:r>
                </w:p>
              </w:tc>
              <w:tc>
                <w:tcPr>
                  <w:tcW w:w="918" w:type="dxa"/>
                  <w:vAlign w:val="center"/>
                </w:tcPr>
                <w:p w14:paraId="79BFBE2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snapToGrid/>
                      <w:color w:val="auto"/>
                      <w:spacing w:val="0"/>
                      <w:kern w:val="0"/>
                      <w:position w:val="0"/>
                      <w:sz w:val="30"/>
                      <w:szCs w:val="30"/>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办公室</w:t>
                  </w:r>
                </w:p>
              </w:tc>
              <w:tc>
                <w:tcPr>
                  <w:tcW w:w="1755" w:type="dxa"/>
                  <w:vAlign w:val="center"/>
                </w:tcPr>
                <w:p w14:paraId="2595C29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宋体" w:hAnsi="宋体" w:eastAsia="宋体" w:cs="宋体"/>
                      <w:b/>
                      <w:bCs/>
                      <w:snapToGrid/>
                      <w:color w:val="auto"/>
                      <w:spacing w:val="0"/>
                      <w:kern w:val="0"/>
                      <w:position w:val="0"/>
                      <w:sz w:val="30"/>
                      <w:szCs w:val="30"/>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位于厂区北侧，建筑面积200</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default" w:ascii="Times New Roman" w:hAnsi="Times New Roman" w:eastAsia="宋体" w:cs="Times New Roman"/>
                      <w:b w:val="0"/>
                      <w:bCs w:val="0"/>
                      <w:snapToGrid/>
                      <w:color w:val="auto"/>
                      <w:spacing w:val="0"/>
                      <w:kern w:val="0"/>
                      <w:position w:val="0"/>
                      <w:sz w:val="21"/>
                      <w:szCs w:val="21"/>
                      <w:vertAlign w:val="superscript"/>
                      <w:lang w:val="en-US" w:eastAsia="zh-CN"/>
                    </w:rPr>
                    <w:t>2</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用于区域内员工办公及休憩。</w:t>
                  </w:r>
                </w:p>
              </w:tc>
              <w:tc>
                <w:tcPr>
                  <w:tcW w:w="1953" w:type="dxa"/>
                  <w:vAlign w:val="center"/>
                </w:tcPr>
                <w:p w14:paraId="7665122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snapToGrid/>
                      <w:color w:val="auto"/>
                      <w:spacing w:val="0"/>
                      <w:kern w:val="0"/>
                      <w:position w:val="0"/>
                      <w:sz w:val="30"/>
                      <w:szCs w:val="30"/>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w:t>
                  </w:r>
                </w:p>
              </w:tc>
              <w:tc>
                <w:tcPr>
                  <w:tcW w:w="2178" w:type="dxa"/>
                  <w:vAlign w:val="center"/>
                </w:tcPr>
                <w:p w14:paraId="73AD0BE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snapToGrid/>
                      <w:color w:val="auto"/>
                      <w:spacing w:val="0"/>
                      <w:kern w:val="0"/>
                      <w:position w:val="0"/>
                      <w:sz w:val="30"/>
                      <w:szCs w:val="30"/>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位于厂区北侧，建筑面积200</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default" w:ascii="Times New Roman" w:hAnsi="Times New Roman" w:eastAsia="宋体" w:cs="Times New Roman"/>
                      <w:b w:val="0"/>
                      <w:bCs w:val="0"/>
                      <w:snapToGrid/>
                      <w:color w:val="auto"/>
                      <w:spacing w:val="0"/>
                      <w:kern w:val="0"/>
                      <w:position w:val="0"/>
                      <w:sz w:val="21"/>
                      <w:szCs w:val="21"/>
                      <w:vertAlign w:val="superscript"/>
                      <w:lang w:val="en-US" w:eastAsia="zh-CN"/>
                    </w:rPr>
                    <w:t>2</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用于区域内员工办公及休憩。</w:t>
                  </w:r>
                </w:p>
              </w:tc>
              <w:tc>
                <w:tcPr>
                  <w:tcW w:w="1025" w:type="dxa"/>
                  <w:vAlign w:val="center"/>
                </w:tcPr>
                <w:p w14:paraId="7AFEB25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snapToGrid/>
                      <w:color w:val="auto"/>
                      <w:spacing w:val="0"/>
                      <w:kern w:val="0"/>
                      <w:position w:val="0"/>
                      <w:sz w:val="30"/>
                      <w:szCs w:val="30"/>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无变更</w:t>
                  </w:r>
                </w:p>
              </w:tc>
            </w:tr>
            <w:tr w14:paraId="5D4E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vMerge w:val="continue"/>
                  <w:vAlign w:val="center"/>
                </w:tcPr>
                <w:p w14:paraId="51118F12">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p>
              </w:tc>
              <w:tc>
                <w:tcPr>
                  <w:tcW w:w="918" w:type="dxa"/>
                  <w:vAlign w:val="center"/>
                </w:tcPr>
                <w:p w14:paraId="1EEB3B8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门卫室</w:t>
                  </w:r>
                </w:p>
              </w:tc>
              <w:tc>
                <w:tcPr>
                  <w:tcW w:w="1755" w:type="dxa"/>
                  <w:vAlign w:val="center"/>
                </w:tcPr>
                <w:p w14:paraId="70A9D3E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位于厂区西北侧，建筑面积10</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default" w:ascii="Times New Roman" w:hAnsi="Times New Roman" w:eastAsia="宋体" w:cs="Times New Roman"/>
                      <w:b w:val="0"/>
                      <w:bCs w:val="0"/>
                      <w:snapToGrid/>
                      <w:color w:val="auto"/>
                      <w:spacing w:val="0"/>
                      <w:kern w:val="0"/>
                      <w:position w:val="0"/>
                      <w:sz w:val="21"/>
                      <w:szCs w:val="21"/>
                      <w:vertAlign w:val="superscript"/>
                      <w:lang w:val="en-US" w:eastAsia="zh-CN"/>
                    </w:rPr>
                    <w:t>2</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w:t>
                  </w:r>
                </w:p>
              </w:tc>
              <w:tc>
                <w:tcPr>
                  <w:tcW w:w="1953" w:type="dxa"/>
                  <w:vAlign w:val="center"/>
                </w:tcPr>
                <w:p w14:paraId="41342F5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w:t>
                  </w:r>
                </w:p>
              </w:tc>
              <w:tc>
                <w:tcPr>
                  <w:tcW w:w="2178" w:type="dxa"/>
                  <w:vAlign w:val="center"/>
                </w:tcPr>
                <w:p w14:paraId="08F07C6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位于厂区西北侧，建筑面积10</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default" w:ascii="Times New Roman" w:hAnsi="Times New Roman" w:eastAsia="宋体" w:cs="Times New Roman"/>
                      <w:b w:val="0"/>
                      <w:bCs w:val="0"/>
                      <w:snapToGrid/>
                      <w:color w:val="auto"/>
                      <w:spacing w:val="0"/>
                      <w:kern w:val="0"/>
                      <w:position w:val="0"/>
                      <w:sz w:val="21"/>
                      <w:szCs w:val="21"/>
                      <w:vertAlign w:val="superscript"/>
                      <w:lang w:val="en-US" w:eastAsia="zh-CN"/>
                    </w:rPr>
                    <w:t>2</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w:t>
                  </w:r>
                </w:p>
              </w:tc>
              <w:tc>
                <w:tcPr>
                  <w:tcW w:w="1025" w:type="dxa"/>
                  <w:vAlign w:val="center"/>
                </w:tcPr>
                <w:p w14:paraId="211E35A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无变更</w:t>
                  </w:r>
                </w:p>
              </w:tc>
            </w:tr>
            <w:tr w14:paraId="6118D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vMerge w:val="continue"/>
                  <w:vAlign w:val="center"/>
                </w:tcPr>
                <w:p w14:paraId="46E0AAFC">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p>
              </w:tc>
              <w:tc>
                <w:tcPr>
                  <w:tcW w:w="918" w:type="dxa"/>
                  <w:vAlign w:val="center"/>
                </w:tcPr>
                <w:p w14:paraId="7F6E829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接待室</w:t>
                  </w:r>
                </w:p>
              </w:tc>
              <w:tc>
                <w:tcPr>
                  <w:tcW w:w="1755" w:type="dxa"/>
                  <w:vAlign w:val="center"/>
                </w:tcPr>
                <w:p w14:paraId="71503C8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位于</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3#生产车间西北侧，建筑面积30</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default" w:ascii="Times New Roman" w:hAnsi="Times New Roman" w:eastAsia="宋体" w:cs="Times New Roman"/>
                      <w:b w:val="0"/>
                      <w:bCs w:val="0"/>
                      <w:snapToGrid/>
                      <w:color w:val="auto"/>
                      <w:spacing w:val="0"/>
                      <w:kern w:val="0"/>
                      <w:position w:val="0"/>
                      <w:sz w:val="21"/>
                      <w:szCs w:val="21"/>
                      <w:vertAlign w:val="superscript"/>
                      <w:lang w:val="en-US" w:eastAsia="zh-CN"/>
                    </w:rPr>
                    <w:t>2</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w:t>
                  </w:r>
                </w:p>
              </w:tc>
              <w:tc>
                <w:tcPr>
                  <w:tcW w:w="1953" w:type="dxa"/>
                  <w:vAlign w:val="center"/>
                </w:tcPr>
                <w:p w14:paraId="1F6326C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w:t>
                  </w:r>
                </w:p>
              </w:tc>
              <w:tc>
                <w:tcPr>
                  <w:tcW w:w="2178" w:type="dxa"/>
                  <w:vAlign w:val="center"/>
                </w:tcPr>
                <w:p w14:paraId="0088BE2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位于</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3#生产车间西北侧，建筑面积30</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default" w:ascii="Times New Roman" w:hAnsi="Times New Roman" w:eastAsia="宋体" w:cs="Times New Roman"/>
                      <w:b w:val="0"/>
                      <w:bCs w:val="0"/>
                      <w:snapToGrid/>
                      <w:color w:val="auto"/>
                      <w:spacing w:val="0"/>
                      <w:kern w:val="0"/>
                      <w:position w:val="0"/>
                      <w:sz w:val="21"/>
                      <w:szCs w:val="21"/>
                      <w:vertAlign w:val="superscript"/>
                      <w:lang w:val="en-US" w:eastAsia="zh-CN"/>
                    </w:rPr>
                    <w:t>2</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w:t>
                  </w:r>
                </w:p>
              </w:tc>
              <w:tc>
                <w:tcPr>
                  <w:tcW w:w="1025" w:type="dxa"/>
                  <w:vAlign w:val="center"/>
                </w:tcPr>
                <w:p w14:paraId="3E9DA10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无变更</w:t>
                  </w:r>
                </w:p>
              </w:tc>
            </w:tr>
            <w:tr w14:paraId="3911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vMerge w:val="continue"/>
                  <w:vAlign w:val="center"/>
                </w:tcPr>
                <w:p w14:paraId="34956DE3">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p>
              </w:tc>
              <w:tc>
                <w:tcPr>
                  <w:tcW w:w="918" w:type="dxa"/>
                  <w:vAlign w:val="center"/>
                </w:tcPr>
                <w:p w14:paraId="03DD860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1#</w:t>
                  </w:r>
                  <w:r>
                    <w:rPr>
                      <w:rFonts w:hint="default" w:ascii="Times New Roman" w:hAnsi="Times New Roman" w:cs="Times New Roman"/>
                      <w:b w:val="0"/>
                      <w:bCs w:val="0"/>
                      <w:snapToGrid/>
                      <w:color w:val="auto"/>
                      <w:spacing w:val="0"/>
                      <w:kern w:val="0"/>
                      <w:position w:val="0"/>
                      <w:sz w:val="21"/>
                      <w:szCs w:val="21"/>
                      <w:vertAlign w:val="baseline"/>
                      <w:lang w:val="en-US" w:eastAsia="zh-CN"/>
                    </w:rPr>
                    <w:t>循环水池</w:t>
                  </w:r>
                </w:p>
              </w:tc>
              <w:tc>
                <w:tcPr>
                  <w:tcW w:w="1755" w:type="dxa"/>
                  <w:vAlign w:val="center"/>
                </w:tcPr>
                <w:p w14:paraId="435C70C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snapToGrid/>
                      <w:color w:val="auto"/>
                      <w:spacing w:val="0"/>
                      <w:kern w:val="0"/>
                      <w:position w:val="0"/>
                      <w:sz w:val="21"/>
                      <w:szCs w:val="21"/>
                      <w:vertAlign w:val="baseline"/>
                      <w:lang w:val="en-US" w:eastAsia="zh-CN"/>
                    </w:rPr>
                  </w:pPr>
                  <w:r>
                    <w:rPr>
                      <w:rFonts w:hint="default" w:ascii="Times New Roman" w:hAnsi="Times New Roman" w:cs="Times New Roman"/>
                      <w:b w:val="0"/>
                      <w:bCs w:val="0"/>
                      <w:snapToGrid/>
                      <w:color w:val="auto"/>
                      <w:spacing w:val="0"/>
                      <w:kern w:val="0"/>
                      <w:position w:val="0"/>
                      <w:sz w:val="21"/>
                      <w:szCs w:val="21"/>
                      <w:vertAlign w:val="baseline"/>
                      <w:lang w:val="en-US" w:eastAsia="zh-CN"/>
                    </w:rPr>
                    <w:t>位于</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1</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#生产车间外</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西</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南侧，规格为</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2</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1.5</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2</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用于项目1#生产车间内</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注塑</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工艺的</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冷却。</w:t>
                  </w:r>
                </w:p>
              </w:tc>
              <w:tc>
                <w:tcPr>
                  <w:tcW w:w="1953" w:type="dxa"/>
                  <w:vAlign w:val="center"/>
                </w:tcPr>
                <w:p w14:paraId="1C4ECF9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w:t>
                  </w:r>
                </w:p>
              </w:tc>
              <w:tc>
                <w:tcPr>
                  <w:tcW w:w="2178" w:type="dxa"/>
                  <w:vAlign w:val="center"/>
                </w:tcPr>
                <w:p w14:paraId="6B29B4C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snapToGrid/>
                      <w:color w:val="auto"/>
                      <w:spacing w:val="0"/>
                      <w:kern w:val="0"/>
                      <w:position w:val="0"/>
                      <w:sz w:val="21"/>
                      <w:szCs w:val="21"/>
                      <w:vertAlign w:val="baseline"/>
                      <w:lang w:val="en-US" w:eastAsia="zh-CN"/>
                    </w:rPr>
                  </w:pPr>
                  <w:r>
                    <w:rPr>
                      <w:rFonts w:hint="default" w:ascii="Times New Roman" w:hAnsi="Times New Roman" w:cs="Times New Roman"/>
                      <w:b w:val="0"/>
                      <w:bCs w:val="0"/>
                      <w:snapToGrid/>
                      <w:color w:val="auto"/>
                      <w:spacing w:val="0"/>
                      <w:kern w:val="0"/>
                      <w:position w:val="0"/>
                      <w:sz w:val="21"/>
                      <w:szCs w:val="21"/>
                      <w:vertAlign w:val="baseline"/>
                      <w:lang w:val="en-US" w:eastAsia="zh-CN"/>
                    </w:rPr>
                    <w:t>位于</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1</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#生产车间外</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西</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南侧，规格为</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2</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1.5</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2</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用于项目1#生产车间内</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注塑</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工艺的</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冷却。</w:t>
                  </w:r>
                </w:p>
              </w:tc>
              <w:tc>
                <w:tcPr>
                  <w:tcW w:w="1025" w:type="dxa"/>
                  <w:vAlign w:val="center"/>
                </w:tcPr>
                <w:p w14:paraId="550C989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无变更</w:t>
                  </w:r>
                </w:p>
              </w:tc>
            </w:tr>
            <w:tr w14:paraId="15A9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vMerge w:val="continue"/>
                  <w:vAlign w:val="center"/>
                </w:tcPr>
                <w:p w14:paraId="0D5C0E88">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p>
              </w:tc>
              <w:tc>
                <w:tcPr>
                  <w:tcW w:w="918" w:type="dxa"/>
                  <w:vAlign w:val="center"/>
                </w:tcPr>
                <w:p w14:paraId="6653E4A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2#</w:t>
                  </w:r>
                  <w:r>
                    <w:rPr>
                      <w:rFonts w:hint="default" w:ascii="Times New Roman" w:hAnsi="Times New Roman" w:cs="Times New Roman"/>
                      <w:b w:val="0"/>
                      <w:bCs w:val="0"/>
                      <w:snapToGrid/>
                      <w:color w:val="auto"/>
                      <w:spacing w:val="0"/>
                      <w:kern w:val="0"/>
                      <w:position w:val="0"/>
                      <w:sz w:val="21"/>
                      <w:szCs w:val="21"/>
                      <w:vertAlign w:val="baseline"/>
                      <w:lang w:val="en-US" w:eastAsia="zh-CN"/>
                    </w:rPr>
                    <w:t>循环水池</w:t>
                  </w:r>
                </w:p>
              </w:tc>
              <w:tc>
                <w:tcPr>
                  <w:tcW w:w="1755" w:type="dxa"/>
                  <w:vAlign w:val="center"/>
                </w:tcPr>
                <w:p w14:paraId="3176604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snapToGrid/>
                      <w:color w:val="auto"/>
                      <w:spacing w:val="0"/>
                      <w:kern w:val="0"/>
                      <w:position w:val="0"/>
                      <w:sz w:val="21"/>
                      <w:szCs w:val="21"/>
                      <w:vertAlign w:val="baseline"/>
                      <w:lang w:val="en-US" w:eastAsia="zh-CN"/>
                    </w:rPr>
                  </w:pPr>
                  <w:r>
                    <w:rPr>
                      <w:rFonts w:hint="default" w:ascii="Times New Roman" w:hAnsi="Times New Roman" w:cs="Times New Roman"/>
                      <w:b w:val="0"/>
                      <w:bCs w:val="0"/>
                      <w:snapToGrid/>
                      <w:color w:val="auto"/>
                      <w:spacing w:val="0"/>
                      <w:kern w:val="0"/>
                      <w:position w:val="0"/>
                      <w:sz w:val="21"/>
                      <w:szCs w:val="21"/>
                      <w:vertAlign w:val="baseline"/>
                      <w:lang w:val="en-US" w:eastAsia="zh-CN"/>
                    </w:rPr>
                    <w:t>位于</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1</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#生产车间外</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西北</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侧，规格为</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3</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1</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2</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用于项目1#生产车间内烧结致密工艺的</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冷却。</w:t>
                  </w:r>
                </w:p>
              </w:tc>
              <w:tc>
                <w:tcPr>
                  <w:tcW w:w="1953" w:type="dxa"/>
                  <w:vAlign w:val="center"/>
                </w:tcPr>
                <w:p w14:paraId="4CB8857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w:t>
                  </w:r>
                </w:p>
              </w:tc>
              <w:tc>
                <w:tcPr>
                  <w:tcW w:w="2178" w:type="dxa"/>
                  <w:vAlign w:val="center"/>
                </w:tcPr>
                <w:p w14:paraId="4EDCEB2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snapToGrid/>
                      <w:color w:val="auto"/>
                      <w:spacing w:val="0"/>
                      <w:kern w:val="0"/>
                      <w:position w:val="0"/>
                      <w:sz w:val="21"/>
                      <w:szCs w:val="21"/>
                      <w:vertAlign w:val="baseline"/>
                      <w:lang w:val="en-US" w:eastAsia="zh-CN"/>
                    </w:rPr>
                  </w:pPr>
                  <w:r>
                    <w:rPr>
                      <w:rFonts w:hint="default" w:ascii="Times New Roman" w:hAnsi="Times New Roman" w:cs="Times New Roman"/>
                      <w:b w:val="0"/>
                      <w:bCs w:val="0"/>
                      <w:snapToGrid/>
                      <w:color w:val="auto"/>
                      <w:spacing w:val="0"/>
                      <w:kern w:val="0"/>
                      <w:position w:val="0"/>
                      <w:sz w:val="21"/>
                      <w:szCs w:val="21"/>
                      <w:vertAlign w:val="baseline"/>
                      <w:lang w:val="en-US" w:eastAsia="zh-CN"/>
                    </w:rPr>
                    <w:t>位于</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1</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#生产车间外</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西北</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侧，规格为</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3</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1</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2</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用于项目1#生产车间内烧结致密工艺的</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冷却。</w:t>
                  </w:r>
                </w:p>
              </w:tc>
              <w:tc>
                <w:tcPr>
                  <w:tcW w:w="1025" w:type="dxa"/>
                  <w:vAlign w:val="center"/>
                </w:tcPr>
                <w:p w14:paraId="170E2E4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无变更</w:t>
                  </w:r>
                </w:p>
              </w:tc>
            </w:tr>
            <w:tr w14:paraId="2C87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vMerge w:val="continue"/>
                  <w:vAlign w:val="center"/>
                </w:tcPr>
                <w:p w14:paraId="0D3D9A28">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eastAsia" w:ascii="宋体" w:hAnsi="宋体" w:eastAsia="宋体" w:cs="宋体"/>
                      <w:b/>
                      <w:bCs/>
                      <w:snapToGrid/>
                      <w:color w:val="auto"/>
                      <w:spacing w:val="0"/>
                      <w:kern w:val="0"/>
                      <w:position w:val="0"/>
                      <w:sz w:val="30"/>
                      <w:szCs w:val="30"/>
                      <w:vertAlign w:val="baseline"/>
                      <w:lang w:val="en-US" w:eastAsia="zh-CN"/>
                    </w:rPr>
                  </w:pPr>
                </w:p>
              </w:tc>
              <w:tc>
                <w:tcPr>
                  <w:tcW w:w="918" w:type="dxa"/>
                  <w:vAlign w:val="center"/>
                </w:tcPr>
                <w:p w14:paraId="51B4EFC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cs="Times New Roman"/>
                      <w:b w:val="0"/>
                      <w:bCs w:val="0"/>
                      <w:snapToGrid/>
                      <w:color w:val="auto"/>
                      <w:spacing w:val="0"/>
                      <w:kern w:val="0"/>
                      <w:position w:val="0"/>
                      <w:sz w:val="21"/>
                      <w:szCs w:val="21"/>
                      <w:vertAlign w:val="baseline"/>
                      <w:lang w:val="en-US" w:eastAsia="zh-CN"/>
                    </w:rPr>
                    <w:t>3#循环水池</w:t>
                  </w:r>
                </w:p>
              </w:tc>
              <w:tc>
                <w:tcPr>
                  <w:tcW w:w="1755" w:type="dxa"/>
                  <w:vAlign w:val="center"/>
                </w:tcPr>
                <w:p w14:paraId="4E65889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w:t>
                  </w:r>
                </w:p>
              </w:tc>
              <w:tc>
                <w:tcPr>
                  <w:tcW w:w="1953" w:type="dxa"/>
                  <w:vAlign w:val="center"/>
                </w:tcPr>
                <w:p w14:paraId="6FD0460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cs="Times New Roman"/>
                      <w:b w:val="0"/>
                      <w:bCs w:val="0"/>
                      <w:snapToGrid/>
                      <w:color w:val="auto"/>
                      <w:spacing w:val="0"/>
                      <w:kern w:val="0"/>
                      <w:position w:val="0"/>
                      <w:sz w:val="21"/>
                      <w:szCs w:val="21"/>
                      <w:vertAlign w:val="baseline"/>
                      <w:lang w:val="en-US" w:eastAsia="zh-CN"/>
                    </w:rPr>
                    <w:t>位于</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2#生产车间外南侧，规格为3m*</w:t>
                  </w:r>
                  <w:r>
                    <w:rPr>
                      <w:rFonts w:hint="eastAsia" w:ascii="Times New Roman" w:hAnsi="Times New Roman" w:cs="Times New Roman"/>
                      <w:b w:val="0"/>
                      <w:bCs w:val="0"/>
                      <w:snapToGrid/>
                      <w:color w:val="auto"/>
                      <w:spacing w:val="0"/>
                      <w:kern w:val="0"/>
                      <w:position w:val="0"/>
                      <w:sz w:val="21"/>
                      <w:szCs w:val="21"/>
                      <w:vertAlign w:val="baseline"/>
                      <w:lang w:val="en-US" w:eastAsia="zh-CN"/>
                    </w:rPr>
                    <w:t>1</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eastAsia" w:ascii="Times New Roman" w:hAnsi="Times New Roman" w:cs="Times New Roman"/>
                      <w:b w:val="0"/>
                      <w:bCs w:val="0"/>
                      <w:snapToGrid/>
                      <w:color w:val="auto"/>
                      <w:spacing w:val="0"/>
                      <w:kern w:val="0"/>
                      <w:position w:val="0"/>
                      <w:sz w:val="21"/>
                      <w:szCs w:val="21"/>
                      <w:vertAlign w:val="baseline"/>
                      <w:lang w:val="en-US" w:eastAsia="zh-CN"/>
                    </w:rPr>
                    <w:t>2</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m，用于项目</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2#生产车间内</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注塑</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工艺的</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冷却。</w:t>
                  </w:r>
                </w:p>
              </w:tc>
              <w:tc>
                <w:tcPr>
                  <w:tcW w:w="2178" w:type="dxa"/>
                  <w:vAlign w:val="center"/>
                </w:tcPr>
                <w:p w14:paraId="01516CC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cs="Times New Roman"/>
                      <w:b w:val="0"/>
                      <w:bCs w:val="0"/>
                      <w:snapToGrid/>
                      <w:color w:val="auto"/>
                      <w:spacing w:val="0"/>
                      <w:kern w:val="0"/>
                      <w:position w:val="0"/>
                      <w:sz w:val="21"/>
                      <w:szCs w:val="21"/>
                      <w:vertAlign w:val="baseline"/>
                      <w:lang w:val="en-US" w:eastAsia="zh-CN"/>
                    </w:rPr>
                    <w:t>位于</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2#生产车间外南侧，规格为3m*</w:t>
                  </w:r>
                  <w:r>
                    <w:rPr>
                      <w:rFonts w:hint="eastAsia" w:ascii="Times New Roman" w:hAnsi="Times New Roman" w:cs="Times New Roman"/>
                      <w:b w:val="0"/>
                      <w:bCs w:val="0"/>
                      <w:snapToGrid/>
                      <w:color w:val="auto"/>
                      <w:spacing w:val="0"/>
                      <w:kern w:val="0"/>
                      <w:position w:val="0"/>
                      <w:sz w:val="21"/>
                      <w:szCs w:val="21"/>
                      <w:vertAlign w:val="baseline"/>
                      <w:lang w:val="en-US" w:eastAsia="zh-CN"/>
                    </w:rPr>
                    <w:t>1</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eastAsia" w:ascii="Times New Roman" w:hAnsi="Times New Roman" w:cs="Times New Roman"/>
                      <w:b w:val="0"/>
                      <w:bCs w:val="0"/>
                      <w:snapToGrid/>
                      <w:color w:val="auto"/>
                      <w:spacing w:val="0"/>
                      <w:kern w:val="0"/>
                      <w:position w:val="0"/>
                      <w:sz w:val="21"/>
                      <w:szCs w:val="21"/>
                      <w:vertAlign w:val="baseline"/>
                      <w:lang w:val="en-US" w:eastAsia="zh-CN"/>
                    </w:rPr>
                    <w:t>2</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m，用于项目</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2#生产车间内</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注塑</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工艺的</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冷却。</w:t>
                  </w:r>
                </w:p>
              </w:tc>
              <w:tc>
                <w:tcPr>
                  <w:tcW w:w="1025" w:type="dxa"/>
                  <w:vAlign w:val="center"/>
                </w:tcPr>
                <w:p w14:paraId="643F757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ascii="Times New Roman" w:hAnsi="Times New Roman" w:cs="Times New Roman"/>
                      <w:b w:val="0"/>
                      <w:bCs w:val="0"/>
                      <w:snapToGrid/>
                      <w:color w:val="auto"/>
                      <w:spacing w:val="0"/>
                      <w:kern w:val="0"/>
                      <w:position w:val="0"/>
                      <w:sz w:val="21"/>
                      <w:szCs w:val="21"/>
                      <w:vertAlign w:val="baseline"/>
                      <w:lang w:val="en-US" w:eastAsia="zh-CN"/>
                    </w:rPr>
                    <w:t>新增</w:t>
                  </w:r>
                </w:p>
              </w:tc>
            </w:tr>
            <w:tr w14:paraId="11E1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vMerge w:val="restart"/>
                  <w:vAlign w:val="center"/>
                </w:tcPr>
                <w:p w14:paraId="41F03EAD">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eastAsia" w:ascii="宋体" w:hAnsi="宋体" w:eastAsia="宋体" w:cs="宋体"/>
                      <w:b/>
                      <w:bCs/>
                      <w:snapToGrid/>
                      <w:color w:val="auto"/>
                      <w:spacing w:val="0"/>
                      <w:kern w:val="0"/>
                      <w:position w:val="0"/>
                      <w:sz w:val="30"/>
                      <w:szCs w:val="30"/>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储运工程</w:t>
                  </w:r>
                </w:p>
              </w:tc>
              <w:tc>
                <w:tcPr>
                  <w:tcW w:w="918" w:type="dxa"/>
                  <w:vAlign w:val="center"/>
                </w:tcPr>
                <w:p w14:paraId="42D6144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snapToGrid/>
                      <w:color w:val="auto"/>
                      <w:spacing w:val="0"/>
                      <w:kern w:val="0"/>
                      <w:position w:val="0"/>
                      <w:sz w:val="30"/>
                      <w:szCs w:val="30"/>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原料</w:t>
                  </w:r>
                  <w:r>
                    <w:rPr>
                      <w:rFonts w:hint="eastAsia" w:ascii="宋体" w:hAnsi="宋体" w:cs="宋体"/>
                      <w:b w:val="0"/>
                      <w:bCs w:val="0"/>
                      <w:snapToGrid/>
                      <w:color w:val="auto"/>
                      <w:spacing w:val="0"/>
                      <w:kern w:val="0"/>
                      <w:position w:val="0"/>
                      <w:sz w:val="21"/>
                      <w:szCs w:val="21"/>
                      <w:vertAlign w:val="baseline"/>
                      <w:lang w:val="en-US" w:eastAsia="zh-CN"/>
                    </w:rPr>
                    <w:t>仓库</w:t>
                  </w:r>
                </w:p>
              </w:tc>
              <w:tc>
                <w:tcPr>
                  <w:tcW w:w="1755" w:type="dxa"/>
                  <w:vAlign w:val="center"/>
                </w:tcPr>
                <w:p w14:paraId="5445F3D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snapToGrid/>
                      <w:color w:val="auto"/>
                      <w:spacing w:val="0"/>
                      <w:kern w:val="0"/>
                      <w:position w:val="0"/>
                      <w:sz w:val="30"/>
                      <w:szCs w:val="30"/>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位于1</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#生产车间</w:t>
                  </w:r>
                  <w:r>
                    <w:rPr>
                      <w:rFonts w:hint="eastAsia" w:cs="Times New Roman"/>
                      <w:b w:val="0"/>
                      <w:bCs w:val="0"/>
                      <w:snapToGrid/>
                      <w:color w:val="auto"/>
                      <w:spacing w:val="0"/>
                      <w:kern w:val="0"/>
                      <w:position w:val="0"/>
                      <w:sz w:val="21"/>
                      <w:szCs w:val="21"/>
                      <w:vertAlign w:val="baseline"/>
                      <w:lang w:val="en-US" w:eastAsia="zh-CN"/>
                    </w:rPr>
                    <w:t>外西侧</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w:t>
                  </w:r>
                  <w:r>
                    <w:rPr>
                      <w:rFonts w:hint="eastAsia" w:cs="Times New Roman"/>
                      <w:b w:val="0"/>
                      <w:bCs w:val="0"/>
                      <w:snapToGrid/>
                      <w:color w:val="auto"/>
                      <w:spacing w:val="0"/>
                      <w:kern w:val="0"/>
                      <w:position w:val="0"/>
                      <w:sz w:val="21"/>
                      <w:szCs w:val="21"/>
                      <w:vertAlign w:val="baseline"/>
                      <w:lang w:val="en-US" w:eastAsia="zh-CN"/>
                    </w:rPr>
                    <w:t>建筑</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面积共约</w:t>
                  </w:r>
                  <w:r>
                    <w:rPr>
                      <w:rFonts w:hint="eastAsia" w:cs="Times New Roman"/>
                      <w:b w:val="0"/>
                      <w:bCs w:val="0"/>
                      <w:snapToGrid/>
                      <w:color w:val="auto"/>
                      <w:spacing w:val="0"/>
                      <w:kern w:val="0"/>
                      <w:position w:val="0"/>
                      <w:sz w:val="21"/>
                      <w:szCs w:val="21"/>
                      <w:vertAlign w:val="baseline"/>
                      <w:lang w:val="en-US" w:eastAsia="zh-CN"/>
                    </w:rPr>
                    <w:t>600</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eastAsia" w:ascii="Times New Roman" w:hAnsi="Times New Roman" w:eastAsia="宋体" w:cs="Times New Roman"/>
                      <w:b w:val="0"/>
                      <w:bCs w:val="0"/>
                      <w:snapToGrid/>
                      <w:color w:val="auto"/>
                      <w:spacing w:val="0"/>
                      <w:kern w:val="0"/>
                      <w:position w:val="0"/>
                      <w:sz w:val="21"/>
                      <w:szCs w:val="21"/>
                      <w:vertAlign w:val="superscript"/>
                      <w:lang w:val="en-US" w:eastAsia="zh-CN"/>
                    </w:rPr>
                    <w:t>2</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，储存生产所需的原辅材料。</w:t>
                  </w:r>
                </w:p>
              </w:tc>
              <w:tc>
                <w:tcPr>
                  <w:tcW w:w="1953" w:type="dxa"/>
                  <w:vAlign w:val="center"/>
                </w:tcPr>
                <w:p w14:paraId="64E8A08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snapToGrid/>
                      <w:color w:val="auto"/>
                      <w:spacing w:val="0"/>
                      <w:kern w:val="0"/>
                      <w:position w:val="0"/>
                      <w:sz w:val="30"/>
                      <w:szCs w:val="30"/>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w:t>
                  </w:r>
                </w:p>
              </w:tc>
              <w:tc>
                <w:tcPr>
                  <w:tcW w:w="2178" w:type="dxa"/>
                  <w:vAlign w:val="center"/>
                </w:tcPr>
                <w:p w14:paraId="0077DC7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snapToGrid/>
                      <w:color w:val="auto"/>
                      <w:spacing w:val="0"/>
                      <w:kern w:val="0"/>
                      <w:position w:val="0"/>
                      <w:sz w:val="30"/>
                      <w:szCs w:val="30"/>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位于1</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#生产车间</w:t>
                  </w:r>
                  <w:r>
                    <w:rPr>
                      <w:rFonts w:hint="eastAsia" w:cs="Times New Roman"/>
                      <w:b w:val="0"/>
                      <w:bCs w:val="0"/>
                      <w:snapToGrid/>
                      <w:color w:val="auto"/>
                      <w:spacing w:val="0"/>
                      <w:kern w:val="0"/>
                      <w:position w:val="0"/>
                      <w:sz w:val="21"/>
                      <w:szCs w:val="21"/>
                      <w:vertAlign w:val="baseline"/>
                      <w:lang w:val="en-US" w:eastAsia="zh-CN"/>
                    </w:rPr>
                    <w:t>外西侧</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w:t>
                  </w:r>
                  <w:r>
                    <w:rPr>
                      <w:rFonts w:hint="eastAsia" w:cs="Times New Roman"/>
                      <w:b w:val="0"/>
                      <w:bCs w:val="0"/>
                      <w:snapToGrid/>
                      <w:color w:val="auto"/>
                      <w:spacing w:val="0"/>
                      <w:kern w:val="0"/>
                      <w:position w:val="0"/>
                      <w:sz w:val="21"/>
                      <w:szCs w:val="21"/>
                      <w:vertAlign w:val="baseline"/>
                      <w:lang w:val="en-US" w:eastAsia="zh-CN"/>
                    </w:rPr>
                    <w:t>建筑</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面积共约</w:t>
                  </w:r>
                  <w:r>
                    <w:rPr>
                      <w:rFonts w:hint="eastAsia" w:cs="Times New Roman"/>
                      <w:b w:val="0"/>
                      <w:bCs w:val="0"/>
                      <w:snapToGrid/>
                      <w:color w:val="auto"/>
                      <w:spacing w:val="0"/>
                      <w:kern w:val="0"/>
                      <w:position w:val="0"/>
                      <w:sz w:val="21"/>
                      <w:szCs w:val="21"/>
                      <w:vertAlign w:val="baseline"/>
                      <w:lang w:val="en-US" w:eastAsia="zh-CN"/>
                    </w:rPr>
                    <w:t>600</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eastAsia" w:ascii="Times New Roman" w:hAnsi="Times New Roman" w:eastAsia="宋体" w:cs="Times New Roman"/>
                      <w:b w:val="0"/>
                      <w:bCs w:val="0"/>
                      <w:snapToGrid/>
                      <w:color w:val="auto"/>
                      <w:spacing w:val="0"/>
                      <w:kern w:val="0"/>
                      <w:position w:val="0"/>
                      <w:sz w:val="21"/>
                      <w:szCs w:val="21"/>
                      <w:vertAlign w:val="superscript"/>
                      <w:lang w:val="en-US" w:eastAsia="zh-CN"/>
                    </w:rPr>
                    <w:t>2</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，储存生产所需的原辅材料。</w:t>
                  </w:r>
                </w:p>
              </w:tc>
              <w:tc>
                <w:tcPr>
                  <w:tcW w:w="1025" w:type="dxa"/>
                  <w:vAlign w:val="center"/>
                </w:tcPr>
                <w:p w14:paraId="2B226B5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snapToGrid/>
                      <w:color w:val="auto"/>
                      <w:spacing w:val="0"/>
                      <w:kern w:val="0"/>
                      <w:position w:val="0"/>
                      <w:sz w:val="30"/>
                      <w:szCs w:val="30"/>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无变更</w:t>
                  </w:r>
                </w:p>
              </w:tc>
            </w:tr>
            <w:tr w14:paraId="2D4B3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vMerge w:val="continue"/>
                  <w:vAlign w:val="center"/>
                </w:tcPr>
                <w:p w14:paraId="1D748945">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p>
              </w:tc>
              <w:tc>
                <w:tcPr>
                  <w:tcW w:w="918" w:type="dxa"/>
                  <w:shd w:val="clear" w:color="auto" w:fill="auto"/>
                  <w:vAlign w:val="center"/>
                </w:tcPr>
                <w:p w14:paraId="2DEBF9A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snapToGrid/>
                      <w:color w:val="auto"/>
                      <w:spacing w:val="0"/>
                      <w:kern w:val="0"/>
                      <w:position w:val="0"/>
                      <w:sz w:val="30"/>
                      <w:szCs w:val="30"/>
                      <w:vertAlign w:val="baseline"/>
                      <w:lang w:val="en-US" w:eastAsia="zh-CN" w:bidi="ar-SA"/>
                    </w:rPr>
                  </w:pP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成品</w:t>
                  </w:r>
                  <w:r>
                    <w:rPr>
                      <w:rFonts w:hint="eastAsia" w:cs="Times New Roman"/>
                      <w:b w:val="0"/>
                      <w:bCs w:val="0"/>
                      <w:snapToGrid/>
                      <w:color w:val="auto"/>
                      <w:spacing w:val="0"/>
                      <w:kern w:val="0"/>
                      <w:position w:val="0"/>
                      <w:sz w:val="21"/>
                      <w:szCs w:val="21"/>
                      <w:vertAlign w:val="baseline"/>
                      <w:lang w:val="en-US" w:eastAsia="zh-CN"/>
                    </w:rPr>
                    <w:t>堆放</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区</w:t>
                  </w:r>
                </w:p>
              </w:tc>
              <w:tc>
                <w:tcPr>
                  <w:tcW w:w="1755" w:type="dxa"/>
                  <w:shd w:val="clear" w:color="auto" w:fill="auto"/>
                  <w:vAlign w:val="center"/>
                </w:tcPr>
                <w:p w14:paraId="7EC4783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snapToGrid/>
                      <w:color w:val="auto"/>
                      <w:spacing w:val="0"/>
                      <w:kern w:val="0"/>
                      <w:position w:val="0"/>
                      <w:sz w:val="30"/>
                      <w:szCs w:val="30"/>
                      <w:vertAlign w:val="baseline"/>
                      <w:lang w:val="en-US" w:eastAsia="zh-CN" w:bidi="ar-SA"/>
                    </w:rPr>
                  </w:pPr>
                  <w:r>
                    <w:rPr>
                      <w:rFonts w:hint="eastAsia" w:cs="Times New Roman"/>
                      <w:b w:val="0"/>
                      <w:bCs w:val="0"/>
                      <w:snapToGrid/>
                      <w:color w:val="auto"/>
                      <w:spacing w:val="0"/>
                      <w:kern w:val="0"/>
                      <w:position w:val="0"/>
                      <w:sz w:val="21"/>
                      <w:szCs w:val="21"/>
                      <w:vertAlign w:val="baseline"/>
                      <w:lang w:val="en-US" w:eastAsia="zh-CN"/>
                    </w:rPr>
                    <w:t>位于</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3#生产车间</w:t>
                  </w:r>
                  <w:r>
                    <w:rPr>
                      <w:rFonts w:hint="eastAsia" w:cs="Times New Roman"/>
                      <w:b w:val="0"/>
                      <w:bCs w:val="0"/>
                      <w:snapToGrid/>
                      <w:color w:val="auto"/>
                      <w:spacing w:val="0"/>
                      <w:kern w:val="0"/>
                      <w:position w:val="0"/>
                      <w:sz w:val="21"/>
                      <w:szCs w:val="21"/>
                      <w:vertAlign w:val="baseline"/>
                      <w:lang w:val="en-US" w:eastAsia="zh-CN"/>
                    </w:rPr>
                    <w:t>西侧</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w:t>
                  </w:r>
                  <w:r>
                    <w:rPr>
                      <w:rFonts w:hint="eastAsia" w:cs="Times New Roman"/>
                      <w:b w:val="0"/>
                      <w:bCs w:val="0"/>
                      <w:snapToGrid/>
                      <w:color w:val="auto"/>
                      <w:spacing w:val="0"/>
                      <w:kern w:val="0"/>
                      <w:position w:val="0"/>
                      <w:sz w:val="21"/>
                      <w:szCs w:val="21"/>
                      <w:vertAlign w:val="baseline"/>
                      <w:lang w:val="en-US" w:eastAsia="zh-CN"/>
                    </w:rPr>
                    <w:t>占地</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面积共约</w:t>
                  </w:r>
                  <w:r>
                    <w:rPr>
                      <w:rFonts w:hint="eastAsia" w:cs="Times New Roman"/>
                      <w:b w:val="0"/>
                      <w:bCs w:val="0"/>
                      <w:snapToGrid/>
                      <w:color w:val="auto"/>
                      <w:spacing w:val="0"/>
                      <w:kern w:val="0"/>
                      <w:position w:val="0"/>
                      <w:sz w:val="21"/>
                      <w:szCs w:val="21"/>
                      <w:vertAlign w:val="baseline"/>
                      <w:lang w:val="en-US" w:eastAsia="zh-CN"/>
                    </w:rPr>
                    <w:t>500</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eastAsia" w:ascii="Times New Roman" w:hAnsi="Times New Roman" w:eastAsia="宋体" w:cs="Times New Roman"/>
                      <w:b w:val="0"/>
                      <w:bCs w:val="0"/>
                      <w:snapToGrid/>
                      <w:color w:val="auto"/>
                      <w:spacing w:val="0"/>
                      <w:kern w:val="0"/>
                      <w:position w:val="0"/>
                      <w:sz w:val="21"/>
                      <w:szCs w:val="21"/>
                      <w:vertAlign w:val="superscript"/>
                      <w:lang w:val="en-US" w:eastAsia="zh-CN"/>
                    </w:rPr>
                    <w:t>2</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，储存</w:t>
                  </w:r>
                  <w:r>
                    <w:rPr>
                      <w:rFonts w:hint="eastAsia" w:cs="Times New Roman"/>
                      <w:b w:val="0"/>
                      <w:bCs w:val="0"/>
                      <w:snapToGrid/>
                      <w:color w:val="auto"/>
                      <w:spacing w:val="0"/>
                      <w:kern w:val="0"/>
                      <w:position w:val="0"/>
                      <w:sz w:val="21"/>
                      <w:szCs w:val="21"/>
                      <w:vertAlign w:val="baseline"/>
                      <w:lang w:val="en-US" w:eastAsia="zh-CN"/>
                    </w:rPr>
                    <w:t>包装后的成品</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w:t>
                  </w:r>
                </w:p>
              </w:tc>
              <w:tc>
                <w:tcPr>
                  <w:tcW w:w="1953" w:type="dxa"/>
                  <w:shd w:val="clear" w:color="auto" w:fill="auto"/>
                  <w:vAlign w:val="center"/>
                </w:tcPr>
                <w:p w14:paraId="11456A5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snapToGrid/>
                      <w:color w:val="auto"/>
                      <w:spacing w:val="0"/>
                      <w:kern w:val="0"/>
                      <w:position w:val="0"/>
                      <w:sz w:val="30"/>
                      <w:szCs w:val="30"/>
                      <w:vertAlign w:val="baseline"/>
                      <w:lang w:val="en-US" w:eastAsia="zh-CN" w:bidi="ar-SA"/>
                    </w:rPr>
                  </w:pPr>
                  <w:r>
                    <w:rPr>
                      <w:rFonts w:hint="eastAsia" w:cs="Times New Roman"/>
                      <w:b w:val="0"/>
                      <w:bCs w:val="0"/>
                      <w:snapToGrid/>
                      <w:color w:val="auto"/>
                      <w:spacing w:val="0"/>
                      <w:kern w:val="0"/>
                      <w:position w:val="0"/>
                      <w:sz w:val="21"/>
                      <w:szCs w:val="21"/>
                      <w:vertAlign w:val="baseline"/>
                      <w:lang w:val="en-US" w:eastAsia="zh-CN"/>
                    </w:rPr>
                    <w:t>/</w:t>
                  </w:r>
                </w:p>
              </w:tc>
              <w:tc>
                <w:tcPr>
                  <w:tcW w:w="2178" w:type="dxa"/>
                  <w:shd w:val="clear" w:color="auto" w:fill="auto"/>
                  <w:vAlign w:val="center"/>
                </w:tcPr>
                <w:p w14:paraId="4BA055A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snapToGrid/>
                      <w:color w:val="auto"/>
                      <w:spacing w:val="0"/>
                      <w:kern w:val="0"/>
                      <w:position w:val="0"/>
                      <w:sz w:val="30"/>
                      <w:szCs w:val="30"/>
                      <w:vertAlign w:val="baseline"/>
                      <w:lang w:val="en-US" w:eastAsia="zh-CN" w:bidi="ar-SA"/>
                    </w:rPr>
                  </w:pPr>
                  <w:r>
                    <w:rPr>
                      <w:rFonts w:hint="eastAsia" w:cs="Times New Roman"/>
                      <w:b w:val="0"/>
                      <w:bCs w:val="0"/>
                      <w:snapToGrid/>
                      <w:color w:val="auto"/>
                      <w:spacing w:val="0"/>
                      <w:kern w:val="0"/>
                      <w:position w:val="0"/>
                      <w:sz w:val="21"/>
                      <w:szCs w:val="21"/>
                      <w:vertAlign w:val="baseline"/>
                      <w:lang w:val="en-US" w:eastAsia="zh-CN"/>
                    </w:rPr>
                    <w:t>位于</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3#生产车间南</w:t>
                  </w:r>
                  <w:r>
                    <w:rPr>
                      <w:rFonts w:hint="eastAsia" w:cs="Times New Roman"/>
                      <w:b w:val="0"/>
                      <w:bCs w:val="0"/>
                      <w:snapToGrid/>
                      <w:color w:val="auto"/>
                      <w:spacing w:val="0"/>
                      <w:kern w:val="0"/>
                      <w:position w:val="0"/>
                      <w:sz w:val="21"/>
                      <w:szCs w:val="21"/>
                      <w:vertAlign w:val="baseline"/>
                      <w:lang w:val="en-US" w:eastAsia="zh-CN"/>
                    </w:rPr>
                    <w:t>侧</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w:t>
                  </w:r>
                  <w:r>
                    <w:rPr>
                      <w:rFonts w:hint="eastAsia" w:cs="Times New Roman"/>
                      <w:b w:val="0"/>
                      <w:bCs w:val="0"/>
                      <w:snapToGrid/>
                      <w:color w:val="auto"/>
                      <w:spacing w:val="0"/>
                      <w:kern w:val="0"/>
                      <w:position w:val="0"/>
                      <w:sz w:val="21"/>
                      <w:szCs w:val="21"/>
                      <w:vertAlign w:val="baseline"/>
                      <w:lang w:val="en-US" w:eastAsia="zh-CN"/>
                    </w:rPr>
                    <w:t>占地</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面积共约</w:t>
                  </w:r>
                  <w:r>
                    <w:rPr>
                      <w:rFonts w:hint="eastAsia" w:cs="Times New Roman"/>
                      <w:b w:val="0"/>
                      <w:bCs w:val="0"/>
                      <w:snapToGrid/>
                      <w:color w:val="auto"/>
                      <w:spacing w:val="0"/>
                      <w:kern w:val="0"/>
                      <w:position w:val="0"/>
                      <w:sz w:val="21"/>
                      <w:szCs w:val="21"/>
                      <w:vertAlign w:val="baseline"/>
                      <w:lang w:val="en-US" w:eastAsia="zh-CN"/>
                    </w:rPr>
                    <w:t>500</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eastAsia" w:ascii="Times New Roman" w:hAnsi="Times New Roman" w:eastAsia="宋体" w:cs="Times New Roman"/>
                      <w:b w:val="0"/>
                      <w:bCs w:val="0"/>
                      <w:snapToGrid/>
                      <w:color w:val="auto"/>
                      <w:spacing w:val="0"/>
                      <w:kern w:val="0"/>
                      <w:position w:val="0"/>
                      <w:sz w:val="21"/>
                      <w:szCs w:val="21"/>
                      <w:vertAlign w:val="superscript"/>
                      <w:lang w:val="en-US" w:eastAsia="zh-CN"/>
                    </w:rPr>
                    <w:t>2</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，储存生产所需的原辅材料。</w:t>
                  </w:r>
                </w:p>
              </w:tc>
              <w:tc>
                <w:tcPr>
                  <w:tcW w:w="1025" w:type="dxa"/>
                  <w:shd w:val="clear" w:color="auto" w:fill="auto"/>
                  <w:vAlign w:val="center"/>
                </w:tcPr>
                <w:p w14:paraId="570C3CB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宋体" w:hAnsi="宋体" w:eastAsia="宋体" w:cs="宋体"/>
                      <w:b/>
                      <w:bCs/>
                      <w:snapToGrid/>
                      <w:color w:val="auto"/>
                      <w:spacing w:val="0"/>
                      <w:kern w:val="0"/>
                      <w:position w:val="0"/>
                      <w:sz w:val="30"/>
                      <w:szCs w:val="30"/>
                      <w:vertAlign w:val="baseline"/>
                      <w:lang w:val="en-US" w:eastAsia="zh-CN" w:bidi="ar-SA"/>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无变更</w:t>
                  </w:r>
                </w:p>
              </w:tc>
            </w:tr>
            <w:tr w14:paraId="5B34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vMerge w:val="continue"/>
                  <w:vAlign w:val="center"/>
                </w:tcPr>
                <w:p w14:paraId="5E9BA3F9">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eastAsia" w:ascii="宋体" w:hAnsi="宋体" w:eastAsia="宋体" w:cs="宋体"/>
                      <w:b/>
                      <w:bCs/>
                      <w:snapToGrid/>
                      <w:color w:val="auto"/>
                      <w:spacing w:val="0"/>
                      <w:kern w:val="0"/>
                      <w:position w:val="0"/>
                      <w:sz w:val="30"/>
                      <w:szCs w:val="30"/>
                      <w:vertAlign w:val="baseline"/>
                      <w:lang w:val="en-US" w:eastAsia="zh-CN"/>
                    </w:rPr>
                  </w:pPr>
                </w:p>
              </w:tc>
              <w:tc>
                <w:tcPr>
                  <w:tcW w:w="918" w:type="dxa"/>
                  <w:vAlign w:val="center"/>
                </w:tcPr>
                <w:p w14:paraId="1A8AD59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snapToGrid/>
                      <w:color w:val="auto"/>
                      <w:spacing w:val="0"/>
                      <w:kern w:val="0"/>
                      <w:position w:val="0"/>
                      <w:sz w:val="30"/>
                      <w:szCs w:val="30"/>
                      <w:vertAlign w:val="baseline"/>
                      <w:lang w:val="en-US" w:eastAsia="zh-CN"/>
                    </w:rPr>
                  </w:pPr>
                  <w:r>
                    <w:rPr>
                      <w:rFonts w:hint="eastAsia" w:ascii="宋体" w:hAnsi="宋体" w:cs="宋体"/>
                      <w:b w:val="0"/>
                      <w:bCs w:val="0"/>
                      <w:snapToGrid/>
                      <w:color w:val="auto"/>
                      <w:spacing w:val="0"/>
                      <w:kern w:val="0"/>
                      <w:position w:val="0"/>
                      <w:sz w:val="21"/>
                      <w:szCs w:val="21"/>
                      <w:vertAlign w:val="baseline"/>
                      <w:lang w:val="en-US" w:eastAsia="zh-CN"/>
                    </w:rPr>
                    <w:t>包转材料仓库</w:t>
                  </w:r>
                </w:p>
              </w:tc>
              <w:tc>
                <w:tcPr>
                  <w:tcW w:w="1755" w:type="dxa"/>
                  <w:vAlign w:val="center"/>
                </w:tcPr>
                <w:p w14:paraId="0DD1947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snapToGrid/>
                      <w:color w:val="auto"/>
                      <w:spacing w:val="0"/>
                      <w:kern w:val="0"/>
                      <w:position w:val="0"/>
                      <w:sz w:val="21"/>
                      <w:szCs w:val="21"/>
                      <w:vertAlign w:val="baseline"/>
                      <w:lang w:val="en-US" w:eastAsia="zh-CN"/>
                    </w:rPr>
                  </w:pPr>
                  <w:r>
                    <w:rPr>
                      <w:rFonts w:hint="eastAsia" w:ascii="宋体" w:hAnsi="宋体" w:cs="宋体"/>
                      <w:b w:val="0"/>
                      <w:bCs w:val="0"/>
                      <w:snapToGrid/>
                      <w:color w:val="auto"/>
                      <w:spacing w:val="0"/>
                      <w:kern w:val="0"/>
                      <w:position w:val="0"/>
                      <w:sz w:val="21"/>
                      <w:szCs w:val="21"/>
                      <w:vertAlign w:val="baseline"/>
                      <w:lang w:val="en-US" w:eastAsia="zh-CN"/>
                    </w:rPr>
                    <w:t>位于厂区东侧，建筑面积</w:t>
                  </w:r>
                  <w:r>
                    <w:rPr>
                      <w:rFonts w:hint="eastAsia" w:cs="Times New Roman"/>
                      <w:b w:val="0"/>
                      <w:bCs w:val="0"/>
                      <w:snapToGrid/>
                      <w:color w:val="auto"/>
                      <w:spacing w:val="0"/>
                      <w:kern w:val="0"/>
                      <w:position w:val="0"/>
                      <w:sz w:val="21"/>
                      <w:szCs w:val="21"/>
                      <w:vertAlign w:val="baseline"/>
                      <w:lang w:val="en-US" w:eastAsia="zh-CN"/>
                    </w:rPr>
                    <w:t>600</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eastAsia" w:ascii="Times New Roman" w:hAnsi="Times New Roman" w:eastAsia="宋体" w:cs="Times New Roman"/>
                      <w:b w:val="0"/>
                      <w:bCs w:val="0"/>
                      <w:snapToGrid/>
                      <w:color w:val="auto"/>
                      <w:spacing w:val="0"/>
                      <w:kern w:val="0"/>
                      <w:position w:val="0"/>
                      <w:sz w:val="21"/>
                      <w:szCs w:val="21"/>
                      <w:vertAlign w:val="superscript"/>
                      <w:lang w:val="en-US" w:eastAsia="zh-CN"/>
                    </w:rPr>
                    <w:t>2</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，用于项目包转材料的贮存</w:t>
                  </w:r>
                </w:p>
              </w:tc>
              <w:tc>
                <w:tcPr>
                  <w:tcW w:w="1953" w:type="dxa"/>
                  <w:vAlign w:val="center"/>
                </w:tcPr>
                <w:p w14:paraId="5F4159B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宋体" w:hAnsi="宋体" w:eastAsia="宋体" w:cs="宋体"/>
                      <w:b w:val="0"/>
                      <w:bCs w:val="0"/>
                      <w:snapToGrid/>
                      <w:color w:val="auto"/>
                      <w:spacing w:val="0"/>
                      <w:kern w:val="0"/>
                      <w:position w:val="0"/>
                      <w:sz w:val="21"/>
                      <w:szCs w:val="21"/>
                      <w:vertAlign w:val="baseline"/>
                      <w:lang w:val="en-US" w:eastAsia="zh-CN"/>
                    </w:rPr>
                  </w:pPr>
                  <w:r>
                    <w:rPr>
                      <w:rFonts w:hint="eastAsia" w:ascii="宋体" w:hAnsi="宋体" w:cs="宋体"/>
                      <w:b w:val="0"/>
                      <w:bCs w:val="0"/>
                      <w:snapToGrid/>
                      <w:color w:val="auto"/>
                      <w:spacing w:val="0"/>
                      <w:kern w:val="0"/>
                      <w:position w:val="0"/>
                      <w:sz w:val="21"/>
                      <w:szCs w:val="21"/>
                      <w:vertAlign w:val="baseline"/>
                      <w:lang w:val="en-US" w:eastAsia="zh-CN"/>
                    </w:rPr>
                    <w:t>/</w:t>
                  </w:r>
                </w:p>
              </w:tc>
              <w:tc>
                <w:tcPr>
                  <w:tcW w:w="2178" w:type="dxa"/>
                  <w:vAlign w:val="center"/>
                </w:tcPr>
                <w:p w14:paraId="29300E5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snapToGrid/>
                      <w:color w:val="auto"/>
                      <w:spacing w:val="0"/>
                      <w:kern w:val="0"/>
                      <w:position w:val="0"/>
                      <w:sz w:val="21"/>
                      <w:szCs w:val="21"/>
                      <w:vertAlign w:val="baseline"/>
                      <w:lang w:val="en-US" w:eastAsia="zh-CN"/>
                    </w:rPr>
                  </w:pPr>
                  <w:r>
                    <w:rPr>
                      <w:rFonts w:hint="eastAsia" w:ascii="宋体" w:hAnsi="宋体" w:cs="宋体"/>
                      <w:b w:val="0"/>
                      <w:bCs w:val="0"/>
                      <w:snapToGrid/>
                      <w:color w:val="auto"/>
                      <w:spacing w:val="0"/>
                      <w:kern w:val="0"/>
                      <w:position w:val="0"/>
                      <w:sz w:val="21"/>
                      <w:szCs w:val="21"/>
                      <w:vertAlign w:val="baseline"/>
                      <w:lang w:val="en-US" w:eastAsia="zh-CN"/>
                    </w:rPr>
                    <w:t>位于厂区东侧，建筑面积</w:t>
                  </w:r>
                  <w:r>
                    <w:rPr>
                      <w:rFonts w:hint="eastAsia" w:cs="Times New Roman"/>
                      <w:b w:val="0"/>
                      <w:bCs w:val="0"/>
                      <w:snapToGrid/>
                      <w:color w:val="auto"/>
                      <w:spacing w:val="0"/>
                      <w:kern w:val="0"/>
                      <w:position w:val="0"/>
                      <w:sz w:val="21"/>
                      <w:szCs w:val="21"/>
                      <w:vertAlign w:val="baseline"/>
                      <w:lang w:val="en-US" w:eastAsia="zh-CN"/>
                    </w:rPr>
                    <w:t>600</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eastAsia" w:ascii="Times New Roman" w:hAnsi="Times New Roman" w:eastAsia="宋体" w:cs="Times New Roman"/>
                      <w:b w:val="0"/>
                      <w:bCs w:val="0"/>
                      <w:snapToGrid/>
                      <w:color w:val="auto"/>
                      <w:spacing w:val="0"/>
                      <w:kern w:val="0"/>
                      <w:position w:val="0"/>
                      <w:sz w:val="21"/>
                      <w:szCs w:val="21"/>
                      <w:vertAlign w:val="superscript"/>
                      <w:lang w:val="en-US" w:eastAsia="zh-CN"/>
                    </w:rPr>
                    <w:t>2</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，用于项目包转材料的贮存</w:t>
                  </w:r>
                </w:p>
              </w:tc>
              <w:tc>
                <w:tcPr>
                  <w:tcW w:w="1025" w:type="dxa"/>
                  <w:vAlign w:val="center"/>
                </w:tcPr>
                <w:p w14:paraId="20ECFCD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无变更</w:t>
                  </w:r>
                </w:p>
              </w:tc>
            </w:tr>
            <w:tr w14:paraId="0DAE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vMerge w:val="continue"/>
                  <w:vAlign w:val="center"/>
                </w:tcPr>
                <w:p w14:paraId="61722EE7">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eastAsia" w:ascii="宋体" w:hAnsi="宋体" w:eastAsia="宋体" w:cs="宋体"/>
                      <w:b/>
                      <w:bCs/>
                      <w:snapToGrid/>
                      <w:color w:val="auto"/>
                      <w:spacing w:val="0"/>
                      <w:kern w:val="0"/>
                      <w:position w:val="0"/>
                      <w:sz w:val="30"/>
                      <w:szCs w:val="30"/>
                      <w:vertAlign w:val="baseline"/>
                      <w:lang w:val="en-US" w:eastAsia="zh-CN"/>
                    </w:rPr>
                  </w:pPr>
                </w:p>
              </w:tc>
              <w:tc>
                <w:tcPr>
                  <w:tcW w:w="918" w:type="dxa"/>
                  <w:shd w:val="clear" w:color="auto" w:fill="auto"/>
                  <w:vAlign w:val="center"/>
                </w:tcPr>
                <w:p w14:paraId="0C69363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snapToGrid/>
                      <w:color w:val="auto"/>
                      <w:spacing w:val="0"/>
                      <w:kern w:val="0"/>
                      <w:position w:val="0"/>
                      <w:sz w:val="30"/>
                      <w:szCs w:val="30"/>
                      <w:vertAlign w:val="baseline"/>
                      <w:lang w:val="en-US" w:eastAsia="zh-CN" w:bidi="ar-SA"/>
                    </w:rPr>
                  </w:pPr>
                  <w:r>
                    <w:rPr>
                      <w:rFonts w:hint="eastAsia" w:cs="Times New Roman"/>
                      <w:b w:val="0"/>
                      <w:bCs w:val="0"/>
                      <w:snapToGrid/>
                      <w:color w:val="auto"/>
                      <w:spacing w:val="0"/>
                      <w:kern w:val="0"/>
                      <w:position w:val="0"/>
                      <w:sz w:val="21"/>
                      <w:szCs w:val="21"/>
                      <w:vertAlign w:val="baseline"/>
                      <w:lang w:val="en-US" w:eastAsia="zh-CN"/>
                    </w:rPr>
                    <w:t>液氨贮存区</w:t>
                  </w:r>
                </w:p>
              </w:tc>
              <w:tc>
                <w:tcPr>
                  <w:tcW w:w="1755" w:type="dxa"/>
                  <w:shd w:val="clear" w:color="auto" w:fill="auto"/>
                  <w:vAlign w:val="center"/>
                </w:tcPr>
                <w:p w14:paraId="307DE9A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bCs/>
                      <w:snapToGrid/>
                      <w:color w:val="auto"/>
                      <w:spacing w:val="0"/>
                      <w:kern w:val="0"/>
                      <w:position w:val="0"/>
                      <w:sz w:val="30"/>
                      <w:szCs w:val="30"/>
                      <w:vertAlign w:val="baseline"/>
                      <w:lang w:val="en-US" w:eastAsia="zh-CN" w:bidi="ar-SA"/>
                    </w:rPr>
                  </w:pP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位于原料区内南侧，</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设置</w:t>
                  </w:r>
                  <w:r>
                    <w:rPr>
                      <w:rFonts w:hint="eastAsia" w:cs="Times New Roman"/>
                      <w:b w:val="0"/>
                      <w:bCs w:val="0"/>
                      <w:snapToGrid/>
                      <w:color w:val="auto"/>
                      <w:spacing w:val="0"/>
                      <w:kern w:val="0"/>
                      <w:position w:val="0"/>
                      <w:sz w:val="21"/>
                      <w:szCs w:val="21"/>
                      <w:vertAlign w:val="baseline"/>
                      <w:lang w:val="en-US" w:eastAsia="zh-CN"/>
                    </w:rPr>
                    <w:t>液氨储罐</w:t>
                  </w:r>
                  <w:r>
                    <w:rPr>
                      <w:rFonts w:hint="default" w:ascii="Times New Roman" w:hAnsi="Times New Roman" w:cs="Times New Roman"/>
                      <w:b w:val="0"/>
                      <w:bCs w:val="0"/>
                      <w:snapToGrid/>
                      <w:color w:val="auto"/>
                      <w:spacing w:val="0"/>
                      <w:kern w:val="0"/>
                      <w:position w:val="0"/>
                      <w:sz w:val="21"/>
                      <w:szCs w:val="21"/>
                      <w:vertAlign w:val="baseline"/>
                      <w:lang w:val="en-US" w:eastAsia="zh-CN"/>
                    </w:rPr>
                    <w:t>，占地20m</w:t>
                  </w:r>
                  <w:r>
                    <w:rPr>
                      <w:rFonts w:hint="default" w:ascii="Times New Roman" w:hAnsi="Times New Roman" w:cs="Times New Roman"/>
                      <w:b w:val="0"/>
                      <w:bCs w:val="0"/>
                      <w:snapToGrid/>
                      <w:color w:val="auto"/>
                      <w:spacing w:val="0"/>
                      <w:kern w:val="0"/>
                      <w:position w:val="0"/>
                      <w:sz w:val="21"/>
                      <w:szCs w:val="21"/>
                      <w:vertAlign w:val="superscript"/>
                      <w:lang w:val="en-US" w:eastAsia="zh-CN"/>
                    </w:rPr>
                    <w:t>2</w:t>
                  </w:r>
                  <w:r>
                    <w:rPr>
                      <w:rFonts w:hint="default" w:ascii="Times New Roman" w:hAnsi="Times New Roman" w:cs="Times New Roman"/>
                      <w:b w:val="0"/>
                      <w:bCs w:val="0"/>
                      <w:snapToGrid/>
                      <w:color w:val="auto"/>
                      <w:spacing w:val="0"/>
                      <w:kern w:val="0"/>
                      <w:position w:val="0"/>
                      <w:sz w:val="21"/>
                      <w:szCs w:val="21"/>
                      <w:vertAlign w:val="baseline"/>
                      <w:lang w:val="en-US" w:eastAsia="zh-CN"/>
                    </w:rPr>
                    <w:t>，用于</w:t>
                  </w:r>
                  <w:r>
                    <w:rPr>
                      <w:rFonts w:hint="eastAsia" w:cs="Times New Roman"/>
                      <w:b w:val="0"/>
                      <w:bCs w:val="0"/>
                      <w:snapToGrid/>
                      <w:color w:val="auto"/>
                      <w:spacing w:val="0"/>
                      <w:kern w:val="0"/>
                      <w:position w:val="0"/>
                      <w:sz w:val="21"/>
                      <w:szCs w:val="21"/>
                      <w:vertAlign w:val="baseline"/>
                      <w:lang w:val="en-US" w:eastAsia="zh-CN"/>
                    </w:rPr>
                    <w:t>液氨</w:t>
                  </w:r>
                  <w:r>
                    <w:rPr>
                      <w:rFonts w:hint="default" w:ascii="Times New Roman" w:hAnsi="Times New Roman" w:cs="Times New Roman"/>
                      <w:b w:val="0"/>
                      <w:bCs w:val="0"/>
                      <w:snapToGrid/>
                      <w:color w:val="auto"/>
                      <w:spacing w:val="0"/>
                      <w:kern w:val="0"/>
                      <w:position w:val="0"/>
                      <w:sz w:val="21"/>
                      <w:szCs w:val="21"/>
                      <w:vertAlign w:val="baseline"/>
                      <w:lang w:val="en-US" w:eastAsia="zh-CN"/>
                    </w:rPr>
                    <w:t>贮存。</w:t>
                  </w:r>
                </w:p>
              </w:tc>
              <w:tc>
                <w:tcPr>
                  <w:tcW w:w="1953" w:type="dxa"/>
                  <w:shd w:val="clear" w:color="auto" w:fill="auto"/>
                  <w:vAlign w:val="center"/>
                </w:tcPr>
                <w:p w14:paraId="6BEC0DB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bCs/>
                      <w:snapToGrid/>
                      <w:color w:val="auto"/>
                      <w:spacing w:val="0"/>
                      <w:kern w:val="0"/>
                      <w:position w:val="0"/>
                      <w:sz w:val="30"/>
                      <w:szCs w:val="30"/>
                      <w:vertAlign w:val="baseline"/>
                      <w:lang w:val="en-US" w:eastAsia="zh-CN" w:bidi="ar-SA"/>
                    </w:rPr>
                  </w:pPr>
                  <w:r>
                    <w:rPr>
                      <w:rFonts w:hint="default" w:ascii="Times New Roman" w:hAnsi="Times New Roman" w:cs="Times New Roman"/>
                      <w:b w:val="0"/>
                      <w:bCs w:val="0"/>
                      <w:snapToGrid/>
                      <w:color w:val="auto"/>
                      <w:spacing w:val="0"/>
                      <w:kern w:val="0"/>
                      <w:position w:val="0"/>
                      <w:sz w:val="30"/>
                      <w:szCs w:val="30"/>
                      <w:vertAlign w:val="baseline"/>
                      <w:lang w:val="en-US" w:eastAsia="zh-CN"/>
                    </w:rPr>
                    <w:t>/</w:t>
                  </w:r>
                </w:p>
              </w:tc>
              <w:tc>
                <w:tcPr>
                  <w:tcW w:w="2178" w:type="dxa"/>
                  <w:shd w:val="clear" w:color="auto" w:fill="auto"/>
                  <w:vAlign w:val="center"/>
                </w:tcPr>
                <w:p w14:paraId="5493B44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bCs/>
                      <w:snapToGrid/>
                      <w:color w:val="auto"/>
                      <w:spacing w:val="0"/>
                      <w:kern w:val="0"/>
                      <w:position w:val="0"/>
                      <w:sz w:val="30"/>
                      <w:szCs w:val="30"/>
                      <w:vertAlign w:val="baseline"/>
                      <w:lang w:val="en-US" w:eastAsia="zh-CN" w:bidi="ar-SA"/>
                    </w:rPr>
                  </w:pP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位于原料区内南侧，</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设置</w:t>
                  </w:r>
                  <w:r>
                    <w:rPr>
                      <w:rFonts w:hint="eastAsia" w:cs="Times New Roman"/>
                      <w:b w:val="0"/>
                      <w:bCs w:val="0"/>
                      <w:snapToGrid/>
                      <w:color w:val="auto"/>
                      <w:spacing w:val="0"/>
                      <w:kern w:val="0"/>
                      <w:position w:val="0"/>
                      <w:sz w:val="21"/>
                      <w:szCs w:val="21"/>
                      <w:vertAlign w:val="baseline"/>
                      <w:lang w:val="en-US" w:eastAsia="zh-CN"/>
                    </w:rPr>
                    <w:t>液氨储罐</w:t>
                  </w:r>
                  <w:r>
                    <w:rPr>
                      <w:rFonts w:hint="default" w:ascii="Times New Roman" w:hAnsi="Times New Roman" w:cs="Times New Roman"/>
                      <w:b w:val="0"/>
                      <w:bCs w:val="0"/>
                      <w:snapToGrid/>
                      <w:color w:val="auto"/>
                      <w:spacing w:val="0"/>
                      <w:kern w:val="0"/>
                      <w:position w:val="0"/>
                      <w:sz w:val="21"/>
                      <w:szCs w:val="21"/>
                      <w:vertAlign w:val="baseline"/>
                      <w:lang w:val="en-US" w:eastAsia="zh-CN"/>
                    </w:rPr>
                    <w:t>，占地20m</w:t>
                  </w:r>
                  <w:r>
                    <w:rPr>
                      <w:rFonts w:hint="default" w:ascii="Times New Roman" w:hAnsi="Times New Roman" w:cs="Times New Roman"/>
                      <w:b w:val="0"/>
                      <w:bCs w:val="0"/>
                      <w:snapToGrid/>
                      <w:color w:val="auto"/>
                      <w:spacing w:val="0"/>
                      <w:kern w:val="0"/>
                      <w:position w:val="0"/>
                      <w:sz w:val="21"/>
                      <w:szCs w:val="21"/>
                      <w:vertAlign w:val="superscript"/>
                      <w:lang w:val="en-US" w:eastAsia="zh-CN"/>
                    </w:rPr>
                    <w:t>2</w:t>
                  </w:r>
                  <w:r>
                    <w:rPr>
                      <w:rFonts w:hint="default" w:ascii="Times New Roman" w:hAnsi="Times New Roman" w:cs="Times New Roman"/>
                      <w:b w:val="0"/>
                      <w:bCs w:val="0"/>
                      <w:snapToGrid/>
                      <w:color w:val="auto"/>
                      <w:spacing w:val="0"/>
                      <w:kern w:val="0"/>
                      <w:position w:val="0"/>
                      <w:sz w:val="21"/>
                      <w:szCs w:val="21"/>
                      <w:vertAlign w:val="baseline"/>
                      <w:lang w:val="en-US" w:eastAsia="zh-CN"/>
                    </w:rPr>
                    <w:t>，用于</w:t>
                  </w:r>
                  <w:r>
                    <w:rPr>
                      <w:rFonts w:hint="eastAsia" w:cs="Times New Roman"/>
                      <w:b w:val="0"/>
                      <w:bCs w:val="0"/>
                      <w:snapToGrid/>
                      <w:color w:val="auto"/>
                      <w:spacing w:val="0"/>
                      <w:kern w:val="0"/>
                      <w:position w:val="0"/>
                      <w:sz w:val="21"/>
                      <w:szCs w:val="21"/>
                      <w:vertAlign w:val="baseline"/>
                      <w:lang w:val="en-US" w:eastAsia="zh-CN"/>
                    </w:rPr>
                    <w:t>液氨</w:t>
                  </w:r>
                  <w:r>
                    <w:rPr>
                      <w:rFonts w:hint="default" w:ascii="Times New Roman" w:hAnsi="Times New Roman" w:cs="Times New Roman"/>
                      <w:b w:val="0"/>
                      <w:bCs w:val="0"/>
                      <w:snapToGrid/>
                      <w:color w:val="auto"/>
                      <w:spacing w:val="0"/>
                      <w:kern w:val="0"/>
                      <w:position w:val="0"/>
                      <w:sz w:val="21"/>
                      <w:szCs w:val="21"/>
                      <w:vertAlign w:val="baseline"/>
                      <w:lang w:val="en-US" w:eastAsia="zh-CN"/>
                    </w:rPr>
                    <w:t>贮存。</w:t>
                  </w:r>
                </w:p>
              </w:tc>
              <w:tc>
                <w:tcPr>
                  <w:tcW w:w="1025" w:type="dxa"/>
                  <w:shd w:val="clear" w:color="auto" w:fill="auto"/>
                  <w:vAlign w:val="center"/>
                </w:tcPr>
                <w:p w14:paraId="14C09AC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bCs/>
                      <w:snapToGrid/>
                      <w:color w:val="auto"/>
                      <w:spacing w:val="0"/>
                      <w:kern w:val="0"/>
                      <w:position w:val="0"/>
                      <w:sz w:val="30"/>
                      <w:szCs w:val="30"/>
                      <w:vertAlign w:val="baseline"/>
                      <w:lang w:val="en-US" w:eastAsia="zh-CN" w:bidi="ar-SA"/>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无变更</w:t>
                  </w:r>
                </w:p>
              </w:tc>
            </w:tr>
            <w:tr w14:paraId="07A7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vMerge w:val="restart"/>
                  <w:vAlign w:val="center"/>
                </w:tcPr>
                <w:p w14:paraId="50352764">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eastAsia" w:ascii="宋体" w:hAnsi="宋体" w:eastAsia="宋体" w:cs="宋体"/>
                      <w:b/>
                      <w:bCs/>
                      <w:snapToGrid/>
                      <w:color w:val="auto"/>
                      <w:spacing w:val="0"/>
                      <w:kern w:val="0"/>
                      <w:position w:val="0"/>
                      <w:sz w:val="30"/>
                      <w:szCs w:val="30"/>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公用工程</w:t>
                  </w:r>
                </w:p>
              </w:tc>
              <w:tc>
                <w:tcPr>
                  <w:tcW w:w="918" w:type="dxa"/>
                  <w:vAlign w:val="center"/>
                </w:tcPr>
                <w:p w14:paraId="5857279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给水</w:t>
                  </w:r>
                </w:p>
              </w:tc>
              <w:tc>
                <w:tcPr>
                  <w:tcW w:w="1755" w:type="dxa"/>
                  <w:vAlign w:val="center"/>
                </w:tcPr>
                <w:p w14:paraId="69A902D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自来水供水管网供给，</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总用</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水量为</w:t>
                  </w:r>
                  <w:r>
                    <w:rPr>
                      <w:rFonts w:hint="eastAsia" w:cs="Times New Roman"/>
                      <w:b w:val="0"/>
                      <w:bCs w:val="0"/>
                      <w:snapToGrid/>
                      <w:color w:val="auto"/>
                      <w:spacing w:val="0"/>
                      <w:kern w:val="0"/>
                      <w:position w:val="0"/>
                      <w:sz w:val="21"/>
                      <w:szCs w:val="21"/>
                      <w:vertAlign w:val="baseline"/>
                      <w:lang w:val="en-US" w:eastAsia="zh-CN"/>
                    </w:rPr>
                    <w:t>1575</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t/a</w:t>
                  </w:r>
                </w:p>
              </w:tc>
              <w:tc>
                <w:tcPr>
                  <w:tcW w:w="1953" w:type="dxa"/>
                  <w:vAlign w:val="center"/>
                </w:tcPr>
                <w:p w14:paraId="0B6E563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自来水供水管网供给，</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用</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水量为</w:t>
                  </w:r>
                  <w:r>
                    <w:rPr>
                      <w:rFonts w:hint="eastAsia" w:cs="Times New Roman"/>
                      <w:b w:val="0"/>
                      <w:bCs w:val="0"/>
                      <w:snapToGrid/>
                      <w:color w:val="auto"/>
                      <w:spacing w:val="0"/>
                      <w:kern w:val="0"/>
                      <w:position w:val="0"/>
                      <w:sz w:val="21"/>
                      <w:szCs w:val="21"/>
                      <w:vertAlign w:val="baseline"/>
                      <w:lang w:val="en-US" w:eastAsia="zh-CN"/>
                    </w:rPr>
                    <w:t>510</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t/a</w:t>
                  </w:r>
                </w:p>
              </w:tc>
              <w:tc>
                <w:tcPr>
                  <w:tcW w:w="2178" w:type="dxa"/>
                  <w:vAlign w:val="center"/>
                </w:tcPr>
                <w:p w14:paraId="10BA62E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自来水供水管网供给，</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总用</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水量为</w:t>
                  </w:r>
                  <w:r>
                    <w:rPr>
                      <w:rFonts w:hint="eastAsia" w:cs="Times New Roman"/>
                      <w:b w:val="0"/>
                      <w:bCs w:val="0"/>
                      <w:snapToGrid/>
                      <w:color w:val="auto"/>
                      <w:spacing w:val="0"/>
                      <w:kern w:val="0"/>
                      <w:position w:val="0"/>
                      <w:sz w:val="21"/>
                      <w:szCs w:val="21"/>
                      <w:vertAlign w:val="baseline"/>
                      <w:lang w:val="en-US" w:eastAsia="zh-CN"/>
                    </w:rPr>
                    <w:t>1815</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t/a</w:t>
                  </w:r>
                </w:p>
              </w:tc>
              <w:tc>
                <w:tcPr>
                  <w:tcW w:w="1025" w:type="dxa"/>
                  <w:vAlign w:val="center"/>
                </w:tcPr>
                <w:p w14:paraId="17D8820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扩建后用水增加</w:t>
                  </w:r>
                  <w:r>
                    <w:rPr>
                      <w:rFonts w:hint="eastAsia" w:cs="Times New Roman"/>
                      <w:b w:val="0"/>
                      <w:bCs w:val="0"/>
                      <w:snapToGrid/>
                      <w:color w:val="auto"/>
                      <w:spacing w:val="0"/>
                      <w:kern w:val="0"/>
                      <w:position w:val="0"/>
                      <w:sz w:val="21"/>
                      <w:szCs w:val="21"/>
                      <w:vertAlign w:val="baseline"/>
                      <w:lang w:val="en-US" w:eastAsia="zh-CN"/>
                    </w:rPr>
                    <w:t>510</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t/a</w:t>
                  </w:r>
                </w:p>
              </w:tc>
            </w:tr>
            <w:tr w14:paraId="0493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vMerge w:val="continue"/>
                  <w:vAlign w:val="center"/>
                </w:tcPr>
                <w:p w14:paraId="458F45A8">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eastAsia" w:ascii="宋体" w:hAnsi="宋体" w:eastAsia="宋体" w:cs="宋体"/>
                      <w:b/>
                      <w:bCs/>
                      <w:snapToGrid/>
                      <w:color w:val="auto"/>
                      <w:spacing w:val="0"/>
                      <w:kern w:val="0"/>
                      <w:position w:val="0"/>
                      <w:sz w:val="30"/>
                      <w:szCs w:val="30"/>
                      <w:vertAlign w:val="baseline"/>
                      <w:lang w:val="en-US" w:eastAsia="zh-CN"/>
                    </w:rPr>
                  </w:pPr>
                </w:p>
              </w:tc>
              <w:tc>
                <w:tcPr>
                  <w:tcW w:w="918" w:type="dxa"/>
                  <w:vAlign w:val="center"/>
                </w:tcPr>
                <w:p w14:paraId="181F044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排水</w:t>
                  </w:r>
                </w:p>
              </w:tc>
              <w:tc>
                <w:tcPr>
                  <w:tcW w:w="1755" w:type="dxa"/>
                  <w:vAlign w:val="center"/>
                </w:tcPr>
                <w:p w14:paraId="33E0335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color w:val="auto"/>
                      <w:szCs w:val="21"/>
                    </w:rPr>
                    <w:t>采用雨污分流制，</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雨水经雨水管网排入周边沟渠</w:t>
                  </w:r>
                  <w:r>
                    <w:rPr>
                      <w:rFonts w:hint="eastAsia" w:cs="Times New Roman"/>
                      <w:b w:val="0"/>
                      <w:bCs w:val="0"/>
                      <w:snapToGrid/>
                      <w:color w:val="auto"/>
                      <w:spacing w:val="0"/>
                      <w:kern w:val="0"/>
                      <w:position w:val="0"/>
                      <w:sz w:val="21"/>
                      <w:szCs w:val="21"/>
                      <w:vertAlign w:val="baseline"/>
                      <w:lang w:val="en-US" w:eastAsia="zh-CN"/>
                    </w:rPr>
                    <w:t>；</w:t>
                  </w:r>
                  <w:r>
                    <w:rPr>
                      <w:rFonts w:hint="eastAsia"/>
                      <w:color w:val="auto"/>
                      <w:szCs w:val="21"/>
                    </w:rPr>
                    <w:t>项目无生产废水排放</w:t>
                  </w:r>
                  <w:r>
                    <w:rPr>
                      <w:color w:val="auto"/>
                      <w:szCs w:val="21"/>
                    </w:rPr>
                    <w:t>，冷却水循环使用，不外排至环境水体中，只需定期补充损耗即可</w:t>
                  </w:r>
                  <w:r>
                    <w:rPr>
                      <w:rFonts w:hint="eastAsia"/>
                      <w:color w:val="auto"/>
                      <w:szCs w:val="21"/>
                    </w:rPr>
                    <w:t>，</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生活污水经化粪池处理，定期清掏用作厂区周围农田施肥，不外排。</w:t>
                  </w:r>
                </w:p>
              </w:tc>
              <w:tc>
                <w:tcPr>
                  <w:tcW w:w="1953" w:type="dxa"/>
                  <w:vAlign w:val="center"/>
                </w:tcPr>
                <w:p w14:paraId="5BD85F4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color w:val="auto"/>
                      <w:szCs w:val="21"/>
                    </w:rPr>
                    <w:t>采用雨污分流制，</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雨水经雨水管网排入周边沟渠</w:t>
                  </w:r>
                  <w:r>
                    <w:rPr>
                      <w:rFonts w:hint="eastAsia" w:cs="Times New Roman"/>
                      <w:b w:val="0"/>
                      <w:bCs w:val="0"/>
                      <w:snapToGrid/>
                      <w:color w:val="auto"/>
                      <w:spacing w:val="0"/>
                      <w:kern w:val="0"/>
                      <w:position w:val="0"/>
                      <w:sz w:val="21"/>
                      <w:szCs w:val="21"/>
                      <w:vertAlign w:val="baseline"/>
                      <w:lang w:val="en-US" w:eastAsia="zh-CN"/>
                    </w:rPr>
                    <w:t>；</w:t>
                  </w:r>
                  <w:r>
                    <w:rPr>
                      <w:rFonts w:hint="eastAsia"/>
                      <w:color w:val="auto"/>
                      <w:szCs w:val="21"/>
                    </w:rPr>
                    <w:t>项目无生产废水排放</w:t>
                  </w:r>
                  <w:r>
                    <w:rPr>
                      <w:color w:val="auto"/>
                      <w:szCs w:val="21"/>
                    </w:rPr>
                    <w:t>，冷却水循环使用，不外排至环境水体中，只需定期补充损耗即可</w:t>
                  </w:r>
                  <w:r>
                    <w:rPr>
                      <w:rFonts w:hint="eastAsia"/>
                      <w:color w:val="auto"/>
                      <w:szCs w:val="21"/>
                    </w:rPr>
                    <w:t>，</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生活污水经化粪池处理，定期清掏用作厂区周围农田施肥，不外排。</w:t>
                  </w:r>
                </w:p>
              </w:tc>
              <w:tc>
                <w:tcPr>
                  <w:tcW w:w="2178" w:type="dxa"/>
                  <w:vAlign w:val="center"/>
                </w:tcPr>
                <w:p w14:paraId="75971D4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color w:val="auto"/>
                      <w:szCs w:val="21"/>
                    </w:rPr>
                    <w:t>采用雨污分流制，</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雨水经雨水管网排入周边沟渠</w:t>
                  </w:r>
                  <w:r>
                    <w:rPr>
                      <w:rFonts w:hint="eastAsia" w:cs="Times New Roman"/>
                      <w:b w:val="0"/>
                      <w:bCs w:val="0"/>
                      <w:snapToGrid/>
                      <w:color w:val="auto"/>
                      <w:spacing w:val="0"/>
                      <w:kern w:val="0"/>
                      <w:position w:val="0"/>
                      <w:sz w:val="21"/>
                      <w:szCs w:val="21"/>
                      <w:vertAlign w:val="baseline"/>
                      <w:lang w:val="en-US" w:eastAsia="zh-CN"/>
                    </w:rPr>
                    <w:t>；</w:t>
                  </w:r>
                  <w:r>
                    <w:rPr>
                      <w:rFonts w:hint="eastAsia"/>
                      <w:color w:val="auto"/>
                      <w:szCs w:val="21"/>
                    </w:rPr>
                    <w:t>项目无生产废水排放</w:t>
                  </w:r>
                  <w:r>
                    <w:rPr>
                      <w:color w:val="auto"/>
                      <w:szCs w:val="21"/>
                    </w:rPr>
                    <w:t>，冷却水循环使用，不外排至环境水体中，只需定期补充损耗即可</w:t>
                  </w:r>
                  <w:r>
                    <w:rPr>
                      <w:rFonts w:hint="eastAsia"/>
                      <w:color w:val="auto"/>
                      <w:szCs w:val="21"/>
                    </w:rPr>
                    <w:t>，</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生活污水经化粪池处理，定期清掏用作厂区周围农田施肥，不外排。</w:t>
                  </w:r>
                </w:p>
              </w:tc>
              <w:tc>
                <w:tcPr>
                  <w:tcW w:w="1025" w:type="dxa"/>
                  <w:vAlign w:val="center"/>
                </w:tcPr>
                <w:p w14:paraId="518A62D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生活污水</w:t>
                  </w:r>
                  <w:r>
                    <w:rPr>
                      <w:rFonts w:hint="eastAsia"/>
                      <w:color w:val="auto"/>
                      <w:szCs w:val="21"/>
                    </w:rPr>
                    <w:t>量增大</w:t>
                  </w:r>
                  <w:r>
                    <w:rPr>
                      <w:rFonts w:hint="eastAsia"/>
                      <w:color w:val="auto"/>
                      <w:szCs w:val="21"/>
                      <w:lang w:eastAsia="zh-CN"/>
                    </w:rPr>
                    <w:t>，处理方式无变更</w:t>
                  </w:r>
                </w:p>
              </w:tc>
            </w:tr>
            <w:tr w14:paraId="36DF4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vMerge w:val="continue"/>
                  <w:vAlign w:val="center"/>
                </w:tcPr>
                <w:p w14:paraId="0FCBEE4D">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eastAsia" w:ascii="宋体" w:hAnsi="宋体" w:eastAsia="宋体" w:cs="宋体"/>
                      <w:b/>
                      <w:bCs/>
                      <w:snapToGrid/>
                      <w:color w:val="auto"/>
                      <w:spacing w:val="0"/>
                      <w:kern w:val="0"/>
                      <w:position w:val="0"/>
                      <w:sz w:val="30"/>
                      <w:szCs w:val="30"/>
                      <w:vertAlign w:val="baseline"/>
                      <w:lang w:val="en-US" w:eastAsia="zh-CN"/>
                    </w:rPr>
                  </w:pPr>
                </w:p>
              </w:tc>
              <w:tc>
                <w:tcPr>
                  <w:tcW w:w="918" w:type="dxa"/>
                  <w:vAlign w:val="center"/>
                </w:tcPr>
                <w:p w14:paraId="619BF80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供电</w:t>
                  </w:r>
                </w:p>
              </w:tc>
              <w:tc>
                <w:tcPr>
                  <w:tcW w:w="1755" w:type="dxa"/>
                  <w:vAlign w:val="center"/>
                </w:tcPr>
                <w:p w14:paraId="0E59848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市政供电电网</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，总</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用电量为</w:t>
                  </w:r>
                  <w:r>
                    <w:rPr>
                      <w:rFonts w:hint="eastAsia" w:cs="Times New Roman"/>
                      <w:b w:val="0"/>
                      <w:bCs w:val="0"/>
                      <w:snapToGrid/>
                      <w:color w:val="auto"/>
                      <w:spacing w:val="0"/>
                      <w:kern w:val="0"/>
                      <w:position w:val="0"/>
                      <w:sz w:val="21"/>
                      <w:szCs w:val="21"/>
                      <w:vertAlign w:val="baseline"/>
                      <w:lang w:val="en-US" w:eastAsia="zh-CN"/>
                    </w:rPr>
                    <w:t>60</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万kW·h/a</w:t>
                  </w:r>
                </w:p>
              </w:tc>
              <w:tc>
                <w:tcPr>
                  <w:tcW w:w="1953" w:type="dxa"/>
                  <w:vAlign w:val="center"/>
                </w:tcPr>
                <w:p w14:paraId="59B32E2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市政供电电网</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，总</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用电量为</w:t>
                  </w:r>
                  <w:r>
                    <w:rPr>
                      <w:rFonts w:hint="eastAsia" w:cs="Times New Roman"/>
                      <w:b w:val="0"/>
                      <w:bCs w:val="0"/>
                      <w:snapToGrid/>
                      <w:color w:val="auto"/>
                      <w:spacing w:val="0"/>
                      <w:kern w:val="0"/>
                      <w:position w:val="0"/>
                      <w:sz w:val="21"/>
                      <w:szCs w:val="21"/>
                      <w:vertAlign w:val="baseline"/>
                      <w:lang w:val="en-US" w:eastAsia="zh-CN"/>
                    </w:rPr>
                    <w:t>60</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万kW·h/a</w:t>
                  </w:r>
                </w:p>
              </w:tc>
              <w:tc>
                <w:tcPr>
                  <w:tcW w:w="2178" w:type="dxa"/>
                  <w:vAlign w:val="center"/>
                </w:tcPr>
                <w:p w14:paraId="3EB1B25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市政供电电网</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，总</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用电量为</w:t>
                  </w:r>
                  <w:r>
                    <w:rPr>
                      <w:rFonts w:hint="eastAsia" w:cs="Times New Roman"/>
                      <w:b w:val="0"/>
                      <w:bCs w:val="0"/>
                      <w:snapToGrid/>
                      <w:color w:val="auto"/>
                      <w:spacing w:val="0"/>
                      <w:kern w:val="0"/>
                      <w:position w:val="0"/>
                      <w:sz w:val="21"/>
                      <w:szCs w:val="21"/>
                      <w:vertAlign w:val="baseline"/>
                      <w:lang w:val="en-US" w:eastAsia="zh-CN"/>
                    </w:rPr>
                    <w:t>12</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0</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万kW·h/a</w:t>
                  </w:r>
                </w:p>
              </w:tc>
              <w:tc>
                <w:tcPr>
                  <w:tcW w:w="1025" w:type="dxa"/>
                  <w:vAlign w:val="center"/>
                </w:tcPr>
                <w:p w14:paraId="56F7B2A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扩建后用电增加</w:t>
                  </w:r>
                  <w:r>
                    <w:rPr>
                      <w:rFonts w:hint="eastAsia" w:cs="Times New Roman"/>
                      <w:b w:val="0"/>
                      <w:bCs w:val="0"/>
                      <w:snapToGrid/>
                      <w:color w:val="auto"/>
                      <w:spacing w:val="0"/>
                      <w:kern w:val="0"/>
                      <w:position w:val="0"/>
                      <w:sz w:val="21"/>
                      <w:szCs w:val="21"/>
                      <w:vertAlign w:val="baseline"/>
                      <w:lang w:val="en-US" w:eastAsia="zh-CN"/>
                    </w:rPr>
                    <w:t>60</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万kW·h/a</w:t>
                  </w:r>
                </w:p>
              </w:tc>
            </w:tr>
            <w:tr w14:paraId="672A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vMerge w:val="continue"/>
                  <w:vAlign w:val="center"/>
                </w:tcPr>
                <w:p w14:paraId="2CA22B60">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eastAsia" w:ascii="宋体" w:hAnsi="宋体" w:eastAsia="宋体" w:cs="宋体"/>
                      <w:b/>
                      <w:bCs/>
                      <w:snapToGrid/>
                      <w:color w:val="auto"/>
                      <w:spacing w:val="0"/>
                      <w:kern w:val="0"/>
                      <w:position w:val="0"/>
                      <w:sz w:val="30"/>
                      <w:szCs w:val="30"/>
                      <w:vertAlign w:val="baseline"/>
                      <w:lang w:val="en-US" w:eastAsia="zh-CN"/>
                    </w:rPr>
                  </w:pPr>
                </w:p>
              </w:tc>
              <w:tc>
                <w:tcPr>
                  <w:tcW w:w="918" w:type="dxa"/>
                  <w:vAlign w:val="center"/>
                </w:tcPr>
                <w:p w14:paraId="413CDA1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消防</w:t>
                  </w:r>
                </w:p>
              </w:tc>
              <w:tc>
                <w:tcPr>
                  <w:tcW w:w="1755" w:type="dxa"/>
                  <w:vAlign w:val="center"/>
                </w:tcPr>
                <w:p w14:paraId="1CBCF11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按照相关规定设置各类消防设施</w:t>
                  </w:r>
                </w:p>
              </w:tc>
              <w:tc>
                <w:tcPr>
                  <w:tcW w:w="1953" w:type="dxa"/>
                  <w:vAlign w:val="center"/>
                </w:tcPr>
                <w:p w14:paraId="105EE1E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按照相关规定设置各类消防设施</w:t>
                  </w:r>
                </w:p>
              </w:tc>
              <w:tc>
                <w:tcPr>
                  <w:tcW w:w="2178" w:type="dxa"/>
                  <w:vAlign w:val="center"/>
                </w:tcPr>
                <w:p w14:paraId="03D3750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按照相关规定设置各类消防设施</w:t>
                  </w:r>
                </w:p>
              </w:tc>
              <w:tc>
                <w:tcPr>
                  <w:tcW w:w="1025" w:type="dxa"/>
                  <w:vAlign w:val="center"/>
                </w:tcPr>
                <w:p w14:paraId="6D4D8F3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扩建</w:t>
                  </w:r>
                </w:p>
                <w:p w14:paraId="32A9CA3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新增</w:t>
                  </w:r>
                </w:p>
              </w:tc>
            </w:tr>
            <w:tr w14:paraId="7923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vMerge w:val="restart"/>
                  <w:vAlign w:val="center"/>
                </w:tcPr>
                <w:p w14:paraId="1FAF07E0">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eastAsia" w:ascii="宋体" w:hAnsi="宋体" w:eastAsia="宋体" w:cs="宋体"/>
                      <w:b/>
                      <w:bCs/>
                      <w:snapToGrid/>
                      <w:color w:val="auto"/>
                      <w:spacing w:val="0"/>
                      <w:kern w:val="0"/>
                      <w:position w:val="0"/>
                      <w:sz w:val="30"/>
                      <w:szCs w:val="30"/>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环保工程</w:t>
                  </w:r>
                </w:p>
              </w:tc>
              <w:tc>
                <w:tcPr>
                  <w:tcW w:w="918" w:type="dxa"/>
                  <w:vMerge w:val="restart"/>
                  <w:vAlign w:val="center"/>
                </w:tcPr>
                <w:p w14:paraId="72349B5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废气</w:t>
                  </w:r>
                </w:p>
              </w:tc>
              <w:tc>
                <w:tcPr>
                  <w:tcW w:w="1755" w:type="dxa"/>
                  <w:vAlign w:val="center"/>
                </w:tcPr>
                <w:p w14:paraId="5F8CBE4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混合废气</w:t>
                  </w:r>
                  <w:r>
                    <w:rPr>
                      <w:rFonts w:hint="eastAsia" w:cs="Times New Roman"/>
                      <w:b w:val="0"/>
                      <w:bCs w:val="0"/>
                      <w:snapToGrid/>
                      <w:color w:val="auto"/>
                      <w:spacing w:val="0"/>
                      <w:kern w:val="0"/>
                      <w:position w:val="0"/>
                      <w:sz w:val="21"/>
                      <w:szCs w:val="21"/>
                      <w:vertAlign w:val="baseline"/>
                      <w:lang w:val="en-US" w:eastAsia="zh-CN"/>
                    </w:rPr>
                    <w:t>：集气罩+布袋除尘器+15m高排气筒（DA001）</w:t>
                  </w:r>
                </w:p>
              </w:tc>
              <w:tc>
                <w:tcPr>
                  <w:tcW w:w="1953" w:type="dxa"/>
                  <w:shd w:val="clear" w:color="auto" w:fill="auto"/>
                  <w:vAlign w:val="center"/>
                </w:tcPr>
                <w:p w14:paraId="7A42350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混合废气</w:t>
                  </w:r>
                  <w:r>
                    <w:rPr>
                      <w:rFonts w:hint="eastAsia" w:cs="Times New Roman"/>
                      <w:snapToGrid/>
                      <w:color w:val="auto"/>
                      <w:spacing w:val="0"/>
                      <w:kern w:val="0"/>
                      <w:position w:val="0"/>
                      <w:sz w:val="21"/>
                      <w:szCs w:val="21"/>
                      <w:lang w:val="en-US" w:eastAsia="zh-CN" w:bidi="ar-SA"/>
                    </w:rPr>
                    <w:t>经集气罩收集后和</w:t>
                  </w:r>
                  <w:r>
                    <w:rPr>
                      <w:rFonts w:hint="eastAsia" w:ascii="Times New Roman" w:hAnsi="Times New Roman" w:eastAsia="宋体" w:cs="Times New Roman"/>
                      <w:snapToGrid/>
                      <w:color w:val="auto"/>
                      <w:spacing w:val="0"/>
                      <w:kern w:val="0"/>
                      <w:position w:val="0"/>
                      <w:sz w:val="21"/>
                      <w:szCs w:val="21"/>
                      <w:lang w:eastAsia="zh-CN"/>
                    </w:rPr>
                    <w:t>现有工</w:t>
                  </w:r>
                  <w:r>
                    <w:rPr>
                      <w:rFonts w:hint="default" w:ascii="Times New Roman" w:hAnsi="Times New Roman" w:eastAsia="宋体" w:cs="Times New Roman"/>
                      <w:snapToGrid/>
                      <w:color w:val="auto"/>
                      <w:spacing w:val="0"/>
                      <w:kern w:val="0"/>
                      <w:position w:val="0"/>
                      <w:sz w:val="21"/>
                      <w:szCs w:val="21"/>
                    </w:rPr>
                    <w:t>程</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混合废气</w:t>
                  </w:r>
                  <w:r>
                    <w:rPr>
                      <w:rFonts w:hint="eastAsia" w:cs="Times New Roman"/>
                      <w:snapToGrid/>
                      <w:color w:val="auto"/>
                      <w:spacing w:val="0"/>
                      <w:kern w:val="0"/>
                      <w:position w:val="0"/>
                      <w:sz w:val="21"/>
                      <w:szCs w:val="21"/>
                      <w:lang w:val="en-US" w:eastAsia="zh-CN" w:bidi="ar-SA"/>
                    </w:rPr>
                    <w:t>一同汇入</w:t>
                  </w:r>
                  <w:r>
                    <w:rPr>
                      <w:rFonts w:hint="eastAsia" w:ascii="Times New Roman" w:hAnsi="Times New Roman" w:eastAsia="宋体" w:cs="Times New Roman"/>
                      <w:snapToGrid/>
                      <w:color w:val="auto"/>
                      <w:spacing w:val="0"/>
                      <w:kern w:val="0"/>
                      <w:position w:val="0"/>
                      <w:sz w:val="21"/>
                      <w:szCs w:val="21"/>
                      <w:lang w:val="en-US" w:eastAsia="zh-CN"/>
                    </w:rPr>
                    <w:t>布袋除尘器处理，</w:t>
                  </w:r>
                  <w:r>
                    <w:rPr>
                      <w:rFonts w:hint="eastAsia" w:ascii="Times New Roman" w:hAnsi="Times New Roman" w:cs="Times New Roman"/>
                      <w:color w:val="auto"/>
                      <w:sz w:val="21"/>
                      <w:szCs w:val="21"/>
                      <w:lang w:val="en-US" w:eastAsia="zh-CN"/>
                    </w:rPr>
                    <w:t>处理后尾气</w:t>
                  </w:r>
                  <w:r>
                    <w:rPr>
                      <w:rFonts w:hint="eastAsia" w:cs="Times New Roman"/>
                      <w:color w:val="auto"/>
                      <w:sz w:val="21"/>
                      <w:szCs w:val="21"/>
                      <w:lang w:val="en-US" w:eastAsia="zh-CN"/>
                    </w:rPr>
                    <w:t>通过</w:t>
                  </w:r>
                  <w:r>
                    <w:rPr>
                      <w:rFonts w:hint="eastAsia" w:ascii="Times New Roman" w:hAnsi="Times New Roman" w:cs="Times New Roman"/>
                      <w:color w:val="auto"/>
                      <w:sz w:val="21"/>
                      <w:szCs w:val="21"/>
                      <w:lang w:val="en-US" w:eastAsia="zh-CN"/>
                    </w:rPr>
                    <w:t>一个</w:t>
                  </w:r>
                  <w:r>
                    <w:rPr>
                      <w:rFonts w:hint="default" w:ascii="Times New Roman" w:hAnsi="Times New Roman" w:cs="Times New Roman"/>
                      <w:color w:val="auto"/>
                      <w:sz w:val="21"/>
                      <w:szCs w:val="21"/>
                      <w:lang w:val="en-US" w:eastAsia="zh-CN"/>
                    </w:rPr>
                    <w:t>15m</w:t>
                  </w:r>
                  <w:r>
                    <w:rPr>
                      <w:rFonts w:hint="eastAsia" w:cs="Times New Roman"/>
                      <w:color w:val="auto"/>
                      <w:sz w:val="21"/>
                      <w:szCs w:val="21"/>
                      <w:lang w:val="en-US" w:eastAsia="zh-CN"/>
                    </w:rPr>
                    <w:t>高</w:t>
                  </w:r>
                  <w:r>
                    <w:rPr>
                      <w:rFonts w:hint="default" w:ascii="Times New Roman" w:hAnsi="Times New Roman" w:cs="Times New Roman"/>
                      <w:color w:val="auto"/>
                      <w:sz w:val="21"/>
                      <w:szCs w:val="21"/>
                      <w:lang w:val="en-US" w:eastAsia="zh-CN"/>
                    </w:rPr>
                    <w:t>排气筒</w:t>
                  </w:r>
                  <w:r>
                    <w:rPr>
                      <w:rFonts w:hint="eastAsia" w:ascii="Times New Roman" w:hAnsi="Times New Roman" w:cs="Times New Roman"/>
                      <w:color w:val="auto"/>
                      <w:sz w:val="21"/>
                      <w:szCs w:val="21"/>
                      <w:lang w:val="en-US" w:eastAsia="zh-CN"/>
                    </w:rPr>
                    <w:t>（DA001）排放</w:t>
                  </w:r>
                </w:p>
              </w:tc>
              <w:tc>
                <w:tcPr>
                  <w:tcW w:w="2178" w:type="dxa"/>
                  <w:shd w:val="clear" w:color="auto" w:fill="auto"/>
                  <w:vAlign w:val="center"/>
                </w:tcPr>
                <w:p w14:paraId="1965DAE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混合废气</w:t>
                  </w:r>
                  <w:r>
                    <w:rPr>
                      <w:rFonts w:hint="eastAsia" w:cs="Times New Roman"/>
                      <w:b w:val="0"/>
                      <w:bCs w:val="0"/>
                      <w:snapToGrid/>
                      <w:color w:val="auto"/>
                      <w:spacing w:val="0"/>
                      <w:kern w:val="0"/>
                      <w:position w:val="0"/>
                      <w:sz w:val="21"/>
                      <w:szCs w:val="21"/>
                      <w:vertAlign w:val="baseline"/>
                      <w:lang w:val="en-US" w:eastAsia="zh-CN"/>
                    </w:rPr>
                    <w:t>：集气罩+布袋除尘器+15m高排气筒（DA001）</w:t>
                  </w:r>
                </w:p>
              </w:tc>
              <w:tc>
                <w:tcPr>
                  <w:tcW w:w="1025" w:type="dxa"/>
                  <w:vMerge w:val="restart"/>
                  <w:vAlign w:val="center"/>
                </w:tcPr>
                <w:p w14:paraId="642E74F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布袋除尘器依托原有，拆除“UV光解+活性炭处理设施”，新增“二级活性炭吸附装置”</w:t>
                  </w:r>
                </w:p>
              </w:tc>
            </w:tr>
            <w:tr w14:paraId="23C5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vMerge w:val="continue"/>
                  <w:vAlign w:val="center"/>
                </w:tcPr>
                <w:p w14:paraId="03E8641E">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eastAsia" w:ascii="宋体" w:hAnsi="宋体" w:eastAsia="宋体" w:cs="宋体"/>
                      <w:b/>
                      <w:bCs/>
                      <w:snapToGrid/>
                      <w:color w:val="auto"/>
                      <w:spacing w:val="0"/>
                      <w:kern w:val="0"/>
                      <w:position w:val="0"/>
                      <w:sz w:val="30"/>
                      <w:szCs w:val="30"/>
                      <w:vertAlign w:val="baseline"/>
                      <w:lang w:val="en-US" w:eastAsia="zh-CN"/>
                    </w:rPr>
                  </w:pPr>
                </w:p>
              </w:tc>
              <w:tc>
                <w:tcPr>
                  <w:tcW w:w="918" w:type="dxa"/>
                  <w:vMerge w:val="continue"/>
                  <w:vAlign w:val="center"/>
                </w:tcPr>
                <w:p w14:paraId="5165AEE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p>
              </w:tc>
              <w:tc>
                <w:tcPr>
                  <w:tcW w:w="1755" w:type="dxa"/>
                  <w:vAlign w:val="center"/>
                </w:tcPr>
                <w:p w14:paraId="00B189A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加热废气</w:t>
                  </w:r>
                  <w:r>
                    <w:rPr>
                      <w:rFonts w:hint="eastAsia" w:cs="Times New Roman"/>
                      <w:b w:val="0"/>
                      <w:bCs w:val="0"/>
                      <w:snapToGrid/>
                      <w:color w:val="auto"/>
                      <w:spacing w:val="0"/>
                      <w:kern w:val="0"/>
                      <w:position w:val="0"/>
                      <w:sz w:val="21"/>
                      <w:szCs w:val="21"/>
                      <w:vertAlign w:val="baseline"/>
                      <w:lang w:val="en-US" w:eastAsia="zh-CN"/>
                    </w:rPr>
                    <w:t>：集气罩+UV光解+活性炭处理设施+15m高排气筒（DA002）</w:t>
                  </w:r>
                </w:p>
              </w:tc>
              <w:tc>
                <w:tcPr>
                  <w:tcW w:w="1953" w:type="dxa"/>
                  <w:shd w:val="clear" w:color="auto" w:fill="auto"/>
                  <w:vAlign w:val="center"/>
                </w:tcPr>
                <w:p w14:paraId="7C0F824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加热废气</w:t>
                  </w:r>
                  <w:r>
                    <w:rPr>
                      <w:rFonts w:hint="eastAsia" w:cs="Times New Roman"/>
                      <w:snapToGrid/>
                      <w:color w:val="auto"/>
                      <w:spacing w:val="0"/>
                      <w:kern w:val="0"/>
                      <w:position w:val="0"/>
                      <w:sz w:val="21"/>
                      <w:szCs w:val="21"/>
                      <w:lang w:val="en-US" w:eastAsia="zh-CN" w:bidi="ar-SA"/>
                    </w:rPr>
                    <w:t>经集气罩收集后和</w:t>
                  </w:r>
                  <w:r>
                    <w:rPr>
                      <w:rFonts w:hint="eastAsia" w:ascii="Times New Roman" w:hAnsi="Times New Roman" w:eastAsia="宋体" w:cs="Times New Roman"/>
                      <w:snapToGrid/>
                      <w:color w:val="auto"/>
                      <w:spacing w:val="0"/>
                      <w:kern w:val="0"/>
                      <w:position w:val="0"/>
                      <w:sz w:val="21"/>
                      <w:szCs w:val="21"/>
                      <w:lang w:eastAsia="zh-CN"/>
                    </w:rPr>
                    <w:t>现有工</w:t>
                  </w:r>
                  <w:r>
                    <w:rPr>
                      <w:rFonts w:hint="default" w:ascii="Times New Roman" w:hAnsi="Times New Roman" w:eastAsia="宋体" w:cs="Times New Roman"/>
                      <w:snapToGrid/>
                      <w:color w:val="auto"/>
                      <w:spacing w:val="0"/>
                      <w:kern w:val="0"/>
                      <w:position w:val="0"/>
                      <w:sz w:val="21"/>
                      <w:szCs w:val="21"/>
                    </w:rPr>
                    <w:t>程</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加热废气</w:t>
                  </w:r>
                  <w:r>
                    <w:rPr>
                      <w:rFonts w:hint="eastAsia" w:cs="Times New Roman"/>
                      <w:snapToGrid/>
                      <w:color w:val="auto"/>
                      <w:spacing w:val="0"/>
                      <w:kern w:val="0"/>
                      <w:position w:val="0"/>
                      <w:sz w:val="21"/>
                      <w:szCs w:val="21"/>
                      <w:lang w:val="en-US" w:eastAsia="zh-CN" w:bidi="ar-SA"/>
                    </w:rPr>
                    <w:t>一同汇入</w:t>
                  </w:r>
                  <w:r>
                    <w:rPr>
                      <w:rFonts w:hint="eastAsia" w:cs="Times New Roman"/>
                      <w:b w:val="0"/>
                      <w:bCs w:val="0"/>
                      <w:snapToGrid/>
                      <w:color w:val="auto"/>
                      <w:spacing w:val="0"/>
                      <w:kern w:val="0"/>
                      <w:position w:val="0"/>
                      <w:sz w:val="21"/>
                      <w:szCs w:val="21"/>
                      <w:vertAlign w:val="baseline"/>
                      <w:lang w:val="en-US" w:eastAsia="zh-CN"/>
                    </w:rPr>
                    <w:t>二级活性炭吸附装置</w:t>
                  </w:r>
                  <w:r>
                    <w:rPr>
                      <w:rFonts w:hint="eastAsia" w:ascii="Times New Roman" w:hAnsi="Times New Roman" w:eastAsia="宋体" w:cs="Times New Roman"/>
                      <w:snapToGrid/>
                      <w:color w:val="auto"/>
                      <w:spacing w:val="0"/>
                      <w:kern w:val="0"/>
                      <w:position w:val="0"/>
                      <w:sz w:val="21"/>
                      <w:szCs w:val="21"/>
                      <w:lang w:val="en-US" w:eastAsia="zh-CN"/>
                    </w:rPr>
                    <w:t>处理，</w:t>
                  </w:r>
                  <w:r>
                    <w:rPr>
                      <w:rFonts w:hint="eastAsia" w:ascii="Times New Roman" w:hAnsi="Times New Roman" w:cs="Times New Roman"/>
                      <w:color w:val="auto"/>
                      <w:sz w:val="21"/>
                      <w:szCs w:val="21"/>
                      <w:lang w:val="en-US" w:eastAsia="zh-CN"/>
                    </w:rPr>
                    <w:t>处理后尾气</w:t>
                  </w:r>
                  <w:r>
                    <w:rPr>
                      <w:rFonts w:hint="eastAsia" w:cs="Times New Roman"/>
                      <w:color w:val="auto"/>
                      <w:sz w:val="21"/>
                      <w:szCs w:val="21"/>
                      <w:lang w:val="en-US" w:eastAsia="zh-CN"/>
                    </w:rPr>
                    <w:t>通过</w:t>
                  </w:r>
                  <w:r>
                    <w:rPr>
                      <w:rFonts w:hint="eastAsia" w:ascii="Times New Roman" w:hAnsi="Times New Roman" w:cs="Times New Roman"/>
                      <w:color w:val="auto"/>
                      <w:sz w:val="21"/>
                      <w:szCs w:val="21"/>
                      <w:lang w:val="en-US" w:eastAsia="zh-CN"/>
                    </w:rPr>
                    <w:t>一个</w:t>
                  </w:r>
                  <w:r>
                    <w:rPr>
                      <w:rFonts w:hint="default" w:ascii="Times New Roman" w:hAnsi="Times New Roman" w:cs="Times New Roman"/>
                      <w:color w:val="auto"/>
                      <w:sz w:val="21"/>
                      <w:szCs w:val="21"/>
                      <w:lang w:val="en-US" w:eastAsia="zh-CN"/>
                    </w:rPr>
                    <w:t>15m</w:t>
                  </w:r>
                  <w:r>
                    <w:rPr>
                      <w:rFonts w:hint="eastAsia" w:cs="Times New Roman"/>
                      <w:color w:val="auto"/>
                      <w:sz w:val="21"/>
                      <w:szCs w:val="21"/>
                      <w:lang w:val="en-US" w:eastAsia="zh-CN"/>
                    </w:rPr>
                    <w:t>高</w:t>
                  </w:r>
                  <w:r>
                    <w:rPr>
                      <w:rFonts w:hint="default" w:ascii="Times New Roman" w:hAnsi="Times New Roman" w:cs="Times New Roman"/>
                      <w:color w:val="auto"/>
                      <w:sz w:val="21"/>
                      <w:szCs w:val="21"/>
                      <w:lang w:val="en-US" w:eastAsia="zh-CN"/>
                    </w:rPr>
                    <w:t>排气筒</w:t>
                  </w:r>
                  <w:r>
                    <w:rPr>
                      <w:rFonts w:hint="eastAsia" w:ascii="Times New Roman" w:hAnsi="Times New Roman" w:cs="Times New Roman"/>
                      <w:color w:val="auto"/>
                      <w:sz w:val="21"/>
                      <w:szCs w:val="21"/>
                      <w:lang w:val="en-US" w:eastAsia="zh-CN"/>
                    </w:rPr>
                    <w:t>（DA002）排放</w:t>
                  </w:r>
                </w:p>
              </w:tc>
              <w:tc>
                <w:tcPr>
                  <w:tcW w:w="2178" w:type="dxa"/>
                  <w:shd w:val="clear" w:color="auto" w:fill="auto"/>
                  <w:vAlign w:val="center"/>
                </w:tcPr>
                <w:p w14:paraId="5275A26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加热废气</w:t>
                  </w:r>
                  <w:r>
                    <w:rPr>
                      <w:rFonts w:hint="eastAsia" w:cs="Times New Roman"/>
                      <w:b w:val="0"/>
                      <w:bCs w:val="0"/>
                      <w:snapToGrid/>
                      <w:color w:val="auto"/>
                      <w:spacing w:val="0"/>
                      <w:kern w:val="0"/>
                      <w:position w:val="0"/>
                      <w:sz w:val="21"/>
                      <w:szCs w:val="21"/>
                      <w:vertAlign w:val="baseline"/>
                      <w:lang w:val="en-US" w:eastAsia="zh-CN"/>
                    </w:rPr>
                    <w:t>：集气罩+二级活性炭吸附装置+15m高排气筒（DA002）</w:t>
                  </w:r>
                </w:p>
              </w:tc>
              <w:tc>
                <w:tcPr>
                  <w:tcW w:w="1025" w:type="dxa"/>
                  <w:vMerge w:val="continue"/>
                  <w:vAlign w:val="center"/>
                </w:tcPr>
                <w:p w14:paraId="0507FF9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p>
              </w:tc>
            </w:tr>
            <w:tr w14:paraId="55356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vMerge w:val="continue"/>
                  <w:vAlign w:val="center"/>
                </w:tcPr>
                <w:p w14:paraId="07689A6D">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eastAsia" w:ascii="宋体" w:hAnsi="宋体" w:eastAsia="宋体" w:cs="宋体"/>
                      <w:b/>
                      <w:bCs/>
                      <w:snapToGrid/>
                      <w:color w:val="auto"/>
                      <w:spacing w:val="0"/>
                      <w:kern w:val="0"/>
                      <w:position w:val="0"/>
                      <w:sz w:val="30"/>
                      <w:szCs w:val="30"/>
                      <w:vertAlign w:val="baseline"/>
                      <w:lang w:val="en-US" w:eastAsia="zh-CN"/>
                    </w:rPr>
                  </w:pPr>
                </w:p>
              </w:tc>
              <w:tc>
                <w:tcPr>
                  <w:tcW w:w="918" w:type="dxa"/>
                  <w:vMerge w:val="continue"/>
                  <w:vAlign w:val="center"/>
                </w:tcPr>
                <w:p w14:paraId="224109F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p>
              </w:tc>
              <w:tc>
                <w:tcPr>
                  <w:tcW w:w="1755" w:type="dxa"/>
                  <w:vAlign w:val="center"/>
                </w:tcPr>
                <w:p w14:paraId="4064C71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1#注塑、脱胶废气：集气罩+UV光解+活性炭处理设施+15m高排气筒（DA003）</w:t>
                  </w:r>
                </w:p>
              </w:tc>
              <w:tc>
                <w:tcPr>
                  <w:tcW w:w="1953" w:type="dxa"/>
                  <w:shd w:val="clear" w:color="auto" w:fill="auto"/>
                  <w:vAlign w:val="center"/>
                </w:tcPr>
                <w:p w14:paraId="0C1616B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eastAsia" w:cs="Times New Roman"/>
                      <w:b w:val="0"/>
                      <w:bCs w:val="0"/>
                      <w:snapToGrid/>
                      <w:color w:val="auto"/>
                      <w:spacing w:val="0"/>
                      <w:kern w:val="0"/>
                      <w:position w:val="0"/>
                      <w:sz w:val="21"/>
                      <w:szCs w:val="21"/>
                      <w:vertAlign w:val="baseline"/>
                      <w:lang w:val="en-US" w:eastAsia="zh-CN"/>
                    </w:rPr>
                    <w:t>1#注塑、脱胶废气</w:t>
                  </w:r>
                  <w:r>
                    <w:rPr>
                      <w:rFonts w:hint="eastAsia" w:cs="Times New Roman"/>
                      <w:snapToGrid/>
                      <w:color w:val="auto"/>
                      <w:spacing w:val="0"/>
                      <w:kern w:val="0"/>
                      <w:position w:val="0"/>
                      <w:sz w:val="21"/>
                      <w:szCs w:val="21"/>
                      <w:lang w:val="en-US" w:eastAsia="zh-CN" w:bidi="ar-SA"/>
                    </w:rPr>
                    <w:t>经集气罩收集后和</w:t>
                  </w:r>
                  <w:r>
                    <w:rPr>
                      <w:rFonts w:hint="eastAsia" w:ascii="Times New Roman" w:hAnsi="Times New Roman" w:eastAsia="宋体" w:cs="Times New Roman"/>
                      <w:snapToGrid/>
                      <w:color w:val="auto"/>
                      <w:spacing w:val="0"/>
                      <w:kern w:val="0"/>
                      <w:position w:val="0"/>
                      <w:sz w:val="21"/>
                      <w:szCs w:val="21"/>
                      <w:lang w:eastAsia="zh-CN"/>
                    </w:rPr>
                    <w:t>现有工</w:t>
                  </w:r>
                  <w:r>
                    <w:rPr>
                      <w:rFonts w:hint="default" w:ascii="Times New Roman" w:hAnsi="Times New Roman" w:eastAsia="宋体" w:cs="Times New Roman"/>
                      <w:snapToGrid/>
                      <w:color w:val="auto"/>
                      <w:spacing w:val="0"/>
                      <w:kern w:val="0"/>
                      <w:position w:val="0"/>
                      <w:sz w:val="21"/>
                      <w:szCs w:val="21"/>
                    </w:rPr>
                    <w:t>程</w:t>
                  </w:r>
                  <w:r>
                    <w:rPr>
                      <w:rFonts w:hint="eastAsia" w:cs="Times New Roman"/>
                      <w:b w:val="0"/>
                      <w:bCs w:val="0"/>
                      <w:snapToGrid/>
                      <w:color w:val="auto"/>
                      <w:spacing w:val="0"/>
                      <w:kern w:val="0"/>
                      <w:position w:val="0"/>
                      <w:sz w:val="21"/>
                      <w:szCs w:val="21"/>
                      <w:vertAlign w:val="baseline"/>
                      <w:lang w:val="en-US" w:eastAsia="zh-CN"/>
                    </w:rPr>
                    <w:t>1#注塑、脱胶废气</w:t>
                  </w:r>
                  <w:r>
                    <w:rPr>
                      <w:rFonts w:hint="eastAsia" w:cs="Times New Roman"/>
                      <w:snapToGrid/>
                      <w:color w:val="auto"/>
                      <w:spacing w:val="0"/>
                      <w:kern w:val="0"/>
                      <w:position w:val="0"/>
                      <w:sz w:val="21"/>
                      <w:szCs w:val="21"/>
                      <w:lang w:val="en-US" w:eastAsia="zh-CN" w:bidi="ar-SA"/>
                    </w:rPr>
                    <w:t>一同汇入</w:t>
                  </w:r>
                  <w:r>
                    <w:rPr>
                      <w:rFonts w:hint="eastAsia" w:cs="Times New Roman"/>
                      <w:b w:val="0"/>
                      <w:bCs w:val="0"/>
                      <w:snapToGrid/>
                      <w:color w:val="auto"/>
                      <w:spacing w:val="0"/>
                      <w:kern w:val="0"/>
                      <w:position w:val="0"/>
                      <w:sz w:val="21"/>
                      <w:szCs w:val="21"/>
                      <w:vertAlign w:val="baseline"/>
                      <w:lang w:val="en-US" w:eastAsia="zh-CN"/>
                    </w:rPr>
                    <w:t>二级活性炭吸附装置</w:t>
                  </w:r>
                  <w:r>
                    <w:rPr>
                      <w:rFonts w:hint="eastAsia" w:ascii="Times New Roman" w:hAnsi="Times New Roman" w:eastAsia="宋体" w:cs="Times New Roman"/>
                      <w:snapToGrid/>
                      <w:color w:val="auto"/>
                      <w:spacing w:val="0"/>
                      <w:kern w:val="0"/>
                      <w:position w:val="0"/>
                      <w:sz w:val="21"/>
                      <w:szCs w:val="21"/>
                      <w:lang w:val="en-US" w:eastAsia="zh-CN"/>
                    </w:rPr>
                    <w:t>处理，</w:t>
                  </w:r>
                  <w:r>
                    <w:rPr>
                      <w:rFonts w:hint="eastAsia" w:ascii="Times New Roman" w:hAnsi="Times New Roman" w:cs="Times New Roman"/>
                      <w:color w:val="auto"/>
                      <w:sz w:val="21"/>
                      <w:szCs w:val="21"/>
                      <w:lang w:val="en-US" w:eastAsia="zh-CN"/>
                    </w:rPr>
                    <w:t>处理后尾气</w:t>
                  </w:r>
                  <w:r>
                    <w:rPr>
                      <w:rFonts w:hint="eastAsia" w:cs="Times New Roman"/>
                      <w:color w:val="auto"/>
                      <w:sz w:val="21"/>
                      <w:szCs w:val="21"/>
                      <w:lang w:val="en-US" w:eastAsia="zh-CN"/>
                    </w:rPr>
                    <w:t>通过</w:t>
                  </w:r>
                  <w:r>
                    <w:rPr>
                      <w:rFonts w:hint="eastAsia" w:ascii="Times New Roman" w:hAnsi="Times New Roman" w:cs="Times New Roman"/>
                      <w:color w:val="auto"/>
                      <w:sz w:val="21"/>
                      <w:szCs w:val="21"/>
                      <w:lang w:val="en-US" w:eastAsia="zh-CN"/>
                    </w:rPr>
                    <w:t>一个</w:t>
                  </w:r>
                  <w:r>
                    <w:rPr>
                      <w:rFonts w:hint="default" w:ascii="Times New Roman" w:hAnsi="Times New Roman" w:cs="Times New Roman"/>
                      <w:color w:val="auto"/>
                      <w:sz w:val="21"/>
                      <w:szCs w:val="21"/>
                      <w:lang w:val="en-US" w:eastAsia="zh-CN"/>
                    </w:rPr>
                    <w:t>15m</w:t>
                  </w:r>
                  <w:r>
                    <w:rPr>
                      <w:rFonts w:hint="eastAsia" w:cs="Times New Roman"/>
                      <w:color w:val="auto"/>
                      <w:sz w:val="21"/>
                      <w:szCs w:val="21"/>
                      <w:lang w:val="en-US" w:eastAsia="zh-CN"/>
                    </w:rPr>
                    <w:t>高</w:t>
                  </w:r>
                  <w:r>
                    <w:rPr>
                      <w:rFonts w:hint="default" w:ascii="Times New Roman" w:hAnsi="Times New Roman" w:cs="Times New Roman"/>
                      <w:color w:val="auto"/>
                      <w:sz w:val="21"/>
                      <w:szCs w:val="21"/>
                      <w:lang w:val="en-US" w:eastAsia="zh-CN"/>
                    </w:rPr>
                    <w:t>排气筒</w:t>
                  </w:r>
                  <w:r>
                    <w:rPr>
                      <w:rFonts w:hint="eastAsia" w:cs="Times New Roman"/>
                      <w:b w:val="0"/>
                      <w:bCs w:val="0"/>
                      <w:snapToGrid/>
                      <w:color w:val="auto"/>
                      <w:spacing w:val="0"/>
                      <w:kern w:val="0"/>
                      <w:position w:val="0"/>
                      <w:sz w:val="21"/>
                      <w:szCs w:val="21"/>
                      <w:vertAlign w:val="baseline"/>
                      <w:lang w:val="en-US" w:eastAsia="zh-CN"/>
                    </w:rPr>
                    <w:t>（DA003）</w:t>
                  </w:r>
                  <w:r>
                    <w:rPr>
                      <w:rFonts w:hint="eastAsia" w:ascii="Times New Roman" w:hAnsi="Times New Roman" w:cs="Times New Roman"/>
                      <w:color w:val="auto"/>
                      <w:sz w:val="21"/>
                      <w:szCs w:val="21"/>
                      <w:lang w:val="en-US" w:eastAsia="zh-CN"/>
                    </w:rPr>
                    <w:t>排放</w:t>
                  </w:r>
                </w:p>
              </w:tc>
              <w:tc>
                <w:tcPr>
                  <w:tcW w:w="2178" w:type="dxa"/>
                  <w:shd w:val="clear" w:color="auto" w:fill="auto"/>
                  <w:vAlign w:val="center"/>
                </w:tcPr>
                <w:p w14:paraId="18529E2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eastAsia" w:cs="Times New Roman"/>
                      <w:b w:val="0"/>
                      <w:bCs w:val="0"/>
                      <w:snapToGrid/>
                      <w:color w:val="auto"/>
                      <w:spacing w:val="0"/>
                      <w:kern w:val="0"/>
                      <w:position w:val="0"/>
                      <w:sz w:val="21"/>
                      <w:szCs w:val="21"/>
                      <w:vertAlign w:val="baseline"/>
                      <w:lang w:val="en-US" w:eastAsia="zh-CN"/>
                    </w:rPr>
                    <w:t>1#注塑、脱胶废气：集气罩+二级活性炭吸附装置+15m高排气筒（DA003）</w:t>
                  </w:r>
                </w:p>
              </w:tc>
              <w:tc>
                <w:tcPr>
                  <w:tcW w:w="1025" w:type="dxa"/>
                  <w:vMerge w:val="continue"/>
                  <w:vAlign w:val="center"/>
                </w:tcPr>
                <w:p w14:paraId="542BBA3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p>
              </w:tc>
            </w:tr>
            <w:tr w14:paraId="0B69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vMerge w:val="continue"/>
                  <w:vAlign w:val="center"/>
                </w:tcPr>
                <w:p w14:paraId="7B2A8610">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eastAsia" w:ascii="宋体" w:hAnsi="宋体" w:eastAsia="宋体" w:cs="宋体"/>
                      <w:b/>
                      <w:bCs/>
                      <w:snapToGrid/>
                      <w:color w:val="auto"/>
                      <w:spacing w:val="0"/>
                      <w:kern w:val="0"/>
                      <w:position w:val="0"/>
                      <w:sz w:val="30"/>
                      <w:szCs w:val="30"/>
                      <w:vertAlign w:val="baseline"/>
                      <w:lang w:val="en-US" w:eastAsia="zh-CN"/>
                    </w:rPr>
                  </w:pPr>
                </w:p>
              </w:tc>
              <w:tc>
                <w:tcPr>
                  <w:tcW w:w="918" w:type="dxa"/>
                  <w:vMerge w:val="continue"/>
                  <w:vAlign w:val="center"/>
                </w:tcPr>
                <w:p w14:paraId="28D0BB7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p>
              </w:tc>
              <w:tc>
                <w:tcPr>
                  <w:tcW w:w="1755" w:type="dxa"/>
                  <w:vAlign w:val="center"/>
                </w:tcPr>
                <w:p w14:paraId="0F7481A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2#注塑、脱胶废气：集气罩+UV光解+活性炭处理设施+15m高排气筒（DA004）</w:t>
                  </w:r>
                </w:p>
              </w:tc>
              <w:tc>
                <w:tcPr>
                  <w:tcW w:w="1953" w:type="dxa"/>
                  <w:shd w:val="clear" w:color="auto" w:fill="auto"/>
                  <w:vAlign w:val="center"/>
                </w:tcPr>
                <w:p w14:paraId="3D96977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eastAsia" w:cs="Times New Roman"/>
                      <w:b w:val="0"/>
                      <w:bCs w:val="0"/>
                      <w:snapToGrid/>
                      <w:color w:val="auto"/>
                      <w:spacing w:val="0"/>
                      <w:kern w:val="0"/>
                      <w:position w:val="0"/>
                      <w:sz w:val="21"/>
                      <w:szCs w:val="21"/>
                      <w:vertAlign w:val="baseline"/>
                      <w:lang w:val="en-US" w:eastAsia="zh-CN"/>
                    </w:rPr>
                    <w:t>2#注塑、脱胶废气</w:t>
                  </w:r>
                  <w:r>
                    <w:rPr>
                      <w:rFonts w:hint="eastAsia" w:cs="Times New Roman"/>
                      <w:snapToGrid/>
                      <w:color w:val="auto"/>
                      <w:spacing w:val="0"/>
                      <w:kern w:val="0"/>
                      <w:position w:val="0"/>
                      <w:sz w:val="21"/>
                      <w:szCs w:val="21"/>
                      <w:lang w:val="en-US" w:eastAsia="zh-CN" w:bidi="ar-SA"/>
                    </w:rPr>
                    <w:t>经集气罩收集后和</w:t>
                  </w:r>
                  <w:r>
                    <w:rPr>
                      <w:rFonts w:hint="eastAsia" w:ascii="Times New Roman" w:hAnsi="Times New Roman" w:eastAsia="宋体" w:cs="Times New Roman"/>
                      <w:snapToGrid/>
                      <w:color w:val="auto"/>
                      <w:spacing w:val="0"/>
                      <w:kern w:val="0"/>
                      <w:position w:val="0"/>
                      <w:sz w:val="21"/>
                      <w:szCs w:val="21"/>
                      <w:lang w:eastAsia="zh-CN"/>
                    </w:rPr>
                    <w:t>现有工</w:t>
                  </w:r>
                  <w:r>
                    <w:rPr>
                      <w:rFonts w:hint="default" w:ascii="Times New Roman" w:hAnsi="Times New Roman" w:eastAsia="宋体" w:cs="Times New Roman"/>
                      <w:snapToGrid/>
                      <w:color w:val="auto"/>
                      <w:spacing w:val="0"/>
                      <w:kern w:val="0"/>
                      <w:position w:val="0"/>
                      <w:sz w:val="21"/>
                      <w:szCs w:val="21"/>
                    </w:rPr>
                    <w:t>程</w:t>
                  </w:r>
                  <w:r>
                    <w:rPr>
                      <w:rFonts w:hint="eastAsia" w:cs="Times New Roman"/>
                      <w:b w:val="0"/>
                      <w:bCs w:val="0"/>
                      <w:snapToGrid/>
                      <w:color w:val="auto"/>
                      <w:spacing w:val="0"/>
                      <w:kern w:val="0"/>
                      <w:position w:val="0"/>
                      <w:sz w:val="21"/>
                      <w:szCs w:val="21"/>
                      <w:vertAlign w:val="baseline"/>
                      <w:lang w:val="en-US" w:eastAsia="zh-CN"/>
                    </w:rPr>
                    <w:t>2#注塑、脱胶废气</w:t>
                  </w:r>
                  <w:r>
                    <w:rPr>
                      <w:rFonts w:hint="eastAsia" w:cs="Times New Roman"/>
                      <w:snapToGrid/>
                      <w:color w:val="auto"/>
                      <w:spacing w:val="0"/>
                      <w:kern w:val="0"/>
                      <w:position w:val="0"/>
                      <w:sz w:val="21"/>
                      <w:szCs w:val="21"/>
                      <w:lang w:val="en-US" w:eastAsia="zh-CN" w:bidi="ar-SA"/>
                    </w:rPr>
                    <w:t>一同汇入</w:t>
                  </w:r>
                  <w:r>
                    <w:rPr>
                      <w:rFonts w:hint="eastAsia" w:cs="Times New Roman"/>
                      <w:b w:val="0"/>
                      <w:bCs w:val="0"/>
                      <w:snapToGrid/>
                      <w:color w:val="auto"/>
                      <w:spacing w:val="0"/>
                      <w:kern w:val="0"/>
                      <w:position w:val="0"/>
                      <w:sz w:val="21"/>
                      <w:szCs w:val="21"/>
                      <w:vertAlign w:val="baseline"/>
                      <w:lang w:val="en-US" w:eastAsia="zh-CN"/>
                    </w:rPr>
                    <w:t>二级活性炭吸附装置</w:t>
                  </w:r>
                  <w:r>
                    <w:rPr>
                      <w:rFonts w:hint="eastAsia" w:ascii="Times New Roman" w:hAnsi="Times New Roman" w:eastAsia="宋体" w:cs="Times New Roman"/>
                      <w:snapToGrid/>
                      <w:color w:val="auto"/>
                      <w:spacing w:val="0"/>
                      <w:kern w:val="0"/>
                      <w:position w:val="0"/>
                      <w:sz w:val="21"/>
                      <w:szCs w:val="21"/>
                      <w:lang w:val="en-US" w:eastAsia="zh-CN"/>
                    </w:rPr>
                    <w:t>处理，</w:t>
                  </w:r>
                  <w:r>
                    <w:rPr>
                      <w:rFonts w:hint="eastAsia" w:ascii="Times New Roman" w:hAnsi="Times New Roman" w:cs="Times New Roman"/>
                      <w:color w:val="auto"/>
                      <w:sz w:val="21"/>
                      <w:szCs w:val="21"/>
                      <w:lang w:val="en-US" w:eastAsia="zh-CN"/>
                    </w:rPr>
                    <w:t>处理后尾气</w:t>
                  </w:r>
                  <w:r>
                    <w:rPr>
                      <w:rFonts w:hint="eastAsia" w:cs="Times New Roman"/>
                      <w:color w:val="auto"/>
                      <w:sz w:val="21"/>
                      <w:szCs w:val="21"/>
                      <w:lang w:val="en-US" w:eastAsia="zh-CN"/>
                    </w:rPr>
                    <w:t>通过</w:t>
                  </w:r>
                  <w:r>
                    <w:rPr>
                      <w:rFonts w:hint="eastAsia" w:ascii="Times New Roman" w:hAnsi="Times New Roman" w:cs="Times New Roman"/>
                      <w:color w:val="auto"/>
                      <w:sz w:val="21"/>
                      <w:szCs w:val="21"/>
                      <w:lang w:val="en-US" w:eastAsia="zh-CN"/>
                    </w:rPr>
                    <w:t>一个</w:t>
                  </w:r>
                  <w:r>
                    <w:rPr>
                      <w:rFonts w:hint="default" w:ascii="Times New Roman" w:hAnsi="Times New Roman" w:cs="Times New Roman"/>
                      <w:color w:val="auto"/>
                      <w:sz w:val="21"/>
                      <w:szCs w:val="21"/>
                      <w:lang w:val="en-US" w:eastAsia="zh-CN"/>
                    </w:rPr>
                    <w:t>15m</w:t>
                  </w:r>
                  <w:r>
                    <w:rPr>
                      <w:rFonts w:hint="eastAsia" w:cs="Times New Roman"/>
                      <w:color w:val="auto"/>
                      <w:sz w:val="21"/>
                      <w:szCs w:val="21"/>
                      <w:lang w:val="en-US" w:eastAsia="zh-CN"/>
                    </w:rPr>
                    <w:t>高</w:t>
                  </w:r>
                  <w:r>
                    <w:rPr>
                      <w:rFonts w:hint="default" w:ascii="Times New Roman" w:hAnsi="Times New Roman" w:cs="Times New Roman"/>
                      <w:color w:val="auto"/>
                      <w:sz w:val="21"/>
                      <w:szCs w:val="21"/>
                      <w:lang w:val="en-US" w:eastAsia="zh-CN"/>
                    </w:rPr>
                    <w:t>排气筒</w:t>
                  </w:r>
                  <w:r>
                    <w:rPr>
                      <w:rFonts w:hint="eastAsia" w:cs="Times New Roman"/>
                      <w:b w:val="0"/>
                      <w:bCs w:val="0"/>
                      <w:snapToGrid/>
                      <w:color w:val="auto"/>
                      <w:spacing w:val="0"/>
                      <w:kern w:val="0"/>
                      <w:position w:val="0"/>
                      <w:sz w:val="21"/>
                      <w:szCs w:val="21"/>
                      <w:vertAlign w:val="baseline"/>
                      <w:lang w:val="en-US" w:eastAsia="zh-CN"/>
                    </w:rPr>
                    <w:t>（DA004）</w:t>
                  </w:r>
                  <w:r>
                    <w:rPr>
                      <w:rFonts w:hint="eastAsia" w:ascii="Times New Roman" w:hAnsi="Times New Roman" w:cs="Times New Roman"/>
                      <w:color w:val="auto"/>
                      <w:sz w:val="21"/>
                      <w:szCs w:val="21"/>
                      <w:lang w:val="en-US" w:eastAsia="zh-CN"/>
                    </w:rPr>
                    <w:t>排放</w:t>
                  </w:r>
                </w:p>
              </w:tc>
              <w:tc>
                <w:tcPr>
                  <w:tcW w:w="2178" w:type="dxa"/>
                  <w:shd w:val="clear" w:color="auto" w:fill="auto"/>
                  <w:vAlign w:val="center"/>
                </w:tcPr>
                <w:p w14:paraId="73281F8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eastAsia" w:cs="Times New Roman"/>
                      <w:b w:val="0"/>
                      <w:bCs w:val="0"/>
                      <w:snapToGrid/>
                      <w:color w:val="auto"/>
                      <w:spacing w:val="0"/>
                      <w:kern w:val="0"/>
                      <w:position w:val="0"/>
                      <w:sz w:val="21"/>
                      <w:szCs w:val="21"/>
                      <w:vertAlign w:val="baseline"/>
                      <w:lang w:val="en-US" w:eastAsia="zh-CN"/>
                    </w:rPr>
                    <w:t>2#注塑、脱胶废气：集气罩+二级活性炭吸附装置+15m高排气筒（DA004）</w:t>
                  </w:r>
                </w:p>
              </w:tc>
              <w:tc>
                <w:tcPr>
                  <w:tcW w:w="1025" w:type="dxa"/>
                  <w:vMerge w:val="continue"/>
                  <w:vAlign w:val="center"/>
                </w:tcPr>
                <w:p w14:paraId="6CE1BC4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p>
              </w:tc>
            </w:tr>
            <w:tr w14:paraId="7C87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vMerge w:val="continue"/>
                  <w:vAlign w:val="center"/>
                </w:tcPr>
                <w:p w14:paraId="35ABC62E">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eastAsia" w:ascii="宋体" w:hAnsi="宋体" w:eastAsia="宋体" w:cs="宋体"/>
                      <w:b/>
                      <w:bCs/>
                      <w:snapToGrid/>
                      <w:color w:val="auto"/>
                      <w:spacing w:val="0"/>
                      <w:kern w:val="0"/>
                      <w:position w:val="0"/>
                      <w:sz w:val="30"/>
                      <w:szCs w:val="30"/>
                      <w:vertAlign w:val="baseline"/>
                      <w:lang w:val="en-US" w:eastAsia="zh-CN"/>
                    </w:rPr>
                  </w:pPr>
                </w:p>
              </w:tc>
              <w:tc>
                <w:tcPr>
                  <w:tcW w:w="918" w:type="dxa"/>
                  <w:vMerge w:val="continue"/>
                  <w:vAlign w:val="center"/>
                </w:tcPr>
                <w:p w14:paraId="47E5A67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p>
              </w:tc>
              <w:tc>
                <w:tcPr>
                  <w:tcW w:w="1755" w:type="dxa"/>
                  <w:vAlign w:val="center"/>
                </w:tcPr>
                <w:p w14:paraId="0637EDB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喷塑废气</w:t>
                  </w:r>
                  <w:r>
                    <w:rPr>
                      <w:rFonts w:hint="eastAsia" w:cs="Times New Roman"/>
                      <w:b w:val="0"/>
                      <w:bCs w:val="0"/>
                      <w:snapToGrid/>
                      <w:color w:val="auto"/>
                      <w:spacing w:val="0"/>
                      <w:kern w:val="0"/>
                      <w:position w:val="0"/>
                      <w:sz w:val="21"/>
                      <w:szCs w:val="21"/>
                      <w:vertAlign w:val="baseline"/>
                      <w:lang w:val="en-US" w:eastAsia="zh-CN"/>
                    </w:rPr>
                    <w:t>：侧向集气罩+布袋除尘器+15m高排气筒（DA005）</w:t>
                  </w:r>
                </w:p>
              </w:tc>
              <w:tc>
                <w:tcPr>
                  <w:tcW w:w="1953" w:type="dxa"/>
                  <w:shd w:val="clear" w:color="auto" w:fill="auto"/>
                  <w:vAlign w:val="center"/>
                </w:tcPr>
                <w:p w14:paraId="1EBF5FA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喷塑废气</w:t>
                  </w:r>
                  <w:r>
                    <w:rPr>
                      <w:rFonts w:hint="eastAsia" w:cs="Times New Roman"/>
                      <w:snapToGrid/>
                      <w:color w:val="auto"/>
                      <w:spacing w:val="0"/>
                      <w:kern w:val="0"/>
                      <w:position w:val="0"/>
                      <w:sz w:val="21"/>
                      <w:szCs w:val="21"/>
                      <w:lang w:val="en-US" w:eastAsia="zh-CN" w:bidi="ar-SA"/>
                    </w:rPr>
                    <w:t>经</w:t>
                  </w:r>
                  <w:r>
                    <w:rPr>
                      <w:rFonts w:hint="eastAsia" w:cs="Times New Roman"/>
                      <w:b w:val="0"/>
                      <w:bCs w:val="0"/>
                      <w:snapToGrid/>
                      <w:color w:val="auto"/>
                      <w:spacing w:val="0"/>
                      <w:kern w:val="0"/>
                      <w:position w:val="0"/>
                      <w:sz w:val="21"/>
                      <w:szCs w:val="21"/>
                      <w:vertAlign w:val="baseline"/>
                      <w:lang w:val="en-US" w:eastAsia="zh-CN"/>
                    </w:rPr>
                    <w:t>侧向</w:t>
                  </w:r>
                  <w:r>
                    <w:rPr>
                      <w:rFonts w:hint="eastAsia" w:cs="Times New Roman"/>
                      <w:snapToGrid/>
                      <w:color w:val="auto"/>
                      <w:spacing w:val="0"/>
                      <w:kern w:val="0"/>
                      <w:position w:val="0"/>
                      <w:sz w:val="21"/>
                      <w:szCs w:val="21"/>
                      <w:lang w:val="en-US" w:eastAsia="zh-CN" w:bidi="ar-SA"/>
                    </w:rPr>
                    <w:t>集气罩收集后和</w:t>
                  </w:r>
                  <w:r>
                    <w:rPr>
                      <w:rFonts w:hint="eastAsia" w:ascii="Times New Roman" w:hAnsi="Times New Roman" w:eastAsia="宋体" w:cs="Times New Roman"/>
                      <w:snapToGrid/>
                      <w:color w:val="auto"/>
                      <w:spacing w:val="0"/>
                      <w:kern w:val="0"/>
                      <w:position w:val="0"/>
                      <w:sz w:val="21"/>
                      <w:szCs w:val="21"/>
                      <w:lang w:eastAsia="zh-CN"/>
                    </w:rPr>
                    <w:t>现有工</w:t>
                  </w:r>
                  <w:r>
                    <w:rPr>
                      <w:rFonts w:hint="default" w:ascii="Times New Roman" w:hAnsi="Times New Roman" w:eastAsia="宋体" w:cs="Times New Roman"/>
                      <w:snapToGrid/>
                      <w:color w:val="auto"/>
                      <w:spacing w:val="0"/>
                      <w:kern w:val="0"/>
                      <w:position w:val="0"/>
                      <w:sz w:val="21"/>
                      <w:szCs w:val="21"/>
                    </w:rPr>
                    <w:t>程</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喷塑废气</w:t>
                  </w:r>
                  <w:r>
                    <w:rPr>
                      <w:rFonts w:hint="eastAsia" w:cs="Times New Roman"/>
                      <w:snapToGrid/>
                      <w:color w:val="auto"/>
                      <w:spacing w:val="0"/>
                      <w:kern w:val="0"/>
                      <w:position w:val="0"/>
                      <w:sz w:val="21"/>
                      <w:szCs w:val="21"/>
                      <w:lang w:val="en-US" w:eastAsia="zh-CN" w:bidi="ar-SA"/>
                    </w:rPr>
                    <w:t>一同汇入</w:t>
                  </w:r>
                  <w:r>
                    <w:rPr>
                      <w:rFonts w:hint="eastAsia" w:ascii="Times New Roman" w:hAnsi="Times New Roman" w:eastAsia="宋体" w:cs="Times New Roman"/>
                      <w:snapToGrid/>
                      <w:color w:val="auto"/>
                      <w:spacing w:val="0"/>
                      <w:kern w:val="0"/>
                      <w:position w:val="0"/>
                      <w:sz w:val="21"/>
                      <w:szCs w:val="21"/>
                      <w:lang w:val="en-US" w:eastAsia="zh-CN"/>
                    </w:rPr>
                    <w:t>布袋除尘器处理，</w:t>
                  </w:r>
                  <w:r>
                    <w:rPr>
                      <w:rFonts w:hint="eastAsia" w:ascii="Times New Roman" w:hAnsi="Times New Roman" w:cs="Times New Roman"/>
                      <w:color w:val="auto"/>
                      <w:sz w:val="21"/>
                      <w:szCs w:val="21"/>
                      <w:lang w:val="en-US" w:eastAsia="zh-CN"/>
                    </w:rPr>
                    <w:t>处理后尾气</w:t>
                  </w:r>
                  <w:r>
                    <w:rPr>
                      <w:rFonts w:hint="eastAsia" w:cs="Times New Roman"/>
                      <w:color w:val="auto"/>
                      <w:sz w:val="21"/>
                      <w:szCs w:val="21"/>
                      <w:lang w:val="en-US" w:eastAsia="zh-CN"/>
                    </w:rPr>
                    <w:t>通过</w:t>
                  </w:r>
                  <w:r>
                    <w:rPr>
                      <w:rFonts w:hint="eastAsia" w:ascii="Times New Roman" w:hAnsi="Times New Roman" w:cs="Times New Roman"/>
                      <w:color w:val="auto"/>
                      <w:sz w:val="21"/>
                      <w:szCs w:val="21"/>
                      <w:lang w:val="en-US" w:eastAsia="zh-CN"/>
                    </w:rPr>
                    <w:t>一个</w:t>
                  </w:r>
                  <w:r>
                    <w:rPr>
                      <w:rFonts w:hint="default" w:ascii="Times New Roman" w:hAnsi="Times New Roman" w:cs="Times New Roman"/>
                      <w:color w:val="auto"/>
                      <w:sz w:val="21"/>
                      <w:szCs w:val="21"/>
                      <w:lang w:val="en-US" w:eastAsia="zh-CN"/>
                    </w:rPr>
                    <w:t>15m</w:t>
                  </w:r>
                  <w:r>
                    <w:rPr>
                      <w:rFonts w:hint="eastAsia" w:cs="Times New Roman"/>
                      <w:color w:val="auto"/>
                      <w:sz w:val="21"/>
                      <w:szCs w:val="21"/>
                      <w:lang w:val="en-US" w:eastAsia="zh-CN"/>
                    </w:rPr>
                    <w:t>高</w:t>
                  </w:r>
                  <w:r>
                    <w:rPr>
                      <w:rFonts w:hint="default" w:ascii="Times New Roman" w:hAnsi="Times New Roman" w:cs="Times New Roman"/>
                      <w:color w:val="auto"/>
                      <w:sz w:val="21"/>
                      <w:szCs w:val="21"/>
                      <w:lang w:val="en-US" w:eastAsia="zh-CN"/>
                    </w:rPr>
                    <w:t>排气筒</w:t>
                  </w:r>
                  <w:r>
                    <w:rPr>
                      <w:rFonts w:hint="eastAsia" w:ascii="Times New Roman" w:hAnsi="Times New Roman" w:cs="Times New Roman"/>
                      <w:color w:val="auto"/>
                      <w:sz w:val="21"/>
                      <w:szCs w:val="21"/>
                      <w:lang w:val="en-US" w:eastAsia="zh-CN"/>
                    </w:rPr>
                    <w:t>（DA005）排放</w:t>
                  </w:r>
                </w:p>
              </w:tc>
              <w:tc>
                <w:tcPr>
                  <w:tcW w:w="2178" w:type="dxa"/>
                  <w:shd w:val="clear" w:color="auto" w:fill="auto"/>
                  <w:vAlign w:val="center"/>
                </w:tcPr>
                <w:p w14:paraId="23DD41C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喷塑废气</w:t>
                  </w:r>
                  <w:r>
                    <w:rPr>
                      <w:rFonts w:hint="eastAsia" w:cs="Times New Roman"/>
                      <w:b w:val="0"/>
                      <w:bCs w:val="0"/>
                      <w:snapToGrid/>
                      <w:color w:val="auto"/>
                      <w:spacing w:val="0"/>
                      <w:kern w:val="0"/>
                      <w:position w:val="0"/>
                      <w:sz w:val="21"/>
                      <w:szCs w:val="21"/>
                      <w:vertAlign w:val="baseline"/>
                      <w:lang w:val="en-US" w:eastAsia="zh-CN"/>
                    </w:rPr>
                    <w:t>：侧向集气罩+布袋除尘器+15m高排气筒（DA005）</w:t>
                  </w:r>
                </w:p>
              </w:tc>
              <w:tc>
                <w:tcPr>
                  <w:tcW w:w="1025" w:type="dxa"/>
                  <w:vMerge w:val="continue"/>
                  <w:vAlign w:val="center"/>
                </w:tcPr>
                <w:p w14:paraId="45BCE67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p>
              </w:tc>
            </w:tr>
            <w:tr w14:paraId="6E27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vMerge w:val="continue"/>
                  <w:vAlign w:val="center"/>
                </w:tcPr>
                <w:p w14:paraId="7C3371F1">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eastAsia" w:ascii="宋体" w:hAnsi="宋体" w:eastAsia="宋体" w:cs="宋体"/>
                      <w:b/>
                      <w:bCs/>
                      <w:snapToGrid/>
                      <w:color w:val="auto"/>
                      <w:spacing w:val="0"/>
                      <w:kern w:val="0"/>
                      <w:position w:val="0"/>
                      <w:sz w:val="30"/>
                      <w:szCs w:val="30"/>
                      <w:vertAlign w:val="baseline"/>
                      <w:lang w:val="en-US" w:eastAsia="zh-CN"/>
                    </w:rPr>
                  </w:pPr>
                </w:p>
              </w:tc>
              <w:tc>
                <w:tcPr>
                  <w:tcW w:w="918" w:type="dxa"/>
                  <w:vMerge w:val="continue"/>
                  <w:vAlign w:val="center"/>
                </w:tcPr>
                <w:p w14:paraId="1B04EEF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p>
              </w:tc>
              <w:tc>
                <w:tcPr>
                  <w:tcW w:w="1755" w:type="dxa"/>
                  <w:shd w:val="clear" w:color="auto" w:fill="auto"/>
                  <w:vAlign w:val="center"/>
                </w:tcPr>
                <w:p w14:paraId="07D8EB1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固化废气</w:t>
                  </w:r>
                  <w:r>
                    <w:rPr>
                      <w:rFonts w:hint="eastAsia" w:cs="Times New Roman"/>
                      <w:b w:val="0"/>
                      <w:bCs w:val="0"/>
                      <w:snapToGrid/>
                      <w:color w:val="auto"/>
                      <w:spacing w:val="0"/>
                      <w:kern w:val="0"/>
                      <w:position w:val="0"/>
                      <w:sz w:val="21"/>
                      <w:szCs w:val="21"/>
                      <w:vertAlign w:val="baseline"/>
                      <w:lang w:val="en-US" w:eastAsia="zh-CN"/>
                    </w:rPr>
                    <w:t>：加强车间通风，无组织排放</w:t>
                  </w:r>
                </w:p>
              </w:tc>
              <w:tc>
                <w:tcPr>
                  <w:tcW w:w="1953" w:type="dxa"/>
                  <w:shd w:val="clear" w:color="auto" w:fill="auto"/>
                  <w:vAlign w:val="center"/>
                </w:tcPr>
                <w:p w14:paraId="036CE0D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固化废气</w:t>
                  </w:r>
                  <w:r>
                    <w:rPr>
                      <w:rFonts w:hint="eastAsia" w:cs="Times New Roman"/>
                      <w:b w:val="0"/>
                      <w:bCs w:val="0"/>
                      <w:snapToGrid/>
                      <w:color w:val="auto"/>
                      <w:spacing w:val="0"/>
                      <w:kern w:val="0"/>
                      <w:position w:val="0"/>
                      <w:sz w:val="21"/>
                      <w:szCs w:val="21"/>
                      <w:vertAlign w:val="baseline"/>
                      <w:lang w:val="en-US" w:eastAsia="zh-CN"/>
                    </w:rPr>
                    <w:t>：集气罩收集后并入1#注塑、脱胶废气通过“二级活性炭吸附装置+15m高排气筒（DA003）”排放</w:t>
                  </w:r>
                </w:p>
              </w:tc>
              <w:tc>
                <w:tcPr>
                  <w:tcW w:w="2178" w:type="dxa"/>
                  <w:shd w:val="clear" w:color="auto" w:fill="auto"/>
                  <w:vAlign w:val="center"/>
                </w:tcPr>
                <w:p w14:paraId="4119309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固化废气</w:t>
                  </w:r>
                  <w:r>
                    <w:rPr>
                      <w:rFonts w:hint="eastAsia" w:cs="Times New Roman"/>
                      <w:b w:val="0"/>
                      <w:bCs w:val="0"/>
                      <w:snapToGrid/>
                      <w:color w:val="auto"/>
                      <w:spacing w:val="0"/>
                      <w:kern w:val="0"/>
                      <w:position w:val="0"/>
                      <w:sz w:val="21"/>
                      <w:szCs w:val="21"/>
                      <w:vertAlign w:val="baseline"/>
                      <w:lang w:val="en-US" w:eastAsia="zh-CN"/>
                    </w:rPr>
                    <w:t>：集气罩收集后并入1#注塑、脱胶废气通过“二级活性炭吸附装置+15m高排气筒（DA003）”排放</w:t>
                  </w:r>
                </w:p>
              </w:tc>
              <w:tc>
                <w:tcPr>
                  <w:tcW w:w="1025" w:type="dxa"/>
                  <w:vMerge w:val="continue"/>
                  <w:vAlign w:val="center"/>
                </w:tcPr>
                <w:p w14:paraId="6CCBB25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p>
              </w:tc>
            </w:tr>
            <w:tr w14:paraId="51857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vMerge w:val="continue"/>
                  <w:vAlign w:val="center"/>
                </w:tcPr>
                <w:p w14:paraId="75D0D1EA">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eastAsia" w:ascii="宋体" w:hAnsi="宋体" w:eastAsia="宋体" w:cs="宋体"/>
                      <w:b/>
                      <w:bCs/>
                      <w:snapToGrid/>
                      <w:color w:val="auto"/>
                      <w:spacing w:val="0"/>
                      <w:kern w:val="0"/>
                      <w:position w:val="0"/>
                      <w:sz w:val="30"/>
                      <w:szCs w:val="30"/>
                      <w:vertAlign w:val="baseline"/>
                      <w:lang w:val="en-US" w:eastAsia="zh-CN"/>
                    </w:rPr>
                  </w:pPr>
                </w:p>
              </w:tc>
              <w:tc>
                <w:tcPr>
                  <w:tcW w:w="918" w:type="dxa"/>
                  <w:vMerge w:val="continue"/>
                  <w:vAlign w:val="center"/>
                </w:tcPr>
                <w:p w14:paraId="59C8207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p>
              </w:tc>
              <w:tc>
                <w:tcPr>
                  <w:tcW w:w="1755" w:type="dxa"/>
                  <w:vAlign w:val="center"/>
                </w:tcPr>
                <w:p w14:paraId="775FFFE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液氨储罐呼吸废气：加强车间通风，无组织排放</w:t>
                  </w:r>
                </w:p>
              </w:tc>
              <w:tc>
                <w:tcPr>
                  <w:tcW w:w="1953" w:type="dxa"/>
                  <w:shd w:val="clear" w:color="auto" w:fill="auto"/>
                  <w:vAlign w:val="center"/>
                </w:tcPr>
                <w:p w14:paraId="30BE8B5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eastAsia" w:cs="Times New Roman"/>
                      <w:b w:val="0"/>
                      <w:bCs w:val="0"/>
                      <w:snapToGrid/>
                      <w:color w:val="auto"/>
                      <w:spacing w:val="0"/>
                      <w:kern w:val="0"/>
                      <w:position w:val="0"/>
                      <w:sz w:val="21"/>
                      <w:szCs w:val="21"/>
                      <w:vertAlign w:val="baseline"/>
                      <w:lang w:val="en-US" w:eastAsia="zh-CN"/>
                    </w:rPr>
                    <w:t>液氨储罐呼吸废气：加强车间通风，无组织排放</w:t>
                  </w:r>
                </w:p>
              </w:tc>
              <w:tc>
                <w:tcPr>
                  <w:tcW w:w="2178" w:type="dxa"/>
                  <w:shd w:val="clear" w:color="auto" w:fill="auto"/>
                  <w:vAlign w:val="center"/>
                </w:tcPr>
                <w:p w14:paraId="2779B14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eastAsia" w:cs="Times New Roman"/>
                      <w:b w:val="0"/>
                      <w:bCs w:val="0"/>
                      <w:snapToGrid/>
                      <w:color w:val="auto"/>
                      <w:spacing w:val="0"/>
                      <w:kern w:val="0"/>
                      <w:position w:val="0"/>
                      <w:sz w:val="21"/>
                      <w:szCs w:val="21"/>
                      <w:vertAlign w:val="baseline"/>
                      <w:lang w:val="en-US" w:eastAsia="zh-CN"/>
                    </w:rPr>
                    <w:t>液氨储罐呼吸废气：加强车间通风，无组织排放</w:t>
                  </w:r>
                </w:p>
              </w:tc>
              <w:tc>
                <w:tcPr>
                  <w:tcW w:w="1025" w:type="dxa"/>
                  <w:vMerge w:val="continue"/>
                  <w:vAlign w:val="center"/>
                </w:tcPr>
                <w:p w14:paraId="595F545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p>
              </w:tc>
            </w:tr>
            <w:tr w14:paraId="034B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vMerge w:val="continue"/>
                  <w:vAlign w:val="center"/>
                </w:tcPr>
                <w:p w14:paraId="6AA10787">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eastAsia" w:ascii="宋体" w:hAnsi="宋体" w:eastAsia="宋体" w:cs="宋体"/>
                      <w:b/>
                      <w:bCs/>
                      <w:snapToGrid/>
                      <w:color w:val="auto"/>
                      <w:spacing w:val="0"/>
                      <w:kern w:val="0"/>
                      <w:position w:val="0"/>
                      <w:sz w:val="30"/>
                      <w:szCs w:val="30"/>
                      <w:vertAlign w:val="baseline"/>
                      <w:lang w:val="en-US" w:eastAsia="zh-CN"/>
                    </w:rPr>
                  </w:pPr>
                </w:p>
              </w:tc>
              <w:tc>
                <w:tcPr>
                  <w:tcW w:w="918" w:type="dxa"/>
                  <w:vAlign w:val="center"/>
                </w:tcPr>
                <w:p w14:paraId="3AC569F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废水</w:t>
                  </w:r>
                </w:p>
              </w:tc>
              <w:tc>
                <w:tcPr>
                  <w:tcW w:w="1755" w:type="dxa"/>
                  <w:shd w:val="clear" w:color="auto" w:fill="auto"/>
                  <w:vAlign w:val="center"/>
                </w:tcPr>
                <w:p w14:paraId="0CCF6AF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eastAsia"/>
                      <w:color w:val="auto"/>
                      <w:szCs w:val="21"/>
                    </w:rPr>
                    <w:t>采用雨污分流制，</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雨水经雨水管网排入周边沟渠</w:t>
                  </w:r>
                  <w:r>
                    <w:rPr>
                      <w:rFonts w:hint="eastAsia" w:cs="Times New Roman"/>
                      <w:b w:val="0"/>
                      <w:bCs w:val="0"/>
                      <w:snapToGrid/>
                      <w:color w:val="auto"/>
                      <w:spacing w:val="0"/>
                      <w:kern w:val="0"/>
                      <w:position w:val="0"/>
                      <w:sz w:val="21"/>
                      <w:szCs w:val="21"/>
                      <w:vertAlign w:val="baseline"/>
                      <w:lang w:val="en-US" w:eastAsia="zh-CN"/>
                    </w:rPr>
                    <w:t>；</w:t>
                  </w:r>
                  <w:r>
                    <w:rPr>
                      <w:rFonts w:hint="eastAsia"/>
                      <w:color w:val="auto"/>
                      <w:szCs w:val="21"/>
                    </w:rPr>
                    <w:t>项目无生产废水排放</w:t>
                  </w:r>
                  <w:r>
                    <w:rPr>
                      <w:color w:val="auto"/>
                      <w:szCs w:val="21"/>
                    </w:rPr>
                    <w:t>，冷却水循环使用，不外排至环境水体中，只需定期补充损耗即可</w:t>
                  </w:r>
                  <w:r>
                    <w:rPr>
                      <w:rFonts w:hint="eastAsia"/>
                      <w:color w:val="auto"/>
                      <w:szCs w:val="21"/>
                    </w:rPr>
                    <w:t>，</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生活污水经化粪池处理，定期清掏用作厂区周围农田施肥，不外排。</w:t>
                  </w:r>
                </w:p>
              </w:tc>
              <w:tc>
                <w:tcPr>
                  <w:tcW w:w="1953" w:type="dxa"/>
                  <w:shd w:val="clear" w:color="auto" w:fill="auto"/>
                  <w:vAlign w:val="center"/>
                </w:tcPr>
                <w:p w14:paraId="59BA518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eastAsia"/>
                      <w:color w:val="auto"/>
                      <w:szCs w:val="21"/>
                    </w:rPr>
                    <w:t>采用雨污分流制，</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雨水经雨水管网排入周边沟渠</w:t>
                  </w:r>
                  <w:r>
                    <w:rPr>
                      <w:rFonts w:hint="eastAsia" w:cs="Times New Roman"/>
                      <w:b w:val="0"/>
                      <w:bCs w:val="0"/>
                      <w:snapToGrid/>
                      <w:color w:val="auto"/>
                      <w:spacing w:val="0"/>
                      <w:kern w:val="0"/>
                      <w:position w:val="0"/>
                      <w:sz w:val="21"/>
                      <w:szCs w:val="21"/>
                      <w:vertAlign w:val="baseline"/>
                      <w:lang w:val="en-US" w:eastAsia="zh-CN"/>
                    </w:rPr>
                    <w:t>；</w:t>
                  </w:r>
                  <w:r>
                    <w:rPr>
                      <w:rFonts w:hint="eastAsia"/>
                      <w:color w:val="auto"/>
                      <w:szCs w:val="21"/>
                    </w:rPr>
                    <w:t>项目无生产废水排放</w:t>
                  </w:r>
                  <w:r>
                    <w:rPr>
                      <w:color w:val="auto"/>
                      <w:szCs w:val="21"/>
                    </w:rPr>
                    <w:t>，冷却水循环使用，不外排至环境水体中，只需定期补充损耗即可</w:t>
                  </w:r>
                  <w:r>
                    <w:rPr>
                      <w:rFonts w:hint="eastAsia"/>
                      <w:color w:val="auto"/>
                      <w:szCs w:val="21"/>
                    </w:rPr>
                    <w:t>，</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生活污水经化粪池处理，定期清掏用作厂区周围农田施肥，不外排。</w:t>
                  </w:r>
                </w:p>
              </w:tc>
              <w:tc>
                <w:tcPr>
                  <w:tcW w:w="2178" w:type="dxa"/>
                  <w:shd w:val="clear" w:color="auto" w:fill="auto"/>
                  <w:vAlign w:val="center"/>
                </w:tcPr>
                <w:p w14:paraId="7CD40C8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eastAsia"/>
                      <w:color w:val="auto"/>
                      <w:szCs w:val="21"/>
                    </w:rPr>
                    <w:t>采用雨污分流制，</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雨水经雨水管网排入周边沟渠</w:t>
                  </w:r>
                  <w:r>
                    <w:rPr>
                      <w:rFonts w:hint="eastAsia" w:cs="Times New Roman"/>
                      <w:b w:val="0"/>
                      <w:bCs w:val="0"/>
                      <w:snapToGrid/>
                      <w:color w:val="auto"/>
                      <w:spacing w:val="0"/>
                      <w:kern w:val="0"/>
                      <w:position w:val="0"/>
                      <w:sz w:val="21"/>
                      <w:szCs w:val="21"/>
                      <w:vertAlign w:val="baseline"/>
                      <w:lang w:val="en-US" w:eastAsia="zh-CN"/>
                    </w:rPr>
                    <w:t>；</w:t>
                  </w:r>
                  <w:r>
                    <w:rPr>
                      <w:rFonts w:hint="eastAsia"/>
                      <w:color w:val="auto"/>
                      <w:szCs w:val="21"/>
                    </w:rPr>
                    <w:t>项目无生产废水排放</w:t>
                  </w:r>
                  <w:r>
                    <w:rPr>
                      <w:color w:val="auto"/>
                      <w:szCs w:val="21"/>
                    </w:rPr>
                    <w:t>，冷却水循环使用，不外排至环境水体中，只需定期补充损耗即可</w:t>
                  </w:r>
                  <w:r>
                    <w:rPr>
                      <w:rFonts w:hint="eastAsia"/>
                      <w:color w:val="auto"/>
                      <w:szCs w:val="21"/>
                    </w:rPr>
                    <w:t>，</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生活污水经化粪池处理，定期清掏用作厂区周围农田施肥，不外排。</w:t>
                  </w:r>
                </w:p>
              </w:tc>
              <w:tc>
                <w:tcPr>
                  <w:tcW w:w="1025" w:type="dxa"/>
                  <w:shd w:val="clear" w:color="auto" w:fill="auto"/>
                  <w:vAlign w:val="center"/>
                </w:tcPr>
                <w:p w14:paraId="4BF9DB7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生活污水</w:t>
                  </w:r>
                  <w:r>
                    <w:rPr>
                      <w:rFonts w:hint="eastAsia"/>
                      <w:color w:val="auto"/>
                      <w:szCs w:val="21"/>
                    </w:rPr>
                    <w:t>量增大</w:t>
                  </w:r>
                  <w:r>
                    <w:rPr>
                      <w:rFonts w:hint="eastAsia"/>
                      <w:color w:val="auto"/>
                      <w:szCs w:val="21"/>
                      <w:lang w:eastAsia="zh-CN"/>
                    </w:rPr>
                    <w:t>，处理方式无变更</w:t>
                  </w:r>
                </w:p>
              </w:tc>
            </w:tr>
            <w:tr w14:paraId="15EA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vMerge w:val="continue"/>
                  <w:vAlign w:val="center"/>
                </w:tcPr>
                <w:p w14:paraId="491D733C">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eastAsia" w:ascii="宋体" w:hAnsi="宋体" w:eastAsia="宋体" w:cs="宋体"/>
                      <w:b/>
                      <w:bCs/>
                      <w:snapToGrid/>
                      <w:color w:val="auto"/>
                      <w:spacing w:val="0"/>
                      <w:kern w:val="0"/>
                      <w:position w:val="0"/>
                      <w:sz w:val="30"/>
                      <w:szCs w:val="30"/>
                      <w:vertAlign w:val="baseline"/>
                      <w:lang w:val="en-US" w:eastAsia="zh-CN"/>
                    </w:rPr>
                  </w:pPr>
                </w:p>
              </w:tc>
              <w:tc>
                <w:tcPr>
                  <w:tcW w:w="918" w:type="dxa"/>
                  <w:vAlign w:val="center"/>
                </w:tcPr>
                <w:p w14:paraId="11F44FB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噪声</w:t>
                  </w:r>
                </w:p>
              </w:tc>
              <w:tc>
                <w:tcPr>
                  <w:tcW w:w="1755" w:type="dxa"/>
                  <w:vAlign w:val="center"/>
                </w:tcPr>
                <w:p w14:paraId="4909D75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隔声、消声、减振、设备定期保养</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、绿化</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等</w:t>
                  </w:r>
                </w:p>
              </w:tc>
              <w:tc>
                <w:tcPr>
                  <w:tcW w:w="1953" w:type="dxa"/>
                  <w:vAlign w:val="center"/>
                </w:tcPr>
                <w:p w14:paraId="413DD81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隔声、消声、减振、设备定期保养</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、绿化</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等</w:t>
                  </w:r>
                </w:p>
              </w:tc>
              <w:tc>
                <w:tcPr>
                  <w:tcW w:w="2178" w:type="dxa"/>
                  <w:vAlign w:val="center"/>
                </w:tcPr>
                <w:p w14:paraId="43D781A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隔声、消声、减振、设备定期保养</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、绿化</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等</w:t>
                  </w:r>
                </w:p>
              </w:tc>
              <w:tc>
                <w:tcPr>
                  <w:tcW w:w="1025" w:type="dxa"/>
                  <w:vAlign w:val="center"/>
                </w:tcPr>
                <w:p w14:paraId="6CB1204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扩建</w:t>
                  </w:r>
                </w:p>
                <w:p w14:paraId="42CD37A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新增</w:t>
                  </w:r>
                </w:p>
              </w:tc>
            </w:tr>
            <w:tr w14:paraId="4F51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vMerge w:val="continue"/>
                  <w:vAlign w:val="center"/>
                </w:tcPr>
                <w:p w14:paraId="1162EA3E">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eastAsia" w:ascii="宋体" w:hAnsi="宋体" w:eastAsia="宋体" w:cs="宋体"/>
                      <w:b/>
                      <w:bCs/>
                      <w:snapToGrid/>
                      <w:color w:val="auto"/>
                      <w:spacing w:val="0"/>
                      <w:kern w:val="0"/>
                      <w:position w:val="0"/>
                      <w:sz w:val="30"/>
                      <w:szCs w:val="30"/>
                      <w:vertAlign w:val="baseline"/>
                      <w:lang w:val="en-US" w:eastAsia="zh-CN"/>
                    </w:rPr>
                  </w:pPr>
                </w:p>
              </w:tc>
              <w:tc>
                <w:tcPr>
                  <w:tcW w:w="918" w:type="dxa"/>
                  <w:vMerge w:val="restart"/>
                  <w:vAlign w:val="center"/>
                </w:tcPr>
                <w:p w14:paraId="25554E5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固废</w:t>
                  </w:r>
                </w:p>
              </w:tc>
              <w:tc>
                <w:tcPr>
                  <w:tcW w:w="1755" w:type="dxa"/>
                  <w:vAlign w:val="center"/>
                </w:tcPr>
                <w:p w14:paraId="5D3BC5C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一般工业固体废物：一般工业固体废物暂存</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区</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面积</w:t>
                  </w:r>
                  <w:r>
                    <w:rPr>
                      <w:rFonts w:hint="eastAsia" w:cs="Times New Roman"/>
                      <w:b w:val="0"/>
                      <w:bCs w:val="0"/>
                      <w:snapToGrid/>
                      <w:color w:val="auto"/>
                      <w:spacing w:val="0"/>
                      <w:kern w:val="0"/>
                      <w:position w:val="0"/>
                      <w:sz w:val="21"/>
                      <w:szCs w:val="21"/>
                      <w:vertAlign w:val="baseline"/>
                      <w:lang w:val="en-US" w:eastAsia="zh-CN"/>
                    </w:rPr>
                    <w:t>15</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eastAsia" w:ascii="Times New Roman" w:hAnsi="Times New Roman" w:eastAsia="宋体" w:cs="Times New Roman"/>
                      <w:b w:val="0"/>
                      <w:bCs w:val="0"/>
                      <w:snapToGrid/>
                      <w:color w:val="auto"/>
                      <w:spacing w:val="0"/>
                      <w:kern w:val="0"/>
                      <w:position w:val="0"/>
                      <w:sz w:val="21"/>
                      <w:szCs w:val="21"/>
                      <w:vertAlign w:val="superscript"/>
                      <w:lang w:val="en-US" w:eastAsia="zh-CN"/>
                    </w:rPr>
                    <w:t>2</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位于</w:t>
                  </w:r>
                  <w:r>
                    <w:rPr>
                      <w:rFonts w:hint="eastAsia" w:cs="Times New Roman"/>
                      <w:b w:val="0"/>
                      <w:bCs w:val="0"/>
                      <w:snapToGrid/>
                      <w:color w:val="auto"/>
                      <w:spacing w:val="0"/>
                      <w:kern w:val="0"/>
                      <w:position w:val="0"/>
                      <w:sz w:val="21"/>
                      <w:szCs w:val="21"/>
                      <w:vertAlign w:val="baseline"/>
                      <w:lang w:val="en-US" w:eastAsia="zh-CN"/>
                    </w:rPr>
                    <w:t>3#生产车间外东北</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侧</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w:t>
                  </w:r>
                </w:p>
              </w:tc>
              <w:tc>
                <w:tcPr>
                  <w:tcW w:w="1953" w:type="dxa"/>
                  <w:vAlign w:val="center"/>
                </w:tcPr>
                <w:p w14:paraId="01E4B46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w:t>
                  </w:r>
                </w:p>
              </w:tc>
              <w:tc>
                <w:tcPr>
                  <w:tcW w:w="2178" w:type="dxa"/>
                  <w:vAlign w:val="center"/>
                </w:tcPr>
                <w:p w14:paraId="287129D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一般工业固体废物：一般工业固体废物暂存</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区</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面积</w:t>
                  </w:r>
                  <w:r>
                    <w:rPr>
                      <w:rFonts w:hint="eastAsia" w:cs="Times New Roman"/>
                      <w:b w:val="0"/>
                      <w:bCs w:val="0"/>
                      <w:snapToGrid/>
                      <w:color w:val="auto"/>
                      <w:spacing w:val="0"/>
                      <w:kern w:val="0"/>
                      <w:position w:val="0"/>
                      <w:sz w:val="21"/>
                      <w:szCs w:val="21"/>
                      <w:vertAlign w:val="baseline"/>
                      <w:lang w:val="en-US" w:eastAsia="zh-CN"/>
                    </w:rPr>
                    <w:t>15</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eastAsia" w:ascii="Times New Roman" w:hAnsi="Times New Roman" w:eastAsia="宋体" w:cs="Times New Roman"/>
                      <w:b w:val="0"/>
                      <w:bCs w:val="0"/>
                      <w:snapToGrid/>
                      <w:color w:val="auto"/>
                      <w:spacing w:val="0"/>
                      <w:kern w:val="0"/>
                      <w:position w:val="0"/>
                      <w:sz w:val="21"/>
                      <w:szCs w:val="21"/>
                      <w:vertAlign w:val="superscript"/>
                      <w:lang w:val="en-US" w:eastAsia="zh-CN"/>
                    </w:rPr>
                    <w:t>2</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位于</w:t>
                  </w:r>
                  <w:r>
                    <w:rPr>
                      <w:rFonts w:hint="eastAsia" w:cs="Times New Roman"/>
                      <w:b w:val="0"/>
                      <w:bCs w:val="0"/>
                      <w:snapToGrid/>
                      <w:color w:val="auto"/>
                      <w:spacing w:val="0"/>
                      <w:kern w:val="0"/>
                      <w:position w:val="0"/>
                      <w:sz w:val="21"/>
                      <w:szCs w:val="21"/>
                      <w:vertAlign w:val="baseline"/>
                      <w:lang w:val="en-US" w:eastAsia="zh-CN"/>
                    </w:rPr>
                    <w:t>3#生产车间外东北</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侧</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w:t>
                  </w:r>
                </w:p>
              </w:tc>
              <w:tc>
                <w:tcPr>
                  <w:tcW w:w="1025" w:type="dxa"/>
                  <w:vMerge w:val="restart"/>
                  <w:vAlign w:val="center"/>
                </w:tcPr>
                <w:p w14:paraId="58A319C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依托</w:t>
                  </w:r>
                </w:p>
              </w:tc>
            </w:tr>
            <w:tr w14:paraId="60CC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vMerge w:val="continue"/>
                  <w:vAlign w:val="center"/>
                </w:tcPr>
                <w:p w14:paraId="3B0935DF">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eastAsia" w:ascii="宋体" w:hAnsi="宋体" w:eastAsia="宋体" w:cs="宋体"/>
                      <w:b/>
                      <w:bCs/>
                      <w:snapToGrid/>
                      <w:color w:val="auto"/>
                      <w:spacing w:val="0"/>
                      <w:kern w:val="0"/>
                      <w:position w:val="0"/>
                      <w:sz w:val="30"/>
                      <w:szCs w:val="30"/>
                      <w:vertAlign w:val="baseline"/>
                      <w:lang w:val="en-US" w:eastAsia="zh-CN"/>
                    </w:rPr>
                  </w:pPr>
                </w:p>
              </w:tc>
              <w:tc>
                <w:tcPr>
                  <w:tcW w:w="918" w:type="dxa"/>
                  <w:vMerge w:val="continue"/>
                  <w:vAlign w:val="center"/>
                </w:tcPr>
                <w:p w14:paraId="1295B10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p>
              </w:tc>
              <w:tc>
                <w:tcPr>
                  <w:tcW w:w="1755" w:type="dxa"/>
                  <w:vAlign w:val="center"/>
                </w:tcPr>
                <w:p w14:paraId="4AA9576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危险废物：</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位于</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一般固废间</w:t>
                  </w:r>
                  <w:r>
                    <w:rPr>
                      <w:rFonts w:hint="eastAsia" w:cs="Times New Roman"/>
                      <w:b w:val="0"/>
                      <w:bCs w:val="0"/>
                      <w:snapToGrid/>
                      <w:color w:val="auto"/>
                      <w:spacing w:val="0"/>
                      <w:kern w:val="0"/>
                      <w:position w:val="0"/>
                      <w:sz w:val="21"/>
                      <w:szCs w:val="21"/>
                      <w:vertAlign w:val="baseline"/>
                      <w:lang w:val="en-US" w:eastAsia="zh-CN"/>
                    </w:rPr>
                    <w:t>北侧</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，建筑面积</w:t>
                  </w:r>
                  <w:r>
                    <w:rPr>
                      <w:rFonts w:hint="eastAsia" w:cs="Times New Roman"/>
                      <w:b w:val="0"/>
                      <w:bCs w:val="0"/>
                      <w:snapToGrid/>
                      <w:color w:val="auto"/>
                      <w:spacing w:val="0"/>
                      <w:kern w:val="0"/>
                      <w:position w:val="0"/>
                      <w:sz w:val="21"/>
                      <w:szCs w:val="21"/>
                      <w:vertAlign w:val="baseline"/>
                      <w:lang w:val="en-US" w:eastAsia="zh-CN"/>
                    </w:rPr>
                    <w:t>15</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eastAsia" w:ascii="Times New Roman" w:hAnsi="Times New Roman" w:eastAsia="宋体" w:cs="Times New Roman"/>
                      <w:b w:val="0"/>
                      <w:bCs w:val="0"/>
                      <w:snapToGrid/>
                      <w:color w:val="auto"/>
                      <w:spacing w:val="0"/>
                      <w:kern w:val="0"/>
                      <w:position w:val="0"/>
                      <w:sz w:val="21"/>
                      <w:szCs w:val="21"/>
                      <w:vertAlign w:val="superscript"/>
                      <w:lang w:val="en-US" w:eastAsia="zh-CN"/>
                    </w:rPr>
                    <w:t>2</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，用于暂存存储危险废物，定期交由</w:t>
                  </w:r>
                  <w:r>
                    <w:rPr>
                      <w:rFonts w:hint="eastAsia" w:cs="Times New Roman"/>
                      <w:b w:val="0"/>
                      <w:bCs w:val="0"/>
                      <w:snapToGrid/>
                      <w:color w:val="auto"/>
                      <w:spacing w:val="0"/>
                      <w:kern w:val="0"/>
                      <w:position w:val="0"/>
                      <w:sz w:val="21"/>
                      <w:szCs w:val="21"/>
                      <w:vertAlign w:val="baseline"/>
                      <w:lang w:val="en-US" w:eastAsia="zh-CN"/>
                    </w:rPr>
                    <w:t>有资质单位</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处置。</w:t>
                  </w:r>
                </w:p>
              </w:tc>
              <w:tc>
                <w:tcPr>
                  <w:tcW w:w="1953" w:type="dxa"/>
                  <w:vAlign w:val="center"/>
                </w:tcPr>
                <w:p w14:paraId="6CCD013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w:t>
                  </w:r>
                </w:p>
              </w:tc>
              <w:tc>
                <w:tcPr>
                  <w:tcW w:w="2178" w:type="dxa"/>
                  <w:vAlign w:val="center"/>
                </w:tcPr>
                <w:p w14:paraId="44576C0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危险废物：</w:t>
                  </w: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位于</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一般固废间</w:t>
                  </w:r>
                  <w:r>
                    <w:rPr>
                      <w:rFonts w:hint="eastAsia" w:cs="Times New Roman"/>
                      <w:b w:val="0"/>
                      <w:bCs w:val="0"/>
                      <w:snapToGrid/>
                      <w:color w:val="auto"/>
                      <w:spacing w:val="0"/>
                      <w:kern w:val="0"/>
                      <w:position w:val="0"/>
                      <w:sz w:val="21"/>
                      <w:szCs w:val="21"/>
                      <w:vertAlign w:val="baseline"/>
                      <w:lang w:val="en-US" w:eastAsia="zh-CN"/>
                    </w:rPr>
                    <w:t>北侧</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，建筑面积</w:t>
                  </w:r>
                  <w:r>
                    <w:rPr>
                      <w:rFonts w:hint="eastAsia" w:cs="Times New Roman"/>
                      <w:b w:val="0"/>
                      <w:bCs w:val="0"/>
                      <w:snapToGrid/>
                      <w:color w:val="auto"/>
                      <w:spacing w:val="0"/>
                      <w:kern w:val="0"/>
                      <w:position w:val="0"/>
                      <w:sz w:val="21"/>
                      <w:szCs w:val="21"/>
                      <w:vertAlign w:val="baseline"/>
                      <w:lang w:val="en-US" w:eastAsia="zh-CN"/>
                    </w:rPr>
                    <w:t>15</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eastAsia" w:ascii="Times New Roman" w:hAnsi="Times New Roman" w:eastAsia="宋体" w:cs="Times New Roman"/>
                      <w:b w:val="0"/>
                      <w:bCs w:val="0"/>
                      <w:snapToGrid/>
                      <w:color w:val="auto"/>
                      <w:spacing w:val="0"/>
                      <w:kern w:val="0"/>
                      <w:position w:val="0"/>
                      <w:sz w:val="21"/>
                      <w:szCs w:val="21"/>
                      <w:vertAlign w:val="superscript"/>
                      <w:lang w:val="en-US" w:eastAsia="zh-CN"/>
                    </w:rPr>
                    <w:t>2</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，用于暂存存储危险废物，定期交由</w:t>
                  </w:r>
                  <w:r>
                    <w:rPr>
                      <w:rFonts w:hint="default" w:ascii="Times New Roman" w:hAnsi="Times New Roman" w:eastAsia="宋体" w:cs="Times New Roman"/>
                      <w:color w:val="auto"/>
                      <w:sz w:val="21"/>
                      <w:szCs w:val="21"/>
                      <w:lang w:eastAsia="zh-CN"/>
                    </w:rPr>
                    <w:t>有资质单位</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处置。</w:t>
                  </w:r>
                </w:p>
              </w:tc>
              <w:tc>
                <w:tcPr>
                  <w:tcW w:w="1025" w:type="dxa"/>
                  <w:vMerge w:val="continue"/>
                  <w:vAlign w:val="center"/>
                </w:tcPr>
                <w:p w14:paraId="31CE1EE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pPr>
                </w:p>
              </w:tc>
            </w:tr>
            <w:tr w14:paraId="61628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vMerge w:val="continue"/>
                  <w:vAlign w:val="center"/>
                </w:tcPr>
                <w:p w14:paraId="08C847A2">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eastAsia" w:ascii="宋体" w:hAnsi="宋体" w:eastAsia="宋体" w:cs="宋体"/>
                      <w:b/>
                      <w:bCs/>
                      <w:snapToGrid/>
                      <w:color w:val="auto"/>
                      <w:spacing w:val="0"/>
                      <w:kern w:val="0"/>
                      <w:position w:val="0"/>
                      <w:sz w:val="30"/>
                      <w:szCs w:val="30"/>
                      <w:vertAlign w:val="baseline"/>
                      <w:lang w:val="en-US" w:eastAsia="zh-CN"/>
                    </w:rPr>
                  </w:pPr>
                </w:p>
              </w:tc>
              <w:tc>
                <w:tcPr>
                  <w:tcW w:w="918" w:type="dxa"/>
                  <w:vMerge w:val="continue"/>
                  <w:vAlign w:val="center"/>
                </w:tcPr>
                <w:p w14:paraId="4EE2D28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p>
              </w:tc>
              <w:tc>
                <w:tcPr>
                  <w:tcW w:w="1755" w:type="dxa"/>
                  <w:vAlign w:val="center"/>
                </w:tcPr>
                <w:p w14:paraId="064FE86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生活垃圾：垃圾桶</w:t>
                  </w:r>
                  <w:r>
                    <w:rPr>
                      <w:rFonts w:hint="eastAsia" w:cs="Times New Roman"/>
                      <w:b w:val="0"/>
                      <w:bCs w:val="0"/>
                      <w:snapToGrid/>
                      <w:color w:val="auto"/>
                      <w:spacing w:val="0"/>
                      <w:kern w:val="0"/>
                      <w:position w:val="0"/>
                      <w:sz w:val="21"/>
                      <w:szCs w:val="21"/>
                      <w:vertAlign w:val="baseline"/>
                      <w:lang w:val="en-US" w:eastAsia="zh-CN"/>
                    </w:rPr>
                    <w:t>等</w:t>
                  </w:r>
                </w:p>
              </w:tc>
              <w:tc>
                <w:tcPr>
                  <w:tcW w:w="1953" w:type="dxa"/>
                  <w:vAlign w:val="center"/>
                </w:tcPr>
                <w:p w14:paraId="136C3CD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生活垃圾：垃圾桶</w:t>
                  </w:r>
                  <w:r>
                    <w:rPr>
                      <w:rFonts w:hint="eastAsia" w:cs="Times New Roman"/>
                      <w:b w:val="0"/>
                      <w:bCs w:val="0"/>
                      <w:snapToGrid/>
                      <w:color w:val="auto"/>
                      <w:spacing w:val="0"/>
                      <w:kern w:val="0"/>
                      <w:position w:val="0"/>
                      <w:sz w:val="21"/>
                      <w:szCs w:val="21"/>
                      <w:vertAlign w:val="baseline"/>
                      <w:lang w:val="en-US" w:eastAsia="zh-CN"/>
                    </w:rPr>
                    <w:t>等</w:t>
                  </w:r>
                </w:p>
              </w:tc>
              <w:tc>
                <w:tcPr>
                  <w:tcW w:w="2178" w:type="dxa"/>
                  <w:vAlign w:val="center"/>
                </w:tcPr>
                <w:p w14:paraId="23044F3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生活垃圾：垃圾桶</w:t>
                  </w:r>
                  <w:r>
                    <w:rPr>
                      <w:rFonts w:hint="eastAsia" w:cs="Times New Roman"/>
                      <w:b w:val="0"/>
                      <w:bCs w:val="0"/>
                      <w:snapToGrid/>
                      <w:color w:val="auto"/>
                      <w:spacing w:val="0"/>
                      <w:kern w:val="0"/>
                      <w:position w:val="0"/>
                      <w:sz w:val="21"/>
                      <w:szCs w:val="21"/>
                      <w:vertAlign w:val="baseline"/>
                      <w:lang w:val="en-US" w:eastAsia="zh-CN"/>
                    </w:rPr>
                    <w:t>等</w:t>
                  </w:r>
                </w:p>
              </w:tc>
              <w:tc>
                <w:tcPr>
                  <w:tcW w:w="1025" w:type="dxa"/>
                  <w:vAlign w:val="center"/>
                </w:tcPr>
                <w:p w14:paraId="6FB4212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扩建</w:t>
                  </w:r>
                </w:p>
                <w:p w14:paraId="43610C9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新增</w:t>
                  </w:r>
                </w:p>
              </w:tc>
            </w:tr>
            <w:tr w14:paraId="10B5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vMerge w:val="continue"/>
                  <w:vAlign w:val="center"/>
                </w:tcPr>
                <w:p w14:paraId="27582A4B">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eastAsia" w:ascii="宋体" w:hAnsi="宋体" w:eastAsia="宋体" w:cs="宋体"/>
                      <w:b/>
                      <w:bCs/>
                      <w:snapToGrid/>
                      <w:color w:val="auto"/>
                      <w:spacing w:val="0"/>
                      <w:kern w:val="0"/>
                      <w:position w:val="0"/>
                      <w:sz w:val="30"/>
                      <w:szCs w:val="30"/>
                      <w:vertAlign w:val="baseline"/>
                      <w:lang w:val="en-US" w:eastAsia="zh-CN"/>
                    </w:rPr>
                  </w:pPr>
                </w:p>
              </w:tc>
              <w:tc>
                <w:tcPr>
                  <w:tcW w:w="918" w:type="dxa"/>
                  <w:vAlign w:val="center"/>
                </w:tcPr>
                <w:p w14:paraId="1319D0F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地下水、土壤</w:t>
                  </w:r>
                </w:p>
              </w:tc>
              <w:tc>
                <w:tcPr>
                  <w:tcW w:w="1755" w:type="dxa"/>
                  <w:vAlign w:val="center"/>
                </w:tcPr>
                <w:p w14:paraId="47EFCDF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重点防渗区域，需采取地坪硬化、防渗措施。一般防渗区域采取地面硬化处理。</w:t>
                  </w:r>
                </w:p>
              </w:tc>
              <w:tc>
                <w:tcPr>
                  <w:tcW w:w="1953" w:type="dxa"/>
                  <w:vAlign w:val="center"/>
                </w:tcPr>
                <w:p w14:paraId="4ACD0DE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重点防渗区域，需采取地坪硬化、防渗措施。一般防渗区域采取地面硬化处理。</w:t>
                  </w:r>
                </w:p>
              </w:tc>
              <w:tc>
                <w:tcPr>
                  <w:tcW w:w="2178" w:type="dxa"/>
                  <w:vAlign w:val="center"/>
                </w:tcPr>
                <w:p w14:paraId="5488814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重点防渗区域，需采取地坪硬化、防渗措施。一般防渗区域采取地面硬化处理。</w:t>
                  </w:r>
                </w:p>
              </w:tc>
              <w:tc>
                <w:tcPr>
                  <w:tcW w:w="1025" w:type="dxa"/>
                  <w:vAlign w:val="center"/>
                </w:tcPr>
                <w:p w14:paraId="739C399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扩建</w:t>
                  </w:r>
                </w:p>
                <w:p w14:paraId="35758C5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新增</w:t>
                  </w:r>
                </w:p>
              </w:tc>
            </w:tr>
            <w:tr w14:paraId="445E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dxa"/>
                  <w:vMerge w:val="continue"/>
                  <w:vAlign w:val="center"/>
                </w:tcPr>
                <w:p w14:paraId="51B206C7">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eastAsia" w:ascii="宋体" w:hAnsi="宋体" w:eastAsia="宋体" w:cs="宋体"/>
                      <w:b/>
                      <w:bCs/>
                      <w:snapToGrid/>
                      <w:color w:val="auto"/>
                      <w:spacing w:val="0"/>
                      <w:kern w:val="0"/>
                      <w:position w:val="0"/>
                      <w:sz w:val="30"/>
                      <w:szCs w:val="30"/>
                      <w:vertAlign w:val="baseline"/>
                      <w:lang w:val="en-US" w:eastAsia="zh-CN"/>
                    </w:rPr>
                  </w:pPr>
                </w:p>
              </w:tc>
              <w:tc>
                <w:tcPr>
                  <w:tcW w:w="918" w:type="dxa"/>
                  <w:vAlign w:val="center"/>
                </w:tcPr>
                <w:p w14:paraId="60AEF7E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风险</w:t>
                  </w:r>
                </w:p>
              </w:tc>
              <w:tc>
                <w:tcPr>
                  <w:tcW w:w="1755" w:type="dxa"/>
                  <w:vAlign w:val="center"/>
                </w:tcPr>
                <w:p w14:paraId="273F0A5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设置室外消火栓、灭火器、制定风险应急预案等。</w:t>
                  </w:r>
                </w:p>
              </w:tc>
              <w:tc>
                <w:tcPr>
                  <w:tcW w:w="1953" w:type="dxa"/>
                  <w:vAlign w:val="center"/>
                </w:tcPr>
                <w:p w14:paraId="3F61290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设置室外消火栓、灭火器、制定风险应急预案等。</w:t>
                  </w:r>
                </w:p>
              </w:tc>
              <w:tc>
                <w:tcPr>
                  <w:tcW w:w="2178" w:type="dxa"/>
                  <w:vAlign w:val="center"/>
                </w:tcPr>
                <w:p w14:paraId="3AAB0D1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设置室外消火栓、灭火器、制定风险应急预案等。</w:t>
                  </w:r>
                </w:p>
              </w:tc>
              <w:tc>
                <w:tcPr>
                  <w:tcW w:w="1025" w:type="dxa"/>
                  <w:vAlign w:val="center"/>
                </w:tcPr>
                <w:p w14:paraId="0E5B64C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扩建</w:t>
                  </w:r>
                </w:p>
                <w:p w14:paraId="651B7B7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新增</w:t>
                  </w:r>
                </w:p>
              </w:tc>
            </w:tr>
          </w:tbl>
          <w:p w14:paraId="2E80AE51">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ascii="宋体" w:hAnsi="宋体" w:cs="宋体"/>
                <w:b/>
                <w:bCs/>
                <w:color w:val="auto"/>
                <w:sz w:val="24"/>
                <w:lang w:val="en-US" w:eastAsia="zh-CN"/>
              </w:rPr>
            </w:pPr>
            <w:r>
              <w:rPr>
                <w:rFonts w:hint="eastAsia" w:ascii="宋体" w:hAnsi="宋体" w:cs="宋体"/>
                <w:b/>
                <w:bCs/>
                <w:color w:val="auto"/>
                <w:sz w:val="24"/>
                <w:lang w:val="en-US" w:eastAsia="zh-CN"/>
              </w:rPr>
              <w:t>依托可行性分析：</w:t>
            </w:r>
          </w:p>
          <w:p w14:paraId="32B623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lang w:val="en-US" w:eastAsia="zh-CN"/>
              </w:rPr>
            </w:pPr>
            <w:r>
              <w:rPr>
                <w:rFonts w:hint="eastAsia" w:cs="Times New Roman"/>
                <w:color w:val="auto"/>
                <w:sz w:val="24"/>
                <w:lang w:val="en-US" w:eastAsia="zh-CN"/>
              </w:rPr>
              <w:t>废气处理措施依托可行性：</w:t>
            </w:r>
            <w:r>
              <w:rPr>
                <w:rFonts w:hint="default" w:ascii="Times New Roman" w:hAnsi="Times New Roman" w:eastAsia="宋体" w:cs="Times New Roman"/>
                <w:b w:val="0"/>
                <w:bCs w:val="0"/>
                <w:snapToGrid w:val="0"/>
                <w:color w:val="auto"/>
                <w:kern w:val="2"/>
                <w:sz w:val="24"/>
                <w:szCs w:val="24"/>
                <w:lang w:val="en-US" w:eastAsia="zh-CN"/>
              </w:rPr>
              <w:t>扩建</w:t>
            </w:r>
            <w:r>
              <w:rPr>
                <w:rFonts w:hint="eastAsia" w:cs="Times New Roman"/>
                <w:b w:val="0"/>
                <w:bCs w:val="0"/>
                <w:snapToGrid w:val="0"/>
                <w:color w:val="auto"/>
                <w:kern w:val="2"/>
                <w:sz w:val="24"/>
                <w:szCs w:val="24"/>
                <w:lang w:val="en-US" w:eastAsia="zh-CN"/>
              </w:rPr>
              <w:t>工程</w:t>
            </w:r>
            <w:r>
              <w:rPr>
                <w:rFonts w:hint="eastAsia" w:ascii="Times New Roman" w:hAnsi="Times New Roman" w:eastAsia="宋体" w:cs="Times New Roman"/>
                <w:color w:val="auto"/>
                <w:sz w:val="24"/>
                <w:lang w:eastAsia="zh-CN"/>
              </w:rPr>
              <w:t>混合废气</w:t>
            </w:r>
            <w:r>
              <w:rPr>
                <w:rFonts w:hint="default" w:ascii="Times New Roman" w:hAnsi="Times New Roman" w:eastAsia="宋体" w:cs="Times New Roman"/>
                <w:color w:val="auto"/>
                <w:sz w:val="24"/>
                <w:lang w:val="en-US" w:eastAsia="zh-CN"/>
              </w:rPr>
              <w:t>经集气罩收集后和</w:t>
            </w:r>
            <w:r>
              <w:rPr>
                <w:rFonts w:hint="default" w:ascii="Times New Roman" w:hAnsi="Times New Roman" w:eastAsia="宋体" w:cs="Times New Roman"/>
                <w:color w:val="auto"/>
                <w:sz w:val="24"/>
                <w:lang w:eastAsia="zh-CN"/>
              </w:rPr>
              <w:t>现有工程</w:t>
            </w:r>
            <w:r>
              <w:rPr>
                <w:rFonts w:hint="eastAsia" w:ascii="Times New Roman" w:hAnsi="Times New Roman" w:eastAsia="宋体" w:cs="Times New Roman"/>
                <w:color w:val="auto"/>
                <w:sz w:val="24"/>
                <w:lang w:val="en-US" w:eastAsia="zh-CN"/>
              </w:rPr>
              <w:t>混合</w:t>
            </w:r>
            <w:r>
              <w:rPr>
                <w:rFonts w:hint="eastAsia" w:ascii="Times New Roman" w:hAnsi="Times New Roman" w:eastAsia="宋体" w:cs="Times New Roman"/>
                <w:color w:val="auto"/>
                <w:sz w:val="24"/>
                <w:lang w:eastAsia="zh-CN"/>
              </w:rPr>
              <w:t>废气</w:t>
            </w:r>
            <w:r>
              <w:rPr>
                <w:rFonts w:hint="default" w:ascii="Times New Roman" w:hAnsi="Times New Roman" w:eastAsia="宋体" w:cs="Times New Roman"/>
                <w:color w:val="auto"/>
                <w:sz w:val="24"/>
                <w:lang w:val="en-US" w:eastAsia="zh-CN"/>
              </w:rPr>
              <w:t>一同汇入布袋除尘器处理，处理后尾气通过一个15m高排气筒（DA001）排放</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b w:val="0"/>
                <w:bCs w:val="0"/>
                <w:snapToGrid w:val="0"/>
                <w:color w:val="auto"/>
                <w:kern w:val="2"/>
                <w:sz w:val="24"/>
                <w:szCs w:val="24"/>
                <w:lang w:val="en-US" w:eastAsia="zh-CN"/>
              </w:rPr>
              <w:t>扩建</w:t>
            </w:r>
            <w:r>
              <w:rPr>
                <w:rFonts w:hint="eastAsia" w:cs="Times New Roman"/>
                <w:b w:val="0"/>
                <w:bCs w:val="0"/>
                <w:snapToGrid w:val="0"/>
                <w:color w:val="auto"/>
                <w:kern w:val="2"/>
                <w:sz w:val="24"/>
                <w:szCs w:val="24"/>
                <w:lang w:val="en-US" w:eastAsia="zh-CN"/>
              </w:rPr>
              <w:t>工程</w:t>
            </w:r>
            <w:r>
              <w:rPr>
                <w:rFonts w:hint="eastAsia" w:ascii="Times New Roman" w:hAnsi="Times New Roman" w:eastAsia="宋体" w:cs="Times New Roman"/>
                <w:color w:val="auto"/>
                <w:sz w:val="24"/>
                <w:lang w:val="en-US" w:eastAsia="zh-CN"/>
              </w:rPr>
              <w:t>加热</w:t>
            </w:r>
            <w:r>
              <w:rPr>
                <w:rFonts w:hint="eastAsia" w:ascii="Times New Roman" w:hAnsi="Times New Roman" w:eastAsia="宋体" w:cs="Times New Roman"/>
                <w:color w:val="auto"/>
                <w:sz w:val="24"/>
                <w:lang w:eastAsia="zh-CN"/>
              </w:rPr>
              <w:t>废气</w:t>
            </w:r>
            <w:r>
              <w:rPr>
                <w:rFonts w:hint="default" w:ascii="Times New Roman" w:hAnsi="Times New Roman" w:eastAsia="宋体" w:cs="Times New Roman"/>
                <w:color w:val="auto"/>
                <w:sz w:val="24"/>
                <w:lang w:val="en-US" w:eastAsia="zh-CN"/>
              </w:rPr>
              <w:t>经集气罩收集后和</w:t>
            </w:r>
            <w:r>
              <w:rPr>
                <w:rFonts w:hint="default" w:ascii="Times New Roman" w:hAnsi="Times New Roman" w:eastAsia="宋体" w:cs="Times New Roman"/>
                <w:color w:val="auto"/>
                <w:sz w:val="24"/>
                <w:lang w:eastAsia="zh-CN"/>
              </w:rPr>
              <w:t>现有工程的</w:t>
            </w:r>
            <w:r>
              <w:rPr>
                <w:rFonts w:hint="eastAsia" w:ascii="Times New Roman" w:hAnsi="Times New Roman" w:eastAsia="宋体" w:cs="Times New Roman"/>
                <w:color w:val="auto"/>
                <w:sz w:val="24"/>
                <w:lang w:val="en-US" w:eastAsia="zh-CN"/>
              </w:rPr>
              <w:t>加热</w:t>
            </w:r>
            <w:r>
              <w:rPr>
                <w:rFonts w:hint="eastAsia" w:ascii="Times New Roman" w:hAnsi="Times New Roman" w:eastAsia="宋体" w:cs="Times New Roman"/>
                <w:color w:val="auto"/>
                <w:sz w:val="24"/>
                <w:lang w:eastAsia="zh-CN"/>
              </w:rPr>
              <w:t>废气</w:t>
            </w:r>
            <w:r>
              <w:rPr>
                <w:rFonts w:hint="default" w:ascii="Times New Roman" w:hAnsi="Times New Roman" w:eastAsia="宋体" w:cs="Times New Roman"/>
                <w:color w:val="auto"/>
                <w:sz w:val="24"/>
                <w:lang w:val="en-US" w:eastAsia="zh-CN"/>
              </w:rPr>
              <w:t>一同汇入</w:t>
            </w:r>
            <w:r>
              <w:rPr>
                <w:rFonts w:hint="eastAsia" w:ascii="Times New Roman" w:hAnsi="Times New Roman" w:eastAsia="宋体" w:cs="Times New Roman"/>
                <w:color w:val="auto"/>
                <w:sz w:val="24"/>
                <w:lang w:val="en-US" w:eastAsia="zh-CN"/>
              </w:rPr>
              <w:t>二级活性炭吸附装置</w:t>
            </w:r>
            <w:r>
              <w:rPr>
                <w:rFonts w:hint="default" w:ascii="Times New Roman" w:hAnsi="Times New Roman" w:eastAsia="宋体" w:cs="Times New Roman"/>
                <w:color w:val="auto"/>
                <w:sz w:val="24"/>
                <w:lang w:val="en-US" w:eastAsia="zh-CN"/>
              </w:rPr>
              <w:t>处理，处理后尾气通过一个15m高排气筒（DA00</w:t>
            </w:r>
            <w:r>
              <w:rPr>
                <w:rFonts w:hint="eastAsia" w:cs="Times New Roman"/>
                <w:color w:val="auto"/>
                <w:sz w:val="24"/>
                <w:lang w:val="en-US" w:eastAsia="zh-CN"/>
              </w:rPr>
              <w:t>2</w:t>
            </w:r>
            <w:r>
              <w:rPr>
                <w:rFonts w:hint="default" w:ascii="Times New Roman" w:hAnsi="Times New Roman" w:eastAsia="宋体" w:cs="Times New Roman"/>
                <w:color w:val="auto"/>
                <w:sz w:val="24"/>
                <w:lang w:val="en-US" w:eastAsia="zh-CN"/>
              </w:rPr>
              <w:t>）排放</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b w:val="0"/>
                <w:bCs w:val="0"/>
                <w:snapToGrid w:val="0"/>
                <w:color w:val="auto"/>
                <w:kern w:val="2"/>
                <w:sz w:val="24"/>
                <w:szCs w:val="24"/>
                <w:lang w:val="en-US" w:eastAsia="zh-CN"/>
              </w:rPr>
              <w:t>扩建</w:t>
            </w:r>
            <w:r>
              <w:rPr>
                <w:rFonts w:hint="eastAsia" w:cs="Times New Roman"/>
                <w:b w:val="0"/>
                <w:bCs w:val="0"/>
                <w:snapToGrid w:val="0"/>
                <w:color w:val="auto"/>
                <w:kern w:val="2"/>
                <w:sz w:val="24"/>
                <w:szCs w:val="24"/>
                <w:lang w:val="en-US" w:eastAsia="zh-CN"/>
              </w:rPr>
              <w:t>工程的</w:t>
            </w:r>
            <w:r>
              <w:rPr>
                <w:rFonts w:hint="eastAsia" w:ascii="Times New Roman" w:hAnsi="Times New Roman" w:eastAsia="宋体" w:cs="Times New Roman"/>
                <w:b w:val="0"/>
                <w:bCs w:val="0"/>
                <w:snapToGrid w:val="0"/>
                <w:color w:val="auto"/>
                <w:kern w:val="2"/>
                <w:sz w:val="24"/>
                <w:szCs w:val="24"/>
                <w:lang w:val="en-US" w:eastAsia="zh-CN"/>
              </w:rPr>
              <w:t>1#</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w:t>
            </w:r>
            <w:r>
              <w:rPr>
                <w:rFonts w:hint="eastAsia" w:ascii="Times New Roman" w:hAnsi="Times New Roman" w:eastAsia="宋体" w:cs="Times New Roman"/>
                <w:color w:val="auto"/>
                <w:sz w:val="24"/>
                <w:lang w:eastAsia="zh-CN"/>
              </w:rPr>
              <w:t>废气</w:t>
            </w:r>
            <w:r>
              <w:rPr>
                <w:rFonts w:hint="default" w:ascii="Times New Roman" w:hAnsi="Times New Roman" w:eastAsia="宋体" w:cs="Times New Roman"/>
                <w:color w:val="auto"/>
                <w:sz w:val="24"/>
                <w:szCs w:val="24"/>
                <w:lang w:val="en-US" w:eastAsia="zh-CN"/>
              </w:rPr>
              <w:t>经集气罩收集后和</w:t>
            </w:r>
            <w:r>
              <w:rPr>
                <w:rFonts w:hint="default" w:ascii="Times New Roman" w:hAnsi="Times New Roman" w:eastAsia="宋体" w:cs="Times New Roman"/>
                <w:color w:val="auto"/>
                <w:sz w:val="24"/>
                <w:szCs w:val="24"/>
                <w:lang w:eastAsia="zh-CN"/>
              </w:rPr>
              <w:t>现有工程的</w:t>
            </w:r>
            <w:r>
              <w:rPr>
                <w:rFonts w:hint="eastAsia" w:ascii="Times New Roman" w:hAnsi="Times New Roman" w:eastAsia="宋体" w:cs="Times New Roman"/>
                <w:b w:val="0"/>
                <w:bCs w:val="0"/>
                <w:snapToGrid w:val="0"/>
                <w:color w:val="auto"/>
                <w:kern w:val="2"/>
                <w:sz w:val="24"/>
                <w:szCs w:val="24"/>
                <w:lang w:val="en-US" w:eastAsia="zh-CN"/>
              </w:rPr>
              <w:t>1#</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w:t>
            </w:r>
            <w:r>
              <w:rPr>
                <w:rFonts w:hint="eastAsia" w:ascii="Times New Roman" w:hAnsi="Times New Roman" w:eastAsia="宋体" w:cs="Times New Roman"/>
                <w:color w:val="auto"/>
                <w:sz w:val="24"/>
                <w:lang w:eastAsia="zh-CN"/>
              </w:rPr>
              <w:t>废气</w:t>
            </w:r>
            <w:r>
              <w:rPr>
                <w:rFonts w:hint="default" w:ascii="Times New Roman" w:hAnsi="Times New Roman" w:eastAsia="宋体" w:cs="Times New Roman"/>
                <w:color w:val="auto"/>
                <w:sz w:val="24"/>
                <w:szCs w:val="24"/>
                <w:lang w:val="en-US" w:eastAsia="zh-CN"/>
              </w:rPr>
              <w:t>一同汇入</w:t>
            </w:r>
            <w:r>
              <w:rPr>
                <w:rFonts w:hint="eastAsia" w:ascii="Times New Roman" w:hAnsi="Times New Roman" w:eastAsia="宋体" w:cs="Times New Roman"/>
                <w:color w:val="auto"/>
                <w:sz w:val="24"/>
                <w:szCs w:val="24"/>
                <w:lang w:val="en-US" w:eastAsia="zh-CN"/>
              </w:rPr>
              <w:t>二级活性炭吸附装置</w:t>
            </w:r>
            <w:r>
              <w:rPr>
                <w:rFonts w:hint="default" w:ascii="Times New Roman" w:hAnsi="Times New Roman" w:eastAsia="宋体" w:cs="Times New Roman"/>
                <w:color w:val="auto"/>
                <w:sz w:val="24"/>
                <w:szCs w:val="24"/>
                <w:lang w:val="en-US" w:eastAsia="zh-CN"/>
              </w:rPr>
              <w:t>处理</w:t>
            </w:r>
            <w:r>
              <w:rPr>
                <w:rFonts w:hint="eastAsia" w:cs="Times New Roman"/>
                <w:color w:val="auto"/>
                <w:sz w:val="24"/>
                <w:szCs w:val="24"/>
                <w:lang w:val="en-US" w:eastAsia="zh-CN"/>
              </w:rPr>
              <w:t>，且固化废气经集气罩收集后并入1#注塑、脱胶废气</w:t>
            </w:r>
            <w:r>
              <w:rPr>
                <w:rFonts w:hint="default" w:ascii="Times New Roman" w:hAnsi="Times New Roman" w:eastAsia="宋体" w:cs="Times New Roman"/>
                <w:color w:val="auto"/>
                <w:sz w:val="24"/>
                <w:szCs w:val="24"/>
                <w:lang w:val="en-US" w:eastAsia="zh-CN"/>
              </w:rPr>
              <w:t>汇入</w:t>
            </w:r>
            <w:r>
              <w:rPr>
                <w:rFonts w:hint="eastAsia" w:ascii="Times New Roman" w:hAnsi="Times New Roman" w:eastAsia="宋体" w:cs="Times New Roman"/>
                <w:color w:val="auto"/>
                <w:sz w:val="24"/>
                <w:szCs w:val="24"/>
                <w:lang w:val="en-US" w:eastAsia="zh-CN"/>
              </w:rPr>
              <w:t>二级活性炭吸附装置</w:t>
            </w:r>
            <w:r>
              <w:rPr>
                <w:rFonts w:hint="default" w:ascii="Times New Roman" w:hAnsi="Times New Roman" w:eastAsia="宋体" w:cs="Times New Roman"/>
                <w:color w:val="auto"/>
                <w:sz w:val="24"/>
                <w:szCs w:val="24"/>
                <w:lang w:val="en-US" w:eastAsia="zh-CN"/>
              </w:rPr>
              <w:t>处理，处理后尾气通过一个15m高排气筒（DA00</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）排放</w:t>
            </w:r>
            <w:r>
              <w:rPr>
                <w:rFonts w:hint="eastAsia" w:cs="Times New Roman"/>
                <w:color w:val="auto"/>
                <w:sz w:val="24"/>
                <w:szCs w:val="24"/>
                <w:lang w:val="en-US" w:eastAsia="zh-CN"/>
              </w:rPr>
              <w:t>，</w:t>
            </w:r>
            <w:r>
              <w:rPr>
                <w:rFonts w:hint="default" w:ascii="Times New Roman" w:hAnsi="Times New Roman" w:eastAsia="宋体" w:cs="Times New Roman"/>
                <w:b w:val="0"/>
                <w:bCs w:val="0"/>
                <w:snapToGrid w:val="0"/>
                <w:color w:val="auto"/>
                <w:kern w:val="2"/>
                <w:sz w:val="24"/>
                <w:szCs w:val="24"/>
                <w:lang w:val="en-US" w:eastAsia="zh-CN"/>
              </w:rPr>
              <w:t>扩建</w:t>
            </w:r>
            <w:r>
              <w:rPr>
                <w:rFonts w:hint="eastAsia" w:cs="Times New Roman"/>
                <w:b w:val="0"/>
                <w:bCs w:val="0"/>
                <w:snapToGrid w:val="0"/>
                <w:color w:val="auto"/>
                <w:kern w:val="2"/>
                <w:sz w:val="24"/>
                <w:szCs w:val="24"/>
                <w:lang w:val="en-US" w:eastAsia="zh-CN"/>
              </w:rPr>
              <w:t>工程的2</w:t>
            </w:r>
            <w:r>
              <w:rPr>
                <w:rFonts w:hint="eastAsia" w:ascii="Times New Roman" w:hAnsi="Times New Roman" w:eastAsia="宋体" w:cs="Times New Roman"/>
                <w:b w:val="0"/>
                <w:bCs w:val="0"/>
                <w:snapToGrid w:val="0"/>
                <w:color w:val="auto"/>
                <w:kern w:val="2"/>
                <w:sz w:val="24"/>
                <w:szCs w:val="24"/>
                <w:lang w:val="en-US" w:eastAsia="zh-CN"/>
              </w:rPr>
              <w:t>#</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w:t>
            </w:r>
            <w:r>
              <w:rPr>
                <w:rFonts w:hint="eastAsia" w:ascii="Times New Roman" w:hAnsi="Times New Roman" w:eastAsia="宋体" w:cs="Times New Roman"/>
                <w:color w:val="auto"/>
                <w:sz w:val="24"/>
                <w:lang w:eastAsia="zh-CN"/>
              </w:rPr>
              <w:t>废气</w:t>
            </w:r>
            <w:r>
              <w:rPr>
                <w:rFonts w:hint="default" w:ascii="Times New Roman" w:hAnsi="Times New Roman" w:eastAsia="宋体" w:cs="Times New Roman"/>
                <w:color w:val="auto"/>
                <w:sz w:val="24"/>
                <w:szCs w:val="24"/>
                <w:lang w:val="en-US" w:eastAsia="zh-CN"/>
              </w:rPr>
              <w:t>经集气罩收集后和</w:t>
            </w:r>
            <w:r>
              <w:rPr>
                <w:rFonts w:hint="default" w:ascii="Times New Roman" w:hAnsi="Times New Roman" w:eastAsia="宋体" w:cs="Times New Roman"/>
                <w:color w:val="auto"/>
                <w:sz w:val="24"/>
                <w:szCs w:val="24"/>
                <w:lang w:eastAsia="zh-CN"/>
              </w:rPr>
              <w:t>现有工程的</w:t>
            </w:r>
            <w:r>
              <w:rPr>
                <w:rFonts w:hint="eastAsia" w:cs="Times New Roman"/>
                <w:b w:val="0"/>
                <w:bCs w:val="0"/>
                <w:snapToGrid w:val="0"/>
                <w:color w:val="auto"/>
                <w:kern w:val="2"/>
                <w:sz w:val="24"/>
                <w:szCs w:val="24"/>
                <w:lang w:val="en-US" w:eastAsia="zh-CN"/>
              </w:rPr>
              <w:t>2</w:t>
            </w:r>
            <w:r>
              <w:rPr>
                <w:rFonts w:hint="eastAsia" w:ascii="Times New Roman" w:hAnsi="Times New Roman" w:eastAsia="宋体" w:cs="Times New Roman"/>
                <w:b w:val="0"/>
                <w:bCs w:val="0"/>
                <w:snapToGrid w:val="0"/>
                <w:color w:val="auto"/>
                <w:kern w:val="2"/>
                <w:sz w:val="24"/>
                <w:szCs w:val="24"/>
                <w:lang w:val="en-US" w:eastAsia="zh-CN"/>
              </w:rPr>
              <w:t>#</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w:t>
            </w:r>
            <w:r>
              <w:rPr>
                <w:rFonts w:hint="eastAsia" w:ascii="Times New Roman" w:hAnsi="Times New Roman" w:eastAsia="宋体" w:cs="Times New Roman"/>
                <w:color w:val="auto"/>
                <w:sz w:val="24"/>
                <w:lang w:eastAsia="zh-CN"/>
              </w:rPr>
              <w:t>废气</w:t>
            </w:r>
            <w:r>
              <w:rPr>
                <w:rFonts w:hint="default" w:ascii="Times New Roman" w:hAnsi="Times New Roman" w:eastAsia="宋体" w:cs="Times New Roman"/>
                <w:color w:val="auto"/>
                <w:sz w:val="24"/>
                <w:szCs w:val="24"/>
                <w:lang w:val="en-US" w:eastAsia="zh-CN"/>
              </w:rPr>
              <w:t>一同汇入</w:t>
            </w:r>
            <w:r>
              <w:rPr>
                <w:rFonts w:hint="eastAsia" w:ascii="Times New Roman" w:hAnsi="Times New Roman" w:eastAsia="宋体" w:cs="Times New Roman"/>
                <w:color w:val="auto"/>
                <w:sz w:val="24"/>
                <w:szCs w:val="24"/>
                <w:lang w:val="en-US" w:eastAsia="zh-CN"/>
              </w:rPr>
              <w:t>二级活性炭吸附装置</w:t>
            </w:r>
            <w:r>
              <w:rPr>
                <w:rFonts w:hint="default" w:ascii="Times New Roman" w:hAnsi="Times New Roman" w:eastAsia="宋体" w:cs="Times New Roman"/>
                <w:color w:val="auto"/>
                <w:sz w:val="24"/>
                <w:szCs w:val="24"/>
                <w:lang w:val="en-US" w:eastAsia="zh-CN"/>
              </w:rPr>
              <w:t>处理，处理后尾气通过一个15m高排气筒（DA00</w:t>
            </w: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）排放</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b w:val="0"/>
                <w:bCs w:val="0"/>
                <w:color w:val="auto"/>
                <w:sz w:val="24"/>
                <w:szCs w:val="24"/>
                <w:highlight w:val="none"/>
                <w:lang w:val="en-US" w:eastAsia="zh-CN"/>
              </w:rPr>
              <w:t>喷塑</w:t>
            </w:r>
            <w:r>
              <w:rPr>
                <w:rFonts w:hint="eastAsia" w:ascii="Times New Roman" w:hAnsi="Times New Roman" w:eastAsia="宋体" w:cs="Times New Roman"/>
                <w:color w:val="auto"/>
                <w:sz w:val="24"/>
                <w:lang w:eastAsia="zh-CN"/>
              </w:rPr>
              <w:t>废气</w:t>
            </w:r>
            <w:r>
              <w:rPr>
                <w:rFonts w:hint="eastAsia" w:cs="Times New Roman"/>
                <w:b w:val="0"/>
                <w:bCs w:val="0"/>
                <w:color w:val="auto"/>
                <w:sz w:val="24"/>
                <w:szCs w:val="24"/>
                <w:highlight w:val="none"/>
                <w:lang w:val="en-US" w:eastAsia="zh-CN"/>
              </w:rPr>
              <w:t>经侧向集气罩收集后</w:t>
            </w:r>
            <w:r>
              <w:rPr>
                <w:rFonts w:hint="eastAsia" w:cs="Times New Roman"/>
                <w:b w:val="0"/>
                <w:bCs w:val="0"/>
                <w:color w:val="auto"/>
                <w:spacing w:val="-2"/>
                <w:sz w:val="24"/>
                <w:szCs w:val="24"/>
                <w:highlight w:val="none"/>
                <w:lang w:val="en-US" w:eastAsia="zh-CN"/>
              </w:rPr>
              <w:t>通过布袋除尘器处理</w:t>
            </w:r>
            <w:r>
              <w:rPr>
                <w:rFonts w:hint="default" w:ascii="Times New Roman" w:hAnsi="Times New Roman" w:eastAsia="宋体" w:cs="Times New Roman"/>
                <w:b w:val="0"/>
                <w:bCs w:val="0"/>
                <w:color w:val="auto"/>
                <w:sz w:val="24"/>
                <w:szCs w:val="24"/>
                <w:highlight w:val="none"/>
                <w:lang w:val="en-US" w:eastAsia="zh-CN"/>
              </w:rPr>
              <w:t>，处理后的尾气</w:t>
            </w:r>
            <w:r>
              <w:rPr>
                <w:rFonts w:hint="eastAsia" w:cs="Times New Roman"/>
                <w:b w:val="0"/>
                <w:bCs w:val="0"/>
                <w:color w:val="auto"/>
                <w:sz w:val="24"/>
                <w:szCs w:val="24"/>
                <w:highlight w:val="none"/>
                <w:lang w:val="en-US" w:eastAsia="zh-CN"/>
              </w:rPr>
              <w:t>依托原有15</w:t>
            </w:r>
            <w:r>
              <w:rPr>
                <w:rFonts w:hint="default" w:ascii="Times New Roman" w:hAnsi="Times New Roman" w:eastAsia="宋体" w:cs="Times New Roman"/>
                <w:b w:val="0"/>
                <w:bCs w:val="0"/>
                <w:color w:val="auto"/>
                <w:sz w:val="24"/>
                <w:szCs w:val="24"/>
                <w:highlight w:val="none"/>
                <w:lang w:val="en-US" w:eastAsia="zh-CN"/>
              </w:rPr>
              <w:t>m高排气筒（DA00</w:t>
            </w:r>
            <w:r>
              <w:rPr>
                <w:rFonts w:hint="eastAsia" w:ascii="Times New Roman" w:hAnsi="Times New Roman" w:eastAsia="宋体" w:cs="Times New Roman"/>
                <w:b w:val="0"/>
                <w:bCs w:val="0"/>
                <w:color w:val="auto"/>
                <w:sz w:val="24"/>
                <w:szCs w:val="24"/>
                <w:highlight w:val="none"/>
                <w:lang w:val="en-US" w:eastAsia="zh-CN"/>
              </w:rPr>
              <w:t>5</w:t>
            </w:r>
            <w:r>
              <w:rPr>
                <w:rFonts w:hint="default" w:ascii="Times New Roman" w:hAnsi="Times New Roman" w:eastAsia="宋体" w:cs="Times New Roman"/>
                <w:b w:val="0"/>
                <w:bCs w:val="0"/>
                <w:color w:val="auto"/>
                <w:sz w:val="24"/>
                <w:szCs w:val="24"/>
                <w:highlight w:val="none"/>
                <w:lang w:val="en-US" w:eastAsia="zh-CN"/>
              </w:rPr>
              <w:t>）排放</w:t>
            </w:r>
            <w:r>
              <w:rPr>
                <w:rFonts w:hint="eastAsia" w:cs="Times New Roman"/>
                <w:b w:val="0"/>
                <w:bCs w:val="0"/>
                <w:color w:val="auto"/>
                <w:sz w:val="24"/>
                <w:szCs w:val="24"/>
                <w:highlight w:val="none"/>
                <w:lang w:val="en-US" w:eastAsia="zh-CN"/>
              </w:rPr>
              <w:t>，废气处理设施的电机功率、风量不变</w:t>
            </w:r>
            <w:r>
              <w:rPr>
                <w:rFonts w:hint="default" w:ascii="Times New Roman" w:hAnsi="Times New Roman" w:cs="Times New Roman"/>
                <w:color w:val="auto"/>
                <w:sz w:val="24"/>
                <w:lang w:val="en-US" w:eastAsia="zh-CN"/>
              </w:rPr>
              <w:t>。</w:t>
            </w:r>
            <w:r>
              <w:rPr>
                <w:rFonts w:hint="eastAsia" w:ascii="Times New Roman" w:hAnsi="Times New Roman" w:eastAsia="宋体" w:cs="Times New Roman"/>
                <w:color w:val="auto"/>
                <w:sz w:val="24"/>
                <w:szCs w:val="24"/>
                <w:lang w:val="en-US" w:eastAsia="zh-CN"/>
              </w:rPr>
              <w:t>本项目</w:t>
            </w:r>
            <w:r>
              <w:rPr>
                <w:rFonts w:hint="eastAsia" w:ascii="Times New Roman" w:hAnsi="Times New Roman" w:eastAsia="宋体" w:cs="Times New Roman"/>
                <w:color w:val="auto"/>
                <w:sz w:val="24"/>
                <w:lang w:val="en-US" w:eastAsia="zh-CN"/>
              </w:rPr>
              <w:t>混合</w:t>
            </w:r>
            <w:r>
              <w:rPr>
                <w:rFonts w:hint="eastAsia" w:cs="Times New Roman"/>
                <w:color w:val="auto"/>
                <w:sz w:val="24"/>
                <w:lang w:val="en-US" w:eastAsia="zh-CN"/>
              </w:rPr>
              <w:t>废气、加热废气、喷塑废气有组织</w:t>
            </w:r>
            <w:r>
              <w:rPr>
                <w:rFonts w:hint="default" w:ascii="Times New Roman" w:hAnsi="Times New Roman" w:eastAsia="宋体" w:cs="Times New Roman"/>
                <w:color w:val="auto"/>
                <w:sz w:val="24"/>
                <w:szCs w:val="24"/>
                <w:lang w:val="en-US" w:eastAsia="zh-CN"/>
              </w:rPr>
              <w:t>排放</w:t>
            </w:r>
            <w:r>
              <w:rPr>
                <w:rFonts w:hint="eastAsia" w:cs="Times New Roman"/>
                <w:color w:val="auto"/>
                <w:sz w:val="24"/>
                <w:szCs w:val="24"/>
                <w:lang w:val="en-US" w:eastAsia="zh-CN"/>
              </w:rPr>
              <w:t>满足</w:t>
            </w:r>
            <w:r>
              <w:rPr>
                <w:rFonts w:hint="default" w:ascii="Times New Roman" w:hAnsi="Times New Roman" w:eastAsia="宋体" w:cs="Times New Roman"/>
                <w:color w:val="auto"/>
                <w:kern w:val="2"/>
                <w:sz w:val="24"/>
                <w:szCs w:val="24"/>
                <w:lang w:val="en-US" w:eastAsia="zh-CN" w:bidi="ar-SA"/>
              </w:rPr>
              <w:t>《大气污染物综合排放标准》（GB16297-1996）表2中二级排放标准</w:t>
            </w:r>
            <w:r>
              <w:rPr>
                <w:rFonts w:hint="eastAsia" w:cs="Times New Roman"/>
                <w:color w:val="auto"/>
                <w:kern w:val="2"/>
                <w:sz w:val="24"/>
                <w:szCs w:val="24"/>
                <w:lang w:val="en-US" w:eastAsia="zh-CN" w:bidi="ar-SA"/>
              </w:rPr>
              <w:t>，</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w:t>
            </w:r>
            <w:r>
              <w:rPr>
                <w:rFonts w:hint="eastAsia" w:ascii="Times New Roman" w:hAnsi="Times New Roman" w:eastAsia="宋体" w:cs="Times New Roman"/>
                <w:color w:val="auto"/>
                <w:sz w:val="24"/>
                <w:lang w:eastAsia="zh-CN"/>
              </w:rPr>
              <w:t>废气</w:t>
            </w:r>
            <w:r>
              <w:rPr>
                <w:rFonts w:hint="eastAsia" w:cs="Times New Roman"/>
                <w:color w:val="auto"/>
                <w:sz w:val="24"/>
                <w:lang w:eastAsia="zh-CN"/>
              </w:rPr>
              <w:t>、固化废气排放满足</w:t>
            </w:r>
            <w:r>
              <w:rPr>
                <w:rFonts w:hint="default" w:ascii="Times New Roman" w:hAnsi="Times New Roman" w:cs="Times New Roman"/>
                <w:color w:val="auto"/>
                <w:sz w:val="24"/>
                <w:szCs w:val="24"/>
                <w:lang w:val="en-US" w:eastAsia="zh-CN"/>
              </w:rPr>
              <w:t>《合成树脂工业污染物排放标准》（GB31572-2015）中表5 大气污染物特别排放限值</w:t>
            </w:r>
            <w:r>
              <w:rPr>
                <w:rFonts w:hint="default" w:ascii="Times New Roman" w:hAnsi="Times New Roman" w:eastAsia="宋体" w:cs="Times New Roman"/>
                <w:color w:val="auto"/>
                <w:sz w:val="24"/>
                <w:szCs w:val="24"/>
                <w:lang w:val="en-US" w:eastAsia="zh-CN"/>
              </w:rPr>
              <w:t>；</w:t>
            </w:r>
            <w:r>
              <w:rPr>
                <w:color w:val="auto"/>
                <w:sz w:val="24"/>
                <w:lang w:bidi="ar"/>
              </w:rPr>
              <w:t>厂区内</w:t>
            </w:r>
            <w:r>
              <w:rPr>
                <w:rFonts w:hint="eastAsia" w:cs="Times New Roman"/>
                <w:color w:val="auto"/>
                <w:sz w:val="24"/>
                <w:szCs w:val="24"/>
                <w:lang w:val="en-US" w:eastAsia="zh-CN"/>
              </w:rPr>
              <w:t>挥发性有机物无组织排放</w:t>
            </w:r>
            <w:r>
              <w:rPr>
                <w:rFonts w:hint="eastAsia"/>
                <w:color w:val="auto"/>
                <w:sz w:val="24"/>
                <w:lang w:eastAsia="zh-CN" w:bidi="ar"/>
              </w:rPr>
              <w:t>满足</w:t>
            </w:r>
            <w:r>
              <w:rPr>
                <w:color w:val="auto"/>
                <w:sz w:val="24"/>
                <w:lang w:bidi="ar"/>
              </w:rPr>
              <w:t>《</w:t>
            </w:r>
            <w:r>
              <w:rPr>
                <w:rFonts w:hint="eastAsia"/>
                <w:color w:val="auto"/>
                <w:sz w:val="24"/>
                <w:szCs w:val="24"/>
                <w:lang w:eastAsia="zh-CN"/>
              </w:rPr>
              <w:t>固定源挥发性有机物综合排放标准</w:t>
            </w:r>
            <w:r>
              <w:rPr>
                <w:rFonts w:hint="eastAsia"/>
                <w:color w:val="auto"/>
                <w:sz w:val="24"/>
                <w:szCs w:val="24"/>
                <w:lang w:val="en-US" w:eastAsia="zh-CN"/>
              </w:rPr>
              <w:t xml:space="preserve"> 第六部分：其他行业</w:t>
            </w:r>
            <w:r>
              <w:rPr>
                <w:color w:val="auto"/>
                <w:sz w:val="24"/>
                <w:lang w:bidi="ar"/>
              </w:rPr>
              <w:t>》</w:t>
            </w:r>
            <w:r>
              <w:rPr>
                <w:rFonts w:hint="eastAsia"/>
                <w:color w:val="auto"/>
                <w:sz w:val="24"/>
                <w:lang w:eastAsia="zh-CN" w:bidi="ar"/>
              </w:rPr>
              <w:t>（</w:t>
            </w:r>
            <w:r>
              <w:rPr>
                <w:rFonts w:hint="eastAsia" w:cs="Times New Roman"/>
                <w:b w:val="0"/>
                <w:bCs w:val="0"/>
                <w:color w:val="auto"/>
                <w:sz w:val="24"/>
                <w:szCs w:val="24"/>
                <w:lang w:val="en-US" w:eastAsia="zh-CN"/>
              </w:rPr>
              <w:t>DB34/4812.6-2024</w:t>
            </w:r>
            <w:r>
              <w:rPr>
                <w:rFonts w:hint="eastAsia"/>
                <w:color w:val="auto"/>
                <w:sz w:val="24"/>
                <w:lang w:eastAsia="zh-CN" w:bidi="ar"/>
              </w:rPr>
              <w:t>）表</w:t>
            </w:r>
            <w:r>
              <w:rPr>
                <w:rFonts w:hint="eastAsia"/>
                <w:color w:val="auto"/>
                <w:sz w:val="24"/>
                <w:lang w:val="en-US" w:eastAsia="zh-CN" w:bidi="ar"/>
              </w:rPr>
              <w:t>4中无组织排放限值，厂界无组织颗粒物、挥发性有机物</w:t>
            </w:r>
            <w:r>
              <w:rPr>
                <w:rFonts w:hint="eastAsia" w:cs="Times New Roman"/>
                <w:color w:val="auto"/>
                <w:sz w:val="24"/>
                <w:lang w:eastAsia="zh-CN"/>
              </w:rPr>
              <w:t>排放满足</w:t>
            </w:r>
            <w:r>
              <w:rPr>
                <w:rFonts w:hint="default" w:ascii="Times New Roman" w:hAnsi="Times New Roman" w:cs="Times New Roman"/>
                <w:color w:val="auto"/>
                <w:sz w:val="24"/>
                <w:szCs w:val="24"/>
                <w:lang w:val="en-US" w:eastAsia="zh-CN"/>
              </w:rPr>
              <w:t>《合成树脂工业污染物排放标准》（GB31572-2015）中表</w:t>
            </w:r>
            <w:r>
              <w:rPr>
                <w:rFonts w:hint="eastAsia" w:ascii="Times New Roman" w:hAnsi="Times New Roman" w:cs="Times New Roman"/>
                <w:color w:val="auto"/>
                <w:sz w:val="24"/>
                <w:szCs w:val="24"/>
                <w:lang w:val="en-US" w:eastAsia="zh-CN"/>
              </w:rPr>
              <w:t xml:space="preserve">9 </w:t>
            </w:r>
            <w:r>
              <w:rPr>
                <w:rFonts w:hint="default" w:ascii="Times New Roman" w:hAnsi="Times New Roman" w:cs="Times New Roman"/>
                <w:color w:val="auto"/>
                <w:sz w:val="24"/>
                <w:szCs w:val="24"/>
                <w:lang w:val="en-US" w:eastAsia="zh-CN"/>
              </w:rPr>
              <w:t>企业边界大气污染物浓度限值</w:t>
            </w:r>
            <w:r>
              <w:rPr>
                <w:rFonts w:hint="eastAsia" w:ascii="Times New Roman" w:hAnsi="Times New Roman" w:cs="Times New Roman"/>
                <w:color w:val="auto"/>
                <w:sz w:val="24"/>
                <w:szCs w:val="24"/>
                <w:lang w:val="en-US" w:eastAsia="zh-CN"/>
              </w:rPr>
              <w:t>和《大气污染物综合排放标准》（GB16297-1996）无组织排放监控浓度限值</w:t>
            </w:r>
            <w:r>
              <w:rPr>
                <w:rFonts w:hint="default" w:ascii="Times New Roman" w:hAnsi="Times New Roman" w:eastAsia="宋体" w:cs="Times New Roman"/>
                <w:snapToGrid/>
                <w:color w:val="auto"/>
                <w:spacing w:val="0"/>
                <w:kern w:val="0"/>
                <w:position w:val="0"/>
                <w:sz w:val="24"/>
                <w:szCs w:val="24"/>
                <w:lang w:val="en-US" w:eastAsia="zh-CN"/>
              </w:rPr>
              <w:t>。</w:t>
            </w:r>
            <w:r>
              <w:rPr>
                <w:rFonts w:hint="eastAsia" w:ascii="Times New Roman" w:hAnsi="Times New Roman" w:eastAsia="宋体" w:cs="Times New Roman"/>
                <w:snapToGrid/>
                <w:color w:val="auto"/>
                <w:spacing w:val="0"/>
                <w:kern w:val="0"/>
                <w:position w:val="0"/>
                <w:sz w:val="24"/>
                <w:szCs w:val="24"/>
                <w:lang w:val="en-US" w:eastAsia="zh-CN"/>
              </w:rPr>
              <w:t>则项目</w:t>
            </w:r>
            <w:r>
              <w:rPr>
                <w:rFonts w:hint="eastAsia" w:cs="Times New Roman"/>
                <w:color w:val="auto"/>
                <w:sz w:val="24"/>
                <w:lang w:val="en-US" w:eastAsia="zh-CN"/>
              </w:rPr>
              <w:t>废气处理措施依托可行。</w:t>
            </w:r>
          </w:p>
          <w:p w14:paraId="166278F0">
            <w:pPr>
              <w:pStyle w:val="43"/>
              <w:kinsoku w:val="0"/>
              <w:overflowPunct w:val="0"/>
              <w:spacing w:line="360" w:lineRule="auto"/>
              <w:ind w:firstLine="419"/>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固废治理：</w:t>
            </w:r>
            <w:r>
              <w:rPr>
                <w:rFonts w:hint="eastAsia" w:cs="Times New Roman"/>
                <w:color w:val="auto"/>
                <w:sz w:val="24"/>
                <w:lang w:val="en-US" w:eastAsia="zh-CN"/>
              </w:rPr>
              <w:t>原</w:t>
            </w:r>
            <w:r>
              <w:rPr>
                <w:rFonts w:hint="default" w:ascii="Times New Roman" w:hAnsi="Times New Roman" w:cs="Times New Roman"/>
                <w:color w:val="auto"/>
                <w:sz w:val="24"/>
                <w:lang w:val="en-US" w:eastAsia="zh-CN"/>
              </w:rPr>
              <w:t>项目设有1个</w:t>
            </w:r>
            <w:r>
              <w:rPr>
                <w:rFonts w:hint="eastAsia" w:ascii="Times New Roman" w:hAnsi="Times New Roman" w:cs="Times New Roman"/>
                <w:color w:val="auto"/>
                <w:sz w:val="24"/>
                <w:lang w:val="en-US" w:eastAsia="zh-CN"/>
              </w:rPr>
              <w:t>危险</w:t>
            </w:r>
            <w:r>
              <w:rPr>
                <w:rFonts w:hint="default" w:ascii="Times New Roman" w:hAnsi="Times New Roman" w:cs="Times New Roman"/>
                <w:color w:val="auto"/>
                <w:sz w:val="24"/>
                <w:lang w:val="en-US" w:eastAsia="zh-CN"/>
              </w:rPr>
              <w:t>废物暂存</w:t>
            </w:r>
            <w:r>
              <w:rPr>
                <w:rFonts w:hint="eastAsia" w:ascii="Times New Roman" w:hAnsi="Times New Roman" w:cs="Times New Roman"/>
                <w:color w:val="auto"/>
                <w:sz w:val="24"/>
                <w:lang w:val="en-US" w:eastAsia="zh-CN"/>
              </w:rPr>
              <w:t>间</w:t>
            </w:r>
            <w:r>
              <w:rPr>
                <w:rFonts w:hint="default" w:ascii="Times New Roman" w:hAnsi="Times New Roman" w:cs="Times New Roman"/>
                <w:color w:val="auto"/>
                <w:sz w:val="24"/>
                <w:lang w:val="en-US" w:eastAsia="zh-CN"/>
              </w:rPr>
              <w:t>，约15m</w:t>
            </w:r>
            <w:r>
              <w:rPr>
                <w:rFonts w:hint="default" w:ascii="Times New Roman" w:hAnsi="Times New Roman" w:cs="Times New Roman"/>
                <w:color w:val="auto"/>
                <w:sz w:val="24"/>
                <w:vertAlign w:val="superscript"/>
                <w:lang w:val="en-US" w:eastAsia="zh-CN"/>
              </w:rPr>
              <w:t>2</w:t>
            </w:r>
            <w:r>
              <w:rPr>
                <w:rFonts w:hint="default" w:ascii="Times New Roman" w:hAnsi="Times New Roman" w:cs="Times New Roman"/>
                <w:color w:val="auto"/>
                <w:sz w:val="24"/>
                <w:lang w:val="en-US" w:eastAsia="zh-CN"/>
              </w:rPr>
              <w:t>，位于3#生产车间外东北侧。</w:t>
            </w:r>
            <w:r>
              <w:rPr>
                <w:rFonts w:hint="eastAsia" w:ascii="Times New Roman" w:hAnsi="Times New Roman" w:cs="Times New Roman"/>
                <w:color w:val="auto"/>
                <w:sz w:val="24"/>
                <w:lang w:val="en-US" w:eastAsia="zh-CN"/>
              </w:rPr>
              <w:t>根据下述分析，</w:t>
            </w:r>
            <w:r>
              <w:rPr>
                <w:rFonts w:ascii="Times New Roman" w:hAnsi="Times New Roman"/>
                <w:color w:val="auto"/>
                <w:sz w:val="24"/>
                <w:highlight w:val="none"/>
                <w:lang w:eastAsia="zh-CN"/>
              </w:rPr>
              <w:t>本项目建成后全厂</w:t>
            </w:r>
            <w:r>
              <w:rPr>
                <w:rFonts w:hint="eastAsia" w:ascii="Times New Roman" w:hAnsi="Times New Roman"/>
                <w:color w:val="auto"/>
                <w:sz w:val="24"/>
                <w:highlight w:val="none"/>
                <w:lang w:eastAsia="zh-CN"/>
              </w:rPr>
              <w:t>危险废物</w:t>
            </w:r>
            <w:r>
              <w:rPr>
                <w:rFonts w:ascii="Times New Roman" w:hAnsi="Times New Roman"/>
                <w:color w:val="auto"/>
                <w:sz w:val="24"/>
                <w:highlight w:val="none"/>
                <w:lang w:eastAsia="zh-CN"/>
              </w:rPr>
              <w:t>年产生量</w:t>
            </w:r>
            <w:r>
              <w:rPr>
                <w:rFonts w:hint="eastAsia" w:ascii="Times New Roman" w:hAnsi="Times New Roman"/>
                <w:color w:val="auto"/>
                <w:sz w:val="24"/>
                <w:highlight w:val="none"/>
                <w:lang w:eastAsia="zh-CN"/>
              </w:rPr>
              <w:t>约</w:t>
            </w:r>
            <w:r>
              <w:rPr>
                <w:rFonts w:hint="eastAsia" w:ascii="Times New Roman" w:hAnsi="Times New Roman"/>
                <w:color w:val="auto"/>
                <w:sz w:val="24"/>
                <w:highlight w:val="none"/>
                <w:lang w:val="en-US" w:eastAsia="zh-CN"/>
              </w:rPr>
              <w:t>3.178</w:t>
            </w:r>
            <w:r>
              <w:rPr>
                <w:rFonts w:ascii="Times New Roman" w:hAnsi="Times New Roman"/>
                <w:color w:val="auto"/>
                <w:sz w:val="24"/>
                <w:highlight w:val="none"/>
                <w:lang w:eastAsia="zh-CN"/>
              </w:rPr>
              <w:t>t/a，产废周期为</w:t>
            </w:r>
            <w:r>
              <w:rPr>
                <w:rFonts w:hint="eastAsia" w:ascii="Times New Roman" w:hAnsi="Times New Roman"/>
                <w:color w:val="auto"/>
                <w:sz w:val="24"/>
                <w:highlight w:val="none"/>
                <w:lang w:val="en-US" w:eastAsia="zh-CN"/>
              </w:rPr>
              <w:t>3</w:t>
            </w:r>
            <w:r>
              <w:rPr>
                <w:rFonts w:hint="eastAsia" w:ascii="Times New Roman" w:hAnsi="Times New Roman"/>
                <w:color w:val="auto"/>
                <w:sz w:val="24"/>
                <w:highlight w:val="none"/>
                <w:lang w:eastAsia="zh-CN"/>
              </w:rPr>
              <w:t>个月或是一天</w:t>
            </w:r>
            <w:r>
              <w:rPr>
                <w:rFonts w:ascii="Times New Roman" w:hAnsi="Times New Roman"/>
                <w:color w:val="auto"/>
                <w:sz w:val="24"/>
                <w:highlight w:val="none"/>
                <w:lang w:eastAsia="zh-CN"/>
              </w:rPr>
              <w:t>。</w:t>
            </w:r>
            <w:r>
              <w:rPr>
                <w:rFonts w:hint="default" w:ascii="Times New Roman" w:hAnsi="Times New Roman" w:cs="Times New Roman"/>
                <w:color w:val="auto"/>
                <w:sz w:val="24"/>
                <w:lang w:val="en-US" w:eastAsia="zh-CN"/>
              </w:rPr>
              <w:t>项目根据危废产生量重新签订危废合同，现有</w:t>
            </w:r>
            <w:r>
              <w:rPr>
                <w:rFonts w:hint="eastAsia" w:cs="Times New Roman"/>
                <w:color w:val="auto"/>
                <w:sz w:val="24"/>
                <w:lang w:val="en-US" w:eastAsia="zh-CN"/>
              </w:rPr>
              <w:t>危废</w:t>
            </w:r>
            <w:r>
              <w:rPr>
                <w:rFonts w:hint="default" w:ascii="Times New Roman" w:hAnsi="Times New Roman" w:cs="Times New Roman"/>
                <w:color w:val="auto"/>
                <w:sz w:val="24"/>
                <w:lang w:val="en-US" w:eastAsia="zh-CN"/>
              </w:rPr>
              <w:t>暂存设施能够满足本次扩建项目贮存需求。</w:t>
            </w:r>
          </w:p>
          <w:p w14:paraId="6983E1C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snapToGrid/>
                <w:color w:val="auto"/>
                <w:spacing w:val="0"/>
                <w:kern w:val="0"/>
                <w:position w:val="0"/>
                <w:sz w:val="24"/>
                <w:szCs w:val="24"/>
                <w:lang w:eastAsia="zh-CN"/>
              </w:rPr>
            </w:pPr>
            <w:r>
              <w:rPr>
                <w:rFonts w:hint="eastAsia" w:ascii="Times New Roman" w:hAnsi="Times New Roman" w:eastAsia="宋体" w:cs="Times New Roman"/>
                <w:b/>
                <w:bCs/>
                <w:snapToGrid/>
                <w:color w:val="auto"/>
                <w:spacing w:val="0"/>
                <w:kern w:val="0"/>
                <w:position w:val="0"/>
                <w:sz w:val="24"/>
                <w:szCs w:val="24"/>
                <w:lang w:val="en-US" w:eastAsia="zh-CN"/>
              </w:rPr>
              <w:t>2、</w:t>
            </w:r>
            <w:r>
              <w:rPr>
                <w:rFonts w:hint="default" w:ascii="Times New Roman" w:hAnsi="Times New Roman" w:eastAsia="宋体" w:cs="Times New Roman"/>
                <w:b/>
                <w:bCs/>
                <w:snapToGrid/>
                <w:color w:val="auto"/>
                <w:spacing w:val="0"/>
                <w:kern w:val="0"/>
                <w:position w:val="0"/>
                <w:sz w:val="24"/>
                <w:szCs w:val="24"/>
              </w:rPr>
              <w:t>项目</w:t>
            </w:r>
            <w:r>
              <w:rPr>
                <w:rFonts w:hint="default" w:ascii="Times New Roman" w:hAnsi="Times New Roman" w:eastAsia="宋体" w:cs="Times New Roman"/>
                <w:b/>
                <w:bCs/>
                <w:snapToGrid/>
                <w:color w:val="auto"/>
                <w:spacing w:val="0"/>
                <w:kern w:val="0"/>
                <w:position w:val="0"/>
                <w:sz w:val="24"/>
                <w:szCs w:val="24"/>
                <w:lang w:eastAsia="zh-CN"/>
              </w:rPr>
              <w:t>主要</w:t>
            </w:r>
            <w:r>
              <w:rPr>
                <w:rFonts w:hint="default" w:ascii="Times New Roman" w:hAnsi="Times New Roman" w:eastAsia="宋体" w:cs="Times New Roman"/>
                <w:b/>
                <w:bCs/>
                <w:snapToGrid/>
                <w:color w:val="auto"/>
                <w:spacing w:val="0"/>
                <w:kern w:val="0"/>
                <w:position w:val="0"/>
                <w:sz w:val="24"/>
                <w:szCs w:val="24"/>
              </w:rPr>
              <w:t>产品</w:t>
            </w:r>
            <w:r>
              <w:rPr>
                <w:rFonts w:hint="default" w:ascii="Times New Roman" w:hAnsi="Times New Roman" w:eastAsia="宋体" w:cs="Times New Roman"/>
                <w:b/>
                <w:bCs/>
                <w:snapToGrid/>
                <w:color w:val="auto"/>
                <w:spacing w:val="0"/>
                <w:kern w:val="0"/>
                <w:position w:val="0"/>
                <w:sz w:val="24"/>
                <w:szCs w:val="24"/>
                <w:lang w:eastAsia="zh-CN"/>
              </w:rPr>
              <w:t>及产能</w:t>
            </w:r>
          </w:p>
          <w:p w14:paraId="2060BB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snapToGrid/>
                <w:color w:val="auto"/>
                <w:spacing w:val="0"/>
                <w:kern w:val="0"/>
                <w:position w:val="0"/>
                <w:sz w:val="24"/>
                <w:szCs w:val="24"/>
                <w:lang w:val="en-US" w:eastAsia="zh-CN"/>
              </w:rPr>
            </w:pPr>
            <w:r>
              <w:rPr>
                <w:rFonts w:hint="default" w:ascii="Times New Roman" w:hAnsi="Times New Roman" w:eastAsia="宋体" w:cs="Times New Roman"/>
                <w:b w:val="0"/>
                <w:bCs w:val="0"/>
                <w:snapToGrid/>
                <w:color w:val="auto"/>
                <w:spacing w:val="0"/>
                <w:kern w:val="0"/>
                <w:position w:val="0"/>
                <w:sz w:val="24"/>
                <w:szCs w:val="24"/>
              </w:rPr>
              <w:t>项目</w:t>
            </w:r>
            <w:r>
              <w:rPr>
                <w:rFonts w:hint="default" w:ascii="Times New Roman" w:hAnsi="Times New Roman" w:eastAsia="宋体" w:cs="Times New Roman"/>
                <w:b w:val="0"/>
                <w:bCs w:val="0"/>
                <w:snapToGrid/>
                <w:color w:val="auto"/>
                <w:spacing w:val="0"/>
                <w:kern w:val="0"/>
                <w:position w:val="0"/>
                <w:sz w:val="24"/>
                <w:szCs w:val="24"/>
                <w:lang w:eastAsia="zh-CN"/>
              </w:rPr>
              <w:t>主要</w:t>
            </w:r>
            <w:r>
              <w:rPr>
                <w:rFonts w:hint="default" w:ascii="Times New Roman" w:hAnsi="Times New Roman" w:eastAsia="宋体" w:cs="Times New Roman"/>
                <w:b w:val="0"/>
                <w:bCs w:val="0"/>
                <w:snapToGrid/>
                <w:color w:val="auto"/>
                <w:spacing w:val="0"/>
                <w:kern w:val="0"/>
                <w:position w:val="0"/>
                <w:sz w:val="24"/>
                <w:szCs w:val="24"/>
              </w:rPr>
              <w:t>产品</w:t>
            </w:r>
            <w:r>
              <w:rPr>
                <w:rFonts w:hint="default" w:ascii="Times New Roman" w:hAnsi="Times New Roman" w:eastAsia="宋体" w:cs="Times New Roman"/>
                <w:b w:val="0"/>
                <w:bCs w:val="0"/>
                <w:snapToGrid/>
                <w:color w:val="auto"/>
                <w:spacing w:val="0"/>
                <w:kern w:val="0"/>
                <w:position w:val="0"/>
                <w:sz w:val="24"/>
                <w:szCs w:val="24"/>
                <w:lang w:eastAsia="zh-CN"/>
              </w:rPr>
              <w:t>及产能</w:t>
            </w:r>
            <w:r>
              <w:rPr>
                <w:rFonts w:hint="default" w:ascii="Times New Roman" w:hAnsi="Times New Roman" w:eastAsia="宋体" w:cs="Times New Roman"/>
                <w:snapToGrid/>
                <w:color w:val="auto"/>
                <w:spacing w:val="0"/>
                <w:kern w:val="0"/>
                <w:position w:val="0"/>
                <w:sz w:val="24"/>
                <w:szCs w:val="24"/>
              </w:rPr>
              <w:t>见表</w:t>
            </w:r>
            <w:r>
              <w:rPr>
                <w:rFonts w:hint="eastAsia" w:ascii="Times New Roman" w:hAnsi="Times New Roman" w:eastAsia="宋体" w:cs="Times New Roman"/>
                <w:snapToGrid/>
                <w:color w:val="auto"/>
                <w:spacing w:val="0"/>
                <w:kern w:val="0"/>
                <w:position w:val="0"/>
                <w:sz w:val="24"/>
                <w:szCs w:val="24"/>
                <w:lang w:val="en-US" w:eastAsia="zh-CN"/>
              </w:rPr>
              <w:t>2.</w:t>
            </w:r>
            <w:r>
              <w:rPr>
                <w:rFonts w:hint="eastAsia" w:cs="Times New Roman"/>
                <w:snapToGrid/>
                <w:color w:val="auto"/>
                <w:spacing w:val="0"/>
                <w:kern w:val="0"/>
                <w:position w:val="0"/>
                <w:sz w:val="24"/>
                <w:szCs w:val="24"/>
                <w:lang w:val="en-US" w:eastAsia="zh-CN"/>
              </w:rPr>
              <w:t>4</w:t>
            </w:r>
            <w:r>
              <w:rPr>
                <w:rFonts w:hint="eastAsia" w:ascii="Times New Roman" w:hAnsi="Times New Roman" w:eastAsia="宋体" w:cs="Times New Roman"/>
                <w:snapToGrid/>
                <w:color w:val="auto"/>
                <w:spacing w:val="0"/>
                <w:kern w:val="0"/>
                <w:position w:val="0"/>
                <w:sz w:val="24"/>
                <w:szCs w:val="24"/>
                <w:lang w:val="en-US" w:eastAsia="zh-CN"/>
              </w:rPr>
              <w:t>。</w:t>
            </w:r>
          </w:p>
          <w:p w14:paraId="1C70268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snapToGrid/>
                <w:color w:val="auto"/>
                <w:spacing w:val="0"/>
                <w:kern w:val="0"/>
                <w:position w:val="0"/>
                <w:sz w:val="24"/>
                <w:szCs w:val="24"/>
              </w:rPr>
            </w:pPr>
            <w:r>
              <w:rPr>
                <w:rFonts w:hint="default" w:ascii="Times New Roman" w:hAnsi="Times New Roman" w:eastAsia="宋体" w:cs="Times New Roman"/>
                <w:b/>
                <w:bCs/>
                <w:snapToGrid/>
                <w:color w:val="auto"/>
                <w:spacing w:val="0"/>
                <w:kern w:val="0"/>
                <w:position w:val="0"/>
                <w:sz w:val="24"/>
                <w:szCs w:val="24"/>
              </w:rPr>
              <w:t>表</w:t>
            </w:r>
            <w:r>
              <w:rPr>
                <w:rFonts w:hint="default" w:ascii="Times New Roman" w:hAnsi="Times New Roman" w:eastAsia="宋体" w:cs="Times New Roman"/>
                <w:b/>
                <w:bCs/>
                <w:snapToGrid/>
                <w:color w:val="auto"/>
                <w:spacing w:val="0"/>
                <w:kern w:val="0"/>
                <w:position w:val="0"/>
                <w:sz w:val="24"/>
                <w:szCs w:val="24"/>
                <w:lang w:val="en-US" w:eastAsia="zh-CN"/>
              </w:rPr>
              <w:t>2</w:t>
            </w:r>
            <w:r>
              <w:rPr>
                <w:rFonts w:hint="default" w:ascii="Times New Roman" w:hAnsi="Times New Roman" w:eastAsia="宋体" w:cs="Times New Roman"/>
                <w:b/>
                <w:bCs/>
                <w:snapToGrid/>
                <w:color w:val="auto"/>
                <w:spacing w:val="0"/>
                <w:kern w:val="0"/>
                <w:position w:val="0"/>
                <w:sz w:val="24"/>
                <w:szCs w:val="24"/>
              </w:rPr>
              <w:t>.</w:t>
            </w:r>
            <w:r>
              <w:rPr>
                <w:rFonts w:hint="eastAsia" w:cs="Times New Roman"/>
                <w:b/>
                <w:bCs/>
                <w:snapToGrid/>
                <w:color w:val="auto"/>
                <w:spacing w:val="0"/>
                <w:kern w:val="0"/>
                <w:position w:val="0"/>
                <w:sz w:val="24"/>
                <w:szCs w:val="24"/>
                <w:lang w:val="en-US" w:eastAsia="zh-CN"/>
              </w:rPr>
              <w:t>4</w:t>
            </w:r>
            <w:r>
              <w:rPr>
                <w:rFonts w:hint="default" w:ascii="Times New Roman" w:hAnsi="Times New Roman" w:eastAsia="宋体" w:cs="Times New Roman"/>
                <w:b/>
                <w:bCs/>
                <w:snapToGrid/>
                <w:color w:val="auto"/>
                <w:spacing w:val="0"/>
                <w:kern w:val="0"/>
                <w:position w:val="0"/>
                <w:sz w:val="24"/>
                <w:szCs w:val="24"/>
              </w:rPr>
              <w:t xml:space="preserve">  项目</w:t>
            </w:r>
            <w:r>
              <w:rPr>
                <w:rFonts w:hint="default" w:ascii="Times New Roman" w:hAnsi="Times New Roman" w:eastAsia="宋体" w:cs="Times New Roman"/>
                <w:b/>
                <w:bCs/>
                <w:snapToGrid/>
                <w:color w:val="auto"/>
                <w:spacing w:val="0"/>
                <w:kern w:val="0"/>
                <w:position w:val="0"/>
                <w:sz w:val="24"/>
                <w:szCs w:val="24"/>
                <w:lang w:eastAsia="zh-CN"/>
              </w:rPr>
              <w:t>主要</w:t>
            </w:r>
            <w:r>
              <w:rPr>
                <w:rFonts w:hint="default" w:ascii="Times New Roman" w:hAnsi="Times New Roman" w:eastAsia="宋体" w:cs="Times New Roman"/>
                <w:b/>
                <w:bCs/>
                <w:snapToGrid/>
                <w:color w:val="auto"/>
                <w:spacing w:val="0"/>
                <w:kern w:val="0"/>
                <w:position w:val="0"/>
                <w:sz w:val="24"/>
                <w:szCs w:val="24"/>
              </w:rPr>
              <w:t>产品</w:t>
            </w:r>
            <w:r>
              <w:rPr>
                <w:rFonts w:hint="default" w:ascii="Times New Roman" w:hAnsi="Times New Roman" w:eastAsia="宋体" w:cs="Times New Roman"/>
                <w:b/>
                <w:bCs/>
                <w:snapToGrid/>
                <w:color w:val="auto"/>
                <w:spacing w:val="0"/>
                <w:kern w:val="0"/>
                <w:position w:val="0"/>
                <w:sz w:val="24"/>
                <w:szCs w:val="24"/>
                <w:lang w:eastAsia="zh-CN"/>
              </w:rPr>
              <w:t>及产能</w:t>
            </w:r>
            <w:r>
              <w:rPr>
                <w:rFonts w:hint="default" w:ascii="Times New Roman" w:hAnsi="Times New Roman" w:eastAsia="宋体" w:cs="Times New Roman"/>
                <w:b/>
                <w:bCs/>
                <w:snapToGrid/>
                <w:color w:val="auto"/>
                <w:spacing w:val="0"/>
                <w:kern w:val="0"/>
                <w:position w:val="0"/>
                <w:sz w:val="24"/>
                <w:szCs w:val="24"/>
              </w:rPr>
              <w:t>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365"/>
              <w:gridCol w:w="1163"/>
              <w:gridCol w:w="1552"/>
              <w:gridCol w:w="1654"/>
              <w:gridCol w:w="1616"/>
            </w:tblGrid>
            <w:tr w14:paraId="3690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2" w:type="dxa"/>
                  <w:noWrap w:val="0"/>
                  <w:vAlign w:val="center"/>
                </w:tcPr>
                <w:p w14:paraId="44AFEC1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序号</w:t>
                  </w:r>
                </w:p>
              </w:tc>
              <w:tc>
                <w:tcPr>
                  <w:tcW w:w="1389" w:type="dxa"/>
                  <w:noWrap w:val="0"/>
                  <w:vAlign w:val="center"/>
                </w:tcPr>
                <w:p w14:paraId="66373F5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产品名称</w:t>
                  </w:r>
                </w:p>
              </w:tc>
              <w:tc>
                <w:tcPr>
                  <w:tcW w:w="1183" w:type="dxa"/>
                  <w:noWrap w:val="0"/>
                  <w:vAlign w:val="center"/>
                </w:tcPr>
                <w:p w14:paraId="6750F83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单位</w:t>
                  </w:r>
                </w:p>
              </w:tc>
              <w:tc>
                <w:tcPr>
                  <w:tcW w:w="1580" w:type="dxa"/>
                  <w:noWrap w:val="0"/>
                  <w:vAlign w:val="center"/>
                </w:tcPr>
                <w:p w14:paraId="37B6202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snapToGrid/>
                      <w:color w:val="auto"/>
                      <w:spacing w:val="0"/>
                      <w:kern w:val="0"/>
                      <w:position w:val="0"/>
                      <w:sz w:val="21"/>
                      <w:szCs w:val="21"/>
                      <w:lang w:eastAsia="zh-CN"/>
                    </w:rPr>
                    <w:t>产能</w:t>
                  </w:r>
                  <w:r>
                    <w:rPr>
                      <w:rFonts w:hint="default" w:ascii="Times New Roman" w:hAnsi="Times New Roman" w:eastAsia="宋体" w:cs="Times New Roman"/>
                      <w:bCs/>
                      <w:snapToGrid/>
                      <w:color w:val="auto"/>
                      <w:spacing w:val="0"/>
                      <w:kern w:val="0"/>
                      <w:position w:val="0"/>
                      <w:sz w:val="21"/>
                      <w:szCs w:val="21"/>
                      <w:lang w:val="en-US" w:eastAsia="zh-CN"/>
                    </w:rPr>
                    <w:t>（扩建</w:t>
                  </w:r>
                  <w:r>
                    <w:rPr>
                      <w:rFonts w:hint="default" w:ascii="Times New Roman" w:hAnsi="Times New Roman" w:eastAsia="宋体" w:cs="Times New Roman"/>
                      <w:bCs/>
                      <w:snapToGrid/>
                      <w:color w:val="auto"/>
                      <w:spacing w:val="0"/>
                      <w:kern w:val="0"/>
                      <w:position w:val="0"/>
                      <w:sz w:val="21"/>
                      <w:szCs w:val="21"/>
                      <w:lang w:eastAsia="zh-CN"/>
                    </w:rPr>
                    <w:t>前）</w:t>
                  </w:r>
                </w:p>
              </w:tc>
              <w:tc>
                <w:tcPr>
                  <w:tcW w:w="1684" w:type="dxa"/>
                  <w:noWrap w:val="0"/>
                  <w:vAlign w:val="center"/>
                </w:tcPr>
                <w:p w14:paraId="55592FA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snapToGrid/>
                      <w:color w:val="auto"/>
                      <w:spacing w:val="0"/>
                      <w:kern w:val="0"/>
                      <w:position w:val="0"/>
                      <w:sz w:val="21"/>
                      <w:szCs w:val="21"/>
                      <w:lang w:eastAsia="zh-CN"/>
                    </w:rPr>
                    <w:t>产能</w:t>
                  </w:r>
                  <w:r>
                    <w:rPr>
                      <w:rFonts w:hint="default" w:ascii="Times New Roman" w:hAnsi="Times New Roman" w:eastAsia="宋体" w:cs="Times New Roman"/>
                      <w:bCs/>
                      <w:snapToGrid/>
                      <w:color w:val="auto"/>
                      <w:spacing w:val="0"/>
                      <w:kern w:val="0"/>
                      <w:position w:val="0"/>
                      <w:sz w:val="21"/>
                      <w:szCs w:val="21"/>
                      <w:lang w:val="en-US" w:eastAsia="zh-CN"/>
                    </w:rPr>
                    <w:t>（扩建后</w:t>
                  </w:r>
                  <w:r>
                    <w:rPr>
                      <w:rFonts w:hint="default" w:ascii="Times New Roman" w:hAnsi="Times New Roman" w:eastAsia="宋体" w:cs="Times New Roman"/>
                      <w:bCs/>
                      <w:snapToGrid/>
                      <w:color w:val="auto"/>
                      <w:spacing w:val="0"/>
                      <w:kern w:val="0"/>
                      <w:position w:val="0"/>
                      <w:sz w:val="21"/>
                      <w:szCs w:val="21"/>
                      <w:lang w:eastAsia="zh-CN"/>
                    </w:rPr>
                    <w:t>）</w:t>
                  </w:r>
                </w:p>
              </w:tc>
              <w:tc>
                <w:tcPr>
                  <w:tcW w:w="1646" w:type="dxa"/>
                  <w:noWrap w:val="0"/>
                  <w:vAlign w:val="center"/>
                </w:tcPr>
                <w:p w14:paraId="46D0F0E2">
                  <w:pPr>
                    <w:keepNext w:val="0"/>
                    <w:keepLines w:val="0"/>
                    <w:pageBreakBefore w:val="0"/>
                    <w:kinsoku/>
                    <w:wordWrap/>
                    <w:overflowPunct/>
                    <w:topLinePunct w:val="0"/>
                    <w:autoSpaceDE w:val="0"/>
                    <w:autoSpaceDN w:val="0"/>
                    <w:bidi w:val="0"/>
                    <w:adjustRightInd/>
                    <w:snapToGrid w:val="0"/>
                    <w:spacing w:before="63" w:beforeLines="20" w:line="240" w:lineRule="auto"/>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snapToGrid/>
                      <w:color w:val="auto"/>
                      <w:spacing w:val="0"/>
                      <w:kern w:val="0"/>
                      <w:position w:val="0"/>
                      <w:sz w:val="21"/>
                      <w:szCs w:val="21"/>
                      <w:lang w:eastAsia="zh-CN"/>
                    </w:rPr>
                    <w:t>产能变化</w:t>
                  </w:r>
                </w:p>
              </w:tc>
            </w:tr>
            <w:tr w14:paraId="6A74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2" w:type="dxa"/>
                  <w:noWrap w:val="0"/>
                  <w:vAlign w:val="center"/>
                </w:tcPr>
                <w:p w14:paraId="45CD2A5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1</w:t>
                  </w:r>
                </w:p>
              </w:tc>
              <w:tc>
                <w:tcPr>
                  <w:tcW w:w="1389" w:type="dxa"/>
                  <w:noWrap w:val="0"/>
                  <w:vAlign w:val="center"/>
                </w:tcPr>
                <w:p w14:paraId="5E077A86">
                  <w:pPr>
                    <w:spacing w:line="240" w:lineRule="auto"/>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钨合金渔坠</w:t>
                  </w:r>
                </w:p>
              </w:tc>
              <w:tc>
                <w:tcPr>
                  <w:tcW w:w="1183" w:type="dxa"/>
                  <w:noWrap w:val="0"/>
                  <w:vAlign w:val="center"/>
                </w:tcPr>
                <w:p w14:paraId="0355FE0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lang w:val="en-US" w:eastAsia="zh-CN"/>
                    </w:rPr>
                    <w:t>t/a</w:t>
                  </w:r>
                </w:p>
              </w:tc>
              <w:tc>
                <w:tcPr>
                  <w:tcW w:w="1580" w:type="dxa"/>
                  <w:noWrap w:val="0"/>
                  <w:vAlign w:val="center"/>
                </w:tcPr>
                <w:p w14:paraId="3BE1B85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30</w:t>
                  </w:r>
                </w:p>
              </w:tc>
              <w:tc>
                <w:tcPr>
                  <w:tcW w:w="1684" w:type="dxa"/>
                  <w:noWrap w:val="0"/>
                  <w:vAlign w:val="center"/>
                </w:tcPr>
                <w:p w14:paraId="2F61E23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4"/>
                      <w:lang w:val="en-US" w:eastAsia="zh-CN" w:bidi="ar-SA"/>
                    </w:rPr>
                  </w:pPr>
                  <w:r>
                    <w:rPr>
                      <w:rFonts w:hint="eastAsia" w:cs="Times New Roman"/>
                      <w:b w:val="0"/>
                      <w:bCs w:val="0"/>
                      <w:snapToGrid/>
                      <w:color w:val="auto"/>
                      <w:spacing w:val="0"/>
                      <w:kern w:val="0"/>
                      <w:position w:val="0"/>
                      <w:sz w:val="21"/>
                      <w:szCs w:val="21"/>
                      <w:vertAlign w:val="baseline"/>
                      <w:lang w:val="en-US" w:eastAsia="zh-CN"/>
                    </w:rPr>
                    <w:t>60</w:t>
                  </w:r>
                </w:p>
              </w:tc>
              <w:tc>
                <w:tcPr>
                  <w:tcW w:w="1646" w:type="dxa"/>
                  <w:noWrap w:val="0"/>
                  <w:vAlign w:val="center"/>
                </w:tcPr>
                <w:p w14:paraId="76AFF11A">
                  <w:pPr>
                    <w:keepNext w:val="0"/>
                    <w:keepLines w:val="0"/>
                    <w:pageBreakBefore w:val="0"/>
                    <w:widowControl/>
                    <w:suppressLineNumbers w:val="0"/>
                    <w:kinsoku/>
                    <w:wordWrap/>
                    <w:overflowPunct/>
                    <w:topLinePunct w:val="0"/>
                    <w:bidi w:val="0"/>
                    <w:adjustRightInd/>
                    <w:snapToGrid w:val="0"/>
                    <w:spacing w:before="63" w:beforeLines="20" w:line="240" w:lineRule="auto"/>
                    <w:jc w:val="center"/>
                    <w:textAlignment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+30</w:t>
                  </w:r>
                </w:p>
              </w:tc>
            </w:tr>
          </w:tbl>
          <w:p w14:paraId="722E1DFB">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default" w:ascii="Times New Roman" w:hAnsi="Times New Roman" w:eastAsia="宋体" w:cs="Times New Roman"/>
                <w:b/>
                <w:bCs/>
                <w:snapToGrid/>
                <w:color w:val="auto"/>
                <w:spacing w:val="0"/>
                <w:kern w:val="0"/>
                <w:position w:val="0"/>
                <w:sz w:val="24"/>
                <w:szCs w:val="24"/>
              </w:rPr>
            </w:pPr>
            <w:r>
              <w:rPr>
                <w:rFonts w:hint="eastAsia" w:ascii="Times New Roman" w:hAnsi="Times New Roman" w:eastAsia="宋体" w:cs="Times New Roman"/>
                <w:b/>
                <w:bCs/>
                <w:snapToGrid/>
                <w:color w:val="auto"/>
                <w:spacing w:val="0"/>
                <w:kern w:val="0"/>
                <w:position w:val="0"/>
                <w:sz w:val="24"/>
                <w:szCs w:val="24"/>
                <w:lang w:val="en-US" w:eastAsia="zh-CN"/>
              </w:rPr>
              <w:t>3、</w:t>
            </w:r>
            <w:r>
              <w:rPr>
                <w:rFonts w:hint="default" w:ascii="Times New Roman" w:hAnsi="Times New Roman" w:eastAsia="宋体" w:cs="Times New Roman"/>
                <w:b/>
                <w:bCs/>
                <w:snapToGrid/>
                <w:color w:val="auto"/>
                <w:spacing w:val="0"/>
                <w:kern w:val="0"/>
                <w:position w:val="0"/>
                <w:sz w:val="24"/>
                <w:szCs w:val="24"/>
              </w:rPr>
              <w:t>项目</w:t>
            </w:r>
            <w:r>
              <w:rPr>
                <w:rFonts w:hint="default" w:ascii="Times New Roman" w:hAnsi="Times New Roman" w:eastAsia="宋体" w:cs="Times New Roman"/>
                <w:b/>
                <w:bCs/>
                <w:snapToGrid/>
                <w:color w:val="auto"/>
                <w:spacing w:val="0"/>
                <w:kern w:val="0"/>
                <w:position w:val="0"/>
                <w:sz w:val="24"/>
                <w:szCs w:val="24"/>
                <w:lang w:eastAsia="zh-CN"/>
              </w:rPr>
              <w:t>主要生产单元、主要工艺、主要生产设施及设施参数</w:t>
            </w:r>
          </w:p>
          <w:p w14:paraId="25DE6A0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snapToGrid/>
                <w:color w:val="auto"/>
                <w:spacing w:val="0"/>
                <w:kern w:val="0"/>
                <w:position w:val="0"/>
                <w:sz w:val="24"/>
                <w:szCs w:val="24"/>
              </w:rPr>
            </w:pPr>
            <w:r>
              <w:rPr>
                <w:rFonts w:hint="default" w:ascii="Times New Roman" w:hAnsi="Times New Roman" w:eastAsia="宋体" w:cs="Times New Roman"/>
                <w:b/>
                <w:bCs/>
                <w:snapToGrid/>
                <w:color w:val="auto"/>
                <w:spacing w:val="0"/>
                <w:kern w:val="0"/>
                <w:position w:val="0"/>
                <w:sz w:val="24"/>
                <w:szCs w:val="24"/>
              </w:rPr>
              <w:t>表</w:t>
            </w:r>
            <w:r>
              <w:rPr>
                <w:rFonts w:hint="default" w:ascii="Times New Roman" w:hAnsi="Times New Roman" w:eastAsia="宋体" w:cs="Times New Roman"/>
                <w:b/>
                <w:bCs/>
                <w:snapToGrid/>
                <w:color w:val="auto"/>
                <w:spacing w:val="0"/>
                <w:kern w:val="0"/>
                <w:position w:val="0"/>
                <w:sz w:val="24"/>
                <w:szCs w:val="24"/>
                <w:lang w:val="en-US" w:eastAsia="zh-CN"/>
              </w:rPr>
              <w:t>2</w:t>
            </w:r>
            <w:r>
              <w:rPr>
                <w:rFonts w:hint="default" w:ascii="Times New Roman" w:hAnsi="Times New Roman" w:eastAsia="宋体" w:cs="Times New Roman"/>
                <w:b/>
                <w:bCs/>
                <w:snapToGrid/>
                <w:color w:val="auto"/>
                <w:spacing w:val="0"/>
                <w:kern w:val="0"/>
                <w:position w:val="0"/>
                <w:sz w:val="24"/>
                <w:szCs w:val="24"/>
              </w:rPr>
              <w:t>.</w:t>
            </w:r>
            <w:r>
              <w:rPr>
                <w:rFonts w:hint="eastAsia" w:cs="Times New Roman"/>
                <w:b/>
                <w:bCs/>
                <w:snapToGrid/>
                <w:color w:val="auto"/>
                <w:spacing w:val="0"/>
                <w:kern w:val="0"/>
                <w:position w:val="0"/>
                <w:sz w:val="24"/>
                <w:szCs w:val="24"/>
                <w:lang w:val="en-US" w:eastAsia="zh-CN"/>
              </w:rPr>
              <w:t xml:space="preserve">5 </w:t>
            </w:r>
            <w:r>
              <w:rPr>
                <w:rFonts w:hint="default" w:ascii="Times New Roman" w:hAnsi="Times New Roman" w:eastAsia="宋体" w:cs="Times New Roman"/>
                <w:b/>
                <w:bCs/>
                <w:snapToGrid/>
                <w:color w:val="auto"/>
                <w:spacing w:val="0"/>
                <w:kern w:val="0"/>
                <w:position w:val="0"/>
                <w:sz w:val="24"/>
                <w:szCs w:val="24"/>
              </w:rPr>
              <w:t xml:space="preserve"> 项目</w:t>
            </w:r>
            <w:r>
              <w:rPr>
                <w:rFonts w:hint="default" w:ascii="Times New Roman" w:hAnsi="Times New Roman" w:eastAsia="宋体" w:cs="Times New Roman"/>
                <w:b/>
                <w:bCs/>
                <w:snapToGrid/>
                <w:color w:val="auto"/>
                <w:spacing w:val="0"/>
                <w:kern w:val="0"/>
                <w:position w:val="0"/>
                <w:sz w:val="24"/>
                <w:szCs w:val="24"/>
                <w:lang w:eastAsia="zh-CN"/>
              </w:rPr>
              <w:t>主要生产单元、主要工艺、主要生产设施及设施参数</w:t>
            </w:r>
            <w:r>
              <w:rPr>
                <w:rFonts w:hint="default" w:ascii="Times New Roman" w:hAnsi="Times New Roman" w:eastAsia="宋体" w:cs="Times New Roman"/>
                <w:b/>
                <w:bCs/>
                <w:snapToGrid/>
                <w:color w:val="auto"/>
                <w:spacing w:val="0"/>
                <w:kern w:val="0"/>
                <w:position w:val="0"/>
                <w:sz w:val="24"/>
                <w:szCs w:val="24"/>
              </w:rPr>
              <w:t>一览表</w:t>
            </w:r>
          </w:p>
          <w:tbl>
            <w:tblPr>
              <w:tblStyle w:val="2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0"/>
              <w:gridCol w:w="1164"/>
              <w:gridCol w:w="1506"/>
              <w:gridCol w:w="1854"/>
              <w:gridCol w:w="1002"/>
              <w:gridCol w:w="992"/>
              <w:gridCol w:w="876"/>
            </w:tblGrid>
            <w:tr w14:paraId="236D3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32" w:type="pct"/>
                  <w:noWrap w:val="0"/>
                  <w:vAlign w:val="center"/>
                </w:tcPr>
                <w:p w14:paraId="609B7706">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ottom"/>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主要生产单元名称</w:t>
                  </w:r>
                </w:p>
              </w:tc>
              <w:tc>
                <w:tcPr>
                  <w:tcW w:w="703" w:type="pct"/>
                  <w:noWrap w:val="0"/>
                  <w:vAlign w:val="center"/>
                </w:tcPr>
                <w:p w14:paraId="35AB421D">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ottom"/>
                    <w:rPr>
                      <w:rFonts w:hint="default" w:ascii="Times New Roman" w:hAnsi="Times New Roman" w:eastAsia="宋体" w:cs="Times New Roman"/>
                      <w:snapToGrid/>
                      <w:color w:val="auto"/>
                      <w:spacing w:val="0"/>
                      <w:kern w:val="0"/>
                      <w:position w:val="0"/>
                      <w:sz w:val="21"/>
                      <w:szCs w:val="21"/>
                      <w:lang w:val="en-US" w:eastAsia="zh-CN" w:bidi="ar-SA"/>
                    </w:rPr>
                  </w:pPr>
                  <w:r>
                    <w:rPr>
                      <w:rFonts w:hint="default" w:ascii="Times New Roman" w:hAnsi="Times New Roman" w:eastAsia="宋体" w:cs="Times New Roman"/>
                      <w:snapToGrid/>
                      <w:color w:val="auto"/>
                      <w:spacing w:val="0"/>
                      <w:kern w:val="0"/>
                      <w:position w:val="0"/>
                      <w:sz w:val="21"/>
                      <w:szCs w:val="21"/>
                      <w:lang w:eastAsia="zh-CN"/>
                    </w:rPr>
                    <w:t>主要工艺</w:t>
                  </w:r>
                </w:p>
              </w:tc>
              <w:tc>
                <w:tcPr>
                  <w:tcW w:w="910" w:type="pct"/>
                  <w:noWrap w:val="0"/>
                  <w:vAlign w:val="center"/>
                </w:tcPr>
                <w:p w14:paraId="4B7B1956">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ottom"/>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主要生产设施</w:t>
                  </w:r>
                </w:p>
              </w:tc>
              <w:tc>
                <w:tcPr>
                  <w:tcW w:w="1120" w:type="pct"/>
                  <w:noWrap w:val="0"/>
                  <w:vAlign w:val="center"/>
                </w:tcPr>
                <w:p w14:paraId="567914DF">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ottom"/>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规格型号</w:t>
                  </w:r>
                </w:p>
              </w:tc>
              <w:tc>
                <w:tcPr>
                  <w:tcW w:w="605" w:type="pct"/>
                  <w:noWrap w:val="0"/>
                  <w:vAlign w:val="center"/>
                </w:tcPr>
                <w:p w14:paraId="05009A61">
                  <w:pPr>
                    <w:keepNext w:val="0"/>
                    <w:keepLines w:val="0"/>
                    <w:pageBreakBefore w:val="0"/>
                    <w:kinsoku/>
                    <w:wordWrap/>
                    <w:overflowPunct/>
                    <w:topLinePunct w:val="0"/>
                    <w:autoSpaceDE/>
                    <w:autoSpaceDN/>
                    <w:bidi w:val="0"/>
                    <w:adjustRightInd w:val="0"/>
                    <w:snapToGrid w:val="0"/>
                    <w:spacing w:before="63" w:beforeLines="20" w:line="240" w:lineRule="auto"/>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数量</w:t>
                  </w:r>
                </w:p>
                <w:p w14:paraId="72998DB3">
                  <w:pPr>
                    <w:keepNext w:val="0"/>
                    <w:keepLines w:val="0"/>
                    <w:pageBreakBefore w:val="0"/>
                    <w:kinsoku/>
                    <w:wordWrap/>
                    <w:overflowPunct/>
                    <w:topLinePunct w:val="0"/>
                    <w:autoSpaceDE/>
                    <w:autoSpaceDN/>
                    <w:bidi w:val="0"/>
                    <w:adjustRightInd w:val="0"/>
                    <w:snapToGrid w:val="0"/>
                    <w:spacing w:before="63" w:beforeLines="20" w:line="240" w:lineRule="auto"/>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(扩建前)</w:t>
                  </w:r>
                </w:p>
              </w:tc>
              <w:tc>
                <w:tcPr>
                  <w:tcW w:w="599" w:type="pct"/>
                  <w:noWrap w:val="0"/>
                  <w:vAlign w:val="center"/>
                </w:tcPr>
                <w:p w14:paraId="75C0B908">
                  <w:pPr>
                    <w:keepNext w:val="0"/>
                    <w:keepLines w:val="0"/>
                    <w:pageBreakBefore w:val="0"/>
                    <w:kinsoku/>
                    <w:wordWrap/>
                    <w:overflowPunct/>
                    <w:topLinePunct w:val="0"/>
                    <w:autoSpaceDE/>
                    <w:autoSpaceDN/>
                    <w:bidi w:val="0"/>
                    <w:adjustRightInd w:val="0"/>
                    <w:snapToGrid w:val="0"/>
                    <w:spacing w:before="63" w:beforeLines="20" w:line="240" w:lineRule="auto"/>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数量</w:t>
                  </w:r>
                </w:p>
                <w:p w14:paraId="1A93181B">
                  <w:pPr>
                    <w:keepNext w:val="0"/>
                    <w:keepLines w:val="0"/>
                    <w:pageBreakBefore w:val="0"/>
                    <w:kinsoku/>
                    <w:wordWrap/>
                    <w:overflowPunct/>
                    <w:topLinePunct w:val="0"/>
                    <w:autoSpaceDE/>
                    <w:autoSpaceDN/>
                    <w:bidi w:val="0"/>
                    <w:adjustRightInd w:val="0"/>
                    <w:snapToGrid w:val="0"/>
                    <w:spacing w:before="63" w:beforeLines="20" w:line="240" w:lineRule="auto"/>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(扩建后)</w:t>
                  </w:r>
                </w:p>
              </w:tc>
              <w:tc>
                <w:tcPr>
                  <w:tcW w:w="529" w:type="pct"/>
                  <w:noWrap w:val="0"/>
                  <w:vAlign w:val="center"/>
                </w:tcPr>
                <w:p w14:paraId="0DBB7F1C">
                  <w:pPr>
                    <w:keepNext w:val="0"/>
                    <w:keepLines w:val="0"/>
                    <w:pageBreakBefore w:val="0"/>
                    <w:kinsoku/>
                    <w:wordWrap/>
                    <w:overflowPunct/>
                    <w:topLinePunct w:val="0"/>
                    <w:autoSpaceDE/>
                    <w:autoSpaceDN/>
                    <w:bidi w:val="0"/>
                    <w:adjustRightInd w:val="0"/>
                    <w:snapToGrid w:val="0"/>
                    <w:spacing w:before="63" w:beforeLines="20" w:line="240" w:lineRule="auto"/>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数量变化情况</w:t>
                  </w:r>
                </w:p>
              </w:tc>
            </w:tr>
            <w:tr w14:paraId="1B793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32" w:type="pct"/>
                  <w:vMerge w:val="restart"/>
                  <w:noWrap w:val="0"/>
                  <w:vAlign w:val="center"/>
                </w:tcPr>
                <w:p w14:paraId="5F2C2487">
                  <w:pPr>
                    <w:keepNext w:val="0"/>
                    <w:keepLines w:val="0"/>
                    <w:pageBreakBefore w:val="0"/>
                    <w:kinsoku/>
                    <w:wordWrap/>
                    <w:overflowPunct/>
                    <w:topLinePunct w:val="0"/>
                    <w:bidi w:val="0"/>
                    <w:adjustRightInd w:val="0"/>
                    <w:snapToGrid w:val="0"/>
                    <w:spacing w:line="240" w:lineRule="auto"/>
                    <w:ind w:right="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ascii="Times New Roman" w:hAnsi="Times New Roman" w:eastAsia="宋体" w:cs="Times New Roman"/>
                      <w:color w:val="auto"/>
                      <w:kern w:val="2"/>
                      <w:sz w:val="21"/>
                      <w:szCs w:val="21"/>
                      <w:lang w:val="en-US" w:eastAsia="zh-CN" w:bidi="ar-SA"/>
                    </w:rPr>
                    <w:t>钨合金渔坠</w:t>
                  </w:r>
                </w:p>
              </w:tc>
              <w:tc>
                <w:tcPr>
                  <w:tcW w:w="703" w:type="pct"/>
                  <w:vMerge w:val="restart"/>
                  <w:noWrap w:val="0"/>
                  <w:vAlign w:val="center"/>
                </w:tcPr>
                <w:p w14:paraId="3968B05D">
                  <w:pPr>
                    <w:keepNext w:val="0"/>
                    <w:keepLines w:val="0"/>
                    <w:pageBreakBefore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混合</w:t>
                  </w:r>
                </w:p>
              </w:tc>
              <w:tc>
                <w:tcPr>
                  <w:tcW w:w="910" w:type="pct"/>
                  <w:shd w:val="clear" w:color="auto" w:fill="auto"/>
                  <w:noWrap w:val="0"/>
                  <w:vAlign w:val="center"/>
                </w:tcPr>
                <w:p w14:paraId="59E7D6D8">
                  <w:pPr>
                    <w:pStyle w:val="33"/>
                    <w:spacing w:line="0" w:lineRule="atLeast"/>
                    <w:ind w:left="420" w:leftChars="0" w:hanging="420" w:hangingChars="200"/>
                    <w:rPr>
                      <w:rFonts w:hint="default" w:ascii="Times New Roman" w:hAnsi="Times New Roman" w:eastAsia="宋体" w:cs="Times New Roman"/>
                      <w:color w:val="auto"/>
                      <w:kern w:val="2"/>
                      <w:sz w:val="21"/>
                      <w:szCs w:val="20"/>
                      <w:lang w:val="en-US" w:eastAsia="zh-CN" w:bidi="ar-SA"/>
                    </w:rPr>
                  </w:pPr>
                  <w:r>
                    <w:rPr>
                      <w:rFonts w:hint="eastAsia"/>
                      <w:color w:val="auto"/>
                    </w:rPr>
                    <w:t>V型混料机</w:t>
                  </w:r>
                </w:p>
              </w:tc>
              <w:tc>
                <w:tcPr>
                  <w:tcW w:w="1120" w:type="pct"/>
                  <w:shd w:val="clear" w:color="auto" w:fill="auto"/>
                  <w:noWrap w:val="0"/>
                  <w:vAlign w:val="center"/>
                </w:tcPr>
                <w:p w14:paraId="7126F3C6">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olor w:val="auto"/>
                    </w:rPr>
                    <w:t>VH-100L</w:t>
                  </w:r>
                </w:p>
              </w:tc>
              <w:tc>
                <w:tcPr>
                  <w:tcW w:w="605" w:type="pct"/>
                  <w:shd w:val="clear" w:color="auto" w:fill="auto"/>
                  <w:noWrap w:val="0"/>
                  <w:vAlign w:val="center"/>
                </w:tcPr>
                <w:p w14:paraId="4C8C3718">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w:t>
                  </w:r>
                </w:p>
              </w:tc>
              <w:tc>
                <w:tcPr>
                  <w:tcW w:w="599" w:type="pct"/>
                  <w:noWrap w:val="0"/>
                  <w:vAlign w:val="center"/>
                </w:tcPr>
                <w:p w14:paraId="61BA6B32">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i w:val="0"/>
                      <w:snapToGrid/>
                      <w:color w:val="auto"/>
                      <w:spacing w:val="0"/>
                      <w:kern w:val="0"/>
                      <w:position w:val="0"/>
                      <w:sz w:val="21"/>
                      <w:szCs w:val="21"/>
                      <w:u w:val="none"/>
                      <w:lang w:val="en-US" w:eastAsia="zh-CN" w:bidi="ar-SA"/>
                    </w:rPr>
                  </w:pPr>
                  <w:r>
                    <w:rPr>
                      <w:rFonts w:hint="eastAsia" w:cs="Times New Roman"/>
                      <w:i w:val="0"/>
                      <w:snapToGrid/>
                      <w:color w:val="auto"/>
                      <w:spacing w:val="0"/>
                      <w:kern w:val="0"/>
                      <w:position w:val="0"/>
                      <w:sz w:val="21"/>
                      <w:szCs w:val="21"/>
                      <w:u w:val="none"/>
                      <w:lang w:val="en-US" w:eastAsia="zh-CN" w:bidi="ar-SA"/>
                    </w:rPr>
                    <w:t>3</w:t>
                  </w:r>
                </w:p>
              </w:tc>
              <w:tc>
                <w:tcPr>
                  <w:tcW w:w="529" w:type="pct"/>
                  <w:noWrap w:val="0"/>
                  <w:vAlign w:val="center"/>
                </w:tcPr>
                <w:p w14:paraId="5891363B">
                  <w:pPr>
                    <w:keepNext w:val="0"/>
                    <w:keepLines w:val="0"/>
                    <w:widowControl/>
                    <w:suppressLineNumbers w:val="0"/>
                    <w:jc w:val="center"/>
                    <w:textAlignment w:val="center"/>
                    <w:rPr>
                      <w:rFonts w:hint="default" w:ascii="Times New Roman" w:hAnsi="Times New Roman" w:eastAsia="宋体" w:cs="Times New Roman"/>
                      <w:i w:val="0"/>
                      <w:snapToGrid/>
                      <w:color w:val="auto"/>
                      <w:spacing w:val="0"/>
                      <w:kern w:val="0"/>
                      <w:position w:val="0"/>
                      <w:sz w:val="21"/>
                      <w:szCs w:val="21"/>
                      <w:u w:val="none"/>
                      <w:lang w:val="en-US" w:eastAsia="zh-CN"/>
                    </w:rPr>
                  </w:pPr>
                  <w:r>
                    <w:rPr>
                      <w:rFonts w:hint="eastAsia" w:cs="Times New Roman"/>
                      <w:i w:val="0"/>
                      <w:snapToGrid/>
                      <w:color w:val="auto"/>
                      <w:spacing w:val="0"/>
                      <w:kern w:val="0"/>
                      <w:position w:val="0"/>
                      <w:sz w:val="21"/>
                      <w:szCs w:val="21"/>
                      <w:u w:val="none"/>
                      <w:lang w:val="en-US" w:eastAsia="zh-CN"/>
                    </w:rPr>
                    <w:t>+1</w:t>
                  </w:r>
                </w:p>
              </w:tc>
            </w:tr>
            <w:tr w14:paraId="6903E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32" w:type="pct"/>
                  <w:vMerge w:val="continue"/>
                  <w:noWrap w:val="0"/>
                  <w:vAlign w:val="center"/>
                </w:tcPr>
                <w:p w14:paraId="1204CADC">
                  <w:pPr>
                    <w:keepNext w:val="0"/>
                    <w:keepLines w:val="0"/>
                    <w:pageBreakBefore w:val="0"/>
                    <w:kinsoku/>
                    <w:wordWrap/>
                    <w:overflowPunct/>
                    <w:topLinePunct w:val="0"/>
                    <w:bidi w:val="0"/>
                    <w:adjustRightInd w:val="0"/>
                    <w:snapToGrid w:val="0"/>
                    <w:spacing w:line="240" w:lineRule="auto"/>
                    <w:ind w:right="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703" w:type="pct"/>
                  <w:vMerge w:val="continue"/>
                  <w:tcBorders>
                    <w:bottom w:val="single" w:color="auto" w:sz="4" w:space="0"/>
                  </w:tcBorders>
                  <w:noWrap w:val="0"/>
                  <w:vAlign w:val="center"/>
                </w:tcPr>
                <w:p w14:paraId="072EC43D">
                  <w:pPr>
                    <w:keepNext w:val="0"/>
                    <w:keepLines w:val="0"/>
                    <w:pageBreakBefore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910" w:type="pct"/>
                  <w:shd w:val="clear" w:color="auto" w:fill="auto"/>
                  <w:noWrap w:val="0"/>
                  <w:vAlign w:val="center"/>
                </w:tcPr>
                <w:p w14:paraId="76877A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rPr>
                    <w:t>压铸机</w:t>
                  </w:r>
                </w:p>
              </w:tc>
              <w:tc>
                <w:tcPr>
                  <w:tcW w:w="1120" w:type="pct"/>
                  <w:shd w:val="clear" w:color="auto" w:fill="auto"/>
                  <w:noWrap w:val="0"/>
                  <w:vAlign w:val="center"/>
                </w:tcPr>
                <w:p w14:paraId="0CEDAF30">
                  <w:pPr>
                    <w:spacing w:line="240" w:lineRule="auto"/>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eastAsia"/>
                      <w:color w:val="auto"/>
                    </w:rPr>
                    <w:t>JX-12</w:t>
                  </w:r>
                </w:p>
              </w:tc>
              <w:tc>
                <w:tcPr>
                  <w:tcW w:w="605" w:type="pct"/>
                  <w:shd w:val="clear" w:color="auto" w:fill="auto"/>
                  <w:noWrap w:val="0"/>
                  <w:vAlign w:val="center"/>
                </w:tcPr>
                <w:p w14:paraId="48027664">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i w:val="0"/>
                      <w:snapToGrid/>
                      <w:color w:val="auto"/>
                      <w:spacing w:val="0"/>
                      <w:kern w:val="0"/>
                      <w:position w:val="0"/>
                      <w:sz w:val="21"/>
                      <w:szCs w:val="21"/>
                      <w:u w:val="none"/>
                      <w:lang w:val="en-US" w:eastAsia="zh-CN" w:bidi="ar-SA"/>
                    </w:rPr>
                  </w:pPr>
                  <w:r>
                    <w:rPr>
                      <w:rFonts w:hint="eastAsia" w:cs="Times New Roman"/>
                      <w:i w:val="0"/>
                      <w:snapToGrid/>
                      <w:color w:val="auto"/>
                      <w:spacing w:val="0"/>
                      <w:kern w:val="0"/>
                      <w:position w:val="0"/>
                      <w:sz w:val="21"/>
                      <w:szCs w:val="21"/>
                      <w:u w:val="none"/>
                      <w:lang w:val="en-US" w:eastAsia="zh-CN" w:bidi="ar-SA"/>
                    </w:rPr>
                    <w:t>1</w:t>
                  </w:r>
                </w:p>
              </w:tc>
              <w:tc>
                <w:tcPr>
                  <w:tcW w:w="599" w:type="pct"/>
                  <w:noWrap w:val="0"/>
                  <w:vAlign w:val="center"/>
                </w:tcPr>
                <w:p w14:paraId="3069539B">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c>
                <w:tcPr>
                  <w:tcW w:w="529" w:type="pct"/>
                  <w:noWrap w:val="0"/>
                  <w:vAlign w:val="center"/>
                </w:tcPr>
                <w:p w14:paraId="2F526B34">
                  <w:pPr>
                    <w:keepNext w:val="0"/>
                    <w:keepLines w:val="0"/>
                    <w:widowControl/>
                    <w:suppressLineNumbers w:val="0"/>
                    <w:jc w:val="center"/>
                    <w:textAlignment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eastAsia" w:cs="Times New Roman"/>
                      <w:snapToGrid/>
                      <w:color w:val="auto"/>
                      <w:spacing w:val="0"/>
                      <w:kern w:val="0"/>
                      <w:position w:val="0"/>
                      <w:sz w:val="21"/>
                      <w:szCs w:val="21"/>
                      <w:lang w:val="en-US" w:eastAsia="zh-CN" w:bidi="ar-SA"/>
                    </w:rPr>
                    <w:t>-1</w:t>
                  </w:r>
                </w:p>
              </w:tc>
            </w:tr>
            <w:tr w14:paraId="2ECAB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32" w:type="pct"/>
                  <w:vMerge w:val="continue"/>
                  <w:noWrap w:val="0"/>
                  <w:vAlign w:val="center"/>
                </w:tcPr>
                <w:p w14:paraId="1A08368C">
                  <w:pPr>
                    <w:keepNext w:val="0"/>
                    <w:keepLines w:val="0"/>
                    <w:pageBreakBefore w:val="0"/>
                    <w:kinsoku/>
                    <w:wordWrap/>
                    <w:overflowPunct/>
                    <w:topLinePunct w:val="0"/>
                    <w:bidi w:val="0"/>
                    <w:adjustRightInd w:val="0"/>
                    <w:snapToGrid w:val="0"/>
                    <w:spacing w:line="240" w:lineRule="auto"/>
                    <w:ind w:right="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703" w:type="pct"/>
                  <w:noWrap w:val="0"/>
                  <w:vAlign w:val="center"/>
                </w:tcPr>
                <w:p w14:paraId="06032334">
                  <w:pPr>
                    <w:keepNext w:val="0"/>
                    <w:keepLines w:val="0"/>
                    <w:pageBreakBefore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加热混炼</w:t>
                  </w:r>
                </w:p>
              </w:tc>
              <w:tc>
                <w:tcPr>
                  <w:tcW w:w="910" w:type="pct"/>
                  <w:shd w:val="clear" w:color="auto" w:fill="auto"/>
                  <w:noWrap w:val="0"/>
                  <w:vAlign w:val="center"/>
                </w:tcPr>
                <w:p w14:paraId="32645517">
                  <w:pPr>
                    <w:pStyle w:val="33"/>
                    <w:spacing w:line="0" w:lineRule="atLeast"/>
                    <w:ind w:left="420" w:leftChars="0" w:hanging="420" w:hangingChars="200"/>
                    <w:rPr>
                      <w:rFonts w:hint="default" w:ascii="Times New Roman" w:hAnsi="Times New Roman" w:eastAsia="宋体" w:cs="Times New Roman"/>
                      <w:color w:val="auto"/>
                      <w:kern w:val="2"/>
                      <w:sz w:val="21"/>
                      <w:szCs w:val="20"/>
                      <w:lang w:val="en-US" w:eastAsia="zh-CN" w:bidi="ar-SA"/>
                    </w:rPr>
                  </w:pPr>
                  <w:r>
                    <w:rPr>
                      <w:rFonts w:hint="eastAsia"/>
                      <w:color w:val="auto"/>
                    </w:rPr>
                    <w:t>高速混料机</w:t>
                  </w:r>
                </w:p>
              </w:tc>
              <w:tc>
                <w:tcPr>
                  <w:tcW w:w="1120" w:type="pct"/>
                  <w:shd w:val="clear" w:color="auto" w:fill="auto"/>
                  <w:noWrap w:val="0"/>
                  <w:vAlign w:val="center"/>
                </w:tcPr>
                <w:p w14:paraId="4E6AA56A">
                  <w:pPr>
                    <w:spacing w:line="240" w:lineRule="auto"/>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eastAsia"/>
                      <w:color w:val="auto"/>
                    </w:rPr>
                    <w:t>SHR-500A</w:t>
                  </w:r>
                </w:p>
              </w:tc>
              <w:tc>
                <w:tcPr>
                  <w:tcW w:w="605" w:type="pct"/>
                  <w:shd w:val="clear" w:color="auto" w:fill="auto"/>
                  <w:noWrap w:val="0"/>
                  <w:vAlign w:val="center"/>
                </w:tcPr>
                <w:p w14:paraId="326B9B6B">
                  <w:pPr>
                    <w:bidi w:val="0"/>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2</w:t>
                  </w:r>
                </w:p>
              </w:tc>
              <w:tc>
                <w:tcPr>
                  <w:tcW w:w="599" w:type="pct"/>
                  <w:noWrap w:val="0"/>
                  <w:vAlign w:val="center"/>
                </w:tcPr>
                <w:p w14:paraId="75D24B92">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i w:val="0"/>
                      <w:snapToGrid/>
                      <w:color w:val="auto"/>
                      <w:spacing w:val="0"/>
                      <w:kern w:val="0"/>
                      <w:position w:val="0"/>
                      <w:sz w:val="21"/>
                      <w:szCs w:val="21"/>
                      <w:u w:val="none"/>
                      <w:lang w:val="en-US" w:eastAsia="zh-CN" w:bidi="ar-SA"/>
                    </w:rPr>
                  </w:pPr>
                  <w:r>
                    <w:rPr>
                      <w:rFonts w:hint="eastAsia" w:cs="Times New Roman"/>
                      <w:i w:val="0"/>
                      <w:snapToGrid/>
                      <w:color w:val="auto"/>
                      <w:spacing w:val="0"/>
                      <w:kern w:val="0"/>
                      <w:position w:val="0"/>
                      <w:sz w:val="21"/>
                      <w:szCs w:val="21"/>
                      <w:u w:val="none"/>
                      <w:lang w:val="en-US" w:eastAsia="zh-CN" w:bidi="ar-SA"/>
                    </w:rPr>
                    <w:t>3</w:t>
                  </w:r>
                </w:p>
              </w:tc>
              <w:tc>
                <w:tcPr>
                  <w:tcW w:w="529" w:type="pct"/>
                  <w:noWrap w:val="0"/>
                  <w:vAlign w:val="center"/>
                </w:tcPr>
                <w:p w14:paraId="5AD3064A">
                  <w:pPr>
                    <w:keepNext w:val="0"/>
                    <w:keepLines w:val="0"/>
                    <w:widowControl/>
                    <w:suppressLineNumbers w:val="0"/>
                    <w:jc w:val="center"/>
                    <w:textAlignment w:val="center"/>
                    <w:rPr>
                      <w:rFonts w:hint="default" w:ascii="Times New Roman" w:hAnsi="Times New Roman" w:eastAsia="宋体" w:cs="Times New Roman"/>
                      <w:i w:val="0"/>
                      <w:snapToGrid/>
                      <w:color w:val="auto"/>
                      <w:spacing w:val="0"/>
                      <w:kern w:val="0"/>
                      <w:position w:val="0"/>
                      <w:sz w:val="21"/>
                      <w:szCs w:val="21"/>
                      <w:u w:val="none"/>
                      <w:lang w:val="en-US" w:eastAsia="zh-CN" w:bidi="ar-SA"/>
                    </w:rPr>
                  </w:pPr>
                  <w:r>
                    <w:rPr>
                      <w:rFonts w:hint="eastAsia" w:cs="Times New Roman"/>
                      <w:i w:val="0"/>
                      <w:snapToGrid/>
                      <w:color w:val="auto"/>
                      <w:spacing w:val="0"/>
                      <w:kern w:val="0"/>
                      <w:position w:val="0"/>
                      <w:sz w:val="21"/>
                      <w:szCs w:val="21"/>
                      <w:u w:val="none"/>
                      <w:lang w:val="en-US" w:eastAsia="zh-CN" w:bidi="ar-SA"/>
                    </w:rPr>
                    <w:t>+1</w:t>
                  </w:r>
                </w:p>
              </w:tc>
            </w:tr>
            <w:tr w14:paraId="3385A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32" w:type="pct"/>
                  <w:vMerge w:val="continue"/>
                  <w:noWrap w:val="0"/>
                  <w:vAlign w:val="center"/>
                </w:tcPr>
                <w:p w14:paraId="772DE2AC">
                  <w:pPr>
                    <w:keepNext w:val="0"/>
                    <w:keepLines w:val="0"/>
                    <w:pageBreakBefore w:val="0"/>
                    <w:kinsoku/>
                    <w:wordWrap/>
                    <w:overflowPunct/>
                    <w:topLinePunct w:val="0"/>
                    <w:bidi w:val="0"/>
                    <w:adjustRightInd w:val="0"/>
                    <w:snapToGrid w:val="0"/>
                    <w:spacing w:line="240" w:lineRule="auto"/>
                    <w:ind w:right="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703" w:type="pct"/>
                  <w:vMerge w:val="restart"/>
                  <w:noWrap w:val="0"/>
                  <w:vAlign w:val="center"/>
                </w:tcPr>
                <w:p w14:paraId="7CD8A1FC">
                  <w:pPr>
                    <w:keepNext w:val="0"/>
                    <w:keepLines w:val="0"/>
                    <w:pageBreakBefore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注塑成型</w:t>
                  </w:r>
                </w:p>
              </w:tc>
              <w:tc>
                <w:tcPr>
                  <w:tcW w:w="910" w:type="pct"/>
                  <w:noWrap w:val="0"/>
                  <w:vAlign w:val="center"/>
                </w:tcPr>
                <w:p w14:paraId="4DA032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rPr>
                    <w:t>注塑机</w:t>
                  </w:r>
                </w:p>
              </w:tc>
              <w:tc>
                <w:tcPr>
                  <w:tcW w:w="1120" w:type="pct"/>
                  <w:noWrap w:val="0"/>
                  <w:vAlign w:val="center"/>
                </w:tcPr>
                <w:p w14:paraId="510A56FD">
                  <w:pPr>
                    <w:spacing w:line="240" w:lineRule="auto"/>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eastAsia"/>
                      <w:color w:val="auto"/>
                    </w:rPr>
                    <w:t>LT-LT-1001</w:t>
                  </w:r>
                </w:p>
              </w:tc>
              <w:tc>
                <w:tcPr>
                  <w:tcW w:w="605" w:type="pct"/>
                  <w:noWrap w:val="0"/>
                  <w:vAlign w:val="center"/>
                </w:tcPr>
                <w:p w14:paraId="30640972">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i w:val="0"/>
                      <w:snapToGrid/>
                      <w:color w:val="auto"/>
                      <w:spacing w:val="0"/>
                      <w:kern w:val="0"/>
                      <w:position w:val="0"/>
                      <w:sz w:val="21"/>
                      <w:szCs w:val="21"/>
                      <w:u w:val="none"/>
                      <w:lang w:val="en-US" w:eastAsia="zh-CN" w:bidi="ar-SA"/>
                    </w:rPr>
                  </w:pPr>
                  <w:r>
                    <w:rPr>
                      <w:rFonts w:hint="eastAsia" w:cs="Times New Roman"/>
                      <w:i w:val="0"/>
                      <w:snapToGrid/>
                      <w:color w:val="auto"/>
                      <w:spacing w:val="0"/>
                      <w:kern w:val="0"/>
                      <w:position w:val="0"/>
                      <w:sz w:val="21"/>
                      <w:szCs w:val="21"/>
                      <w:u w:val="none"/>
                      <w:lang w:val="en-US" w:eastAsia="zh-CN" w:bidi="ar-SA"/>
                    </w:rPr>
                    <w:t>6</w:t>
                  </w:r>
                </w:p>
              </w:tc>
              <w:tc>
                <w:tcPr>
                  <w:tcW w:w="599" w:type="pct"/>
                  <w:noWrap w:val="0"/>
                  <w:vAlign w:val="center"/>
                </w:tcPr>
                <w:p w14:paraId="0EDD7D50">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i w:val="0"/>
                      <w:snapToGrid/>
                      <w:color w:val="auto"/>
                      <w:spacing w:val="0"/>
                      <w:kern w:val="0"/>
                      <w:position w:val="0"/>
                      <w:sz w:val="21"/>
                      <w:szCs w:val="21"/>
                      <w:u w:val="none"/>
                      <w:lang w:val="en-US" w:eastAsia="zh-CN" w:bidi="ar-SA"/>
                    </w:rPr>
                  </w:pPr>
                  <w:r>
                    <w:rPr>
                      <w:rFonts w:hint="eastAsia" w:cs="Times New Roman"/>
                      <w:i w:val="0"/>
                      <w:snapToGrid/>
                      <w:color w:val="auto"/>
                      <w:spacing w:val="0"/>
                      <w:kern w:val="0"/>
                      <w:position w:val="0"/>
                      <w:sz w:val="21"/>
                      <w:szCs w:val="21"/>
                      <w:u w:val="none"/>
                      <w:lang w:val="en-US" w:eastAsia="zh-CN" w:bidi="ar-SA"/>
                    </w:rPr>
                    <w:t>10</w:t>
                  </w:r>
                </w:p>
              </w:tc>
              <w:tc>
                <w:tcPr>
                  <w:tcW w:w="529" w:type="pct"/>
                  <w:noWrap w:val="0"/>
                  <w:vAlign w:val="center"/>
                </w:tcPr>
                <w:p w14:paraId="6F7B8D96">
                  <w:pPr>
                    <w:keepNext w:val="0"/>
                    <w:keepLines w:val="0"/>
                    <w:widowControl/>
                    <w:suppressLineNumbers w:val="0"/>
                    <w:jc w:val="center"/>
                    <w:textAlignment w:val="center"/>
                    <w:rPr>
                      <w:rFonts w:hint="default" w:ascii="Times New Roman" w:hAnsi="Times New Roman" w:eastAsia="宋体" w:cs="Times New Roman"/>
                      <w:i w:val="0"/>
                      <w:snapToGrid/>
                      <w:color w:val="auto"/>
                      <w:spacing w:val="0"/>
                      <w:kern w:val="0"/>
                      <w:position w:val="0"/>
                      <w:sz w:val="21"/>
                      <w:szCs w:val="21"/>
                      <w:u w:val="none"/>
                      <w:lang w:val="en-US" w:eastAsia="zh-CN" w:bidi="ar-SA"/>
                    </w:rPr>
                  </w:pPr>
                  <w:r>
                    <w:rPr>
                      <w:rFonts w:hint="eastAsia" w:cs="Times New Roman"/>
                      <w:i w:val="0"/>
                      <w:snapToGrid/>
                      <w:color w:val="auto"/>
                      <w:spacing w:val="0"/>
                      <w:kern w:val="0"/>
                      <w:position w:val="0"/>
                      <w:sz w:val="21"/>
                      <w:szCs w:val="21"/>
                      <w:u w:val="none"/>
                      <w:lang w:val="en-US" w:eastAsia="zh-CN" w:bidi="ar-SA"/>
                    </w:rPr>
                    <w:t>+4</w:t>
                  </w:r>
                </w:p>
              </w:tc>
            </w:tr>
            <w:tr w14:paraId="4B21D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32" w:type="pct"/>
                  <w:vMerge w:val="continue"/>
                  <w:noWrap w:val="0"/>
                  <w:vAlign w:val="center"/>
                </w:tcPr>
                <w:p w14:paraId="3AB7FAAC">
                  <w:pPr>
                    <w:keepNext w:val="0"/>
                    <w:keepLines w:val="0"/>
                    <w:pageBreakBefore w:val="0"/>
                    <w:kinsoku/>
                    <w:wordWrap/>
                    <w:overflowPunct/>
                    <w:topLinePunct w:val="0"/>
                    <w:bidi w:val="0"/>
                    <w:adjustRightInd w:val="0"/>
                    <w:snapToGrid w:val="0"/>
                    <w:spacing w:line="240" w:lineRule="auto"/>
                    <w:ind w:right="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703" w:type="pct"/>
                  <w:vMerge w:val="continue"/>
                  <w:noWrap w:val="0"/>
                  <w:vAlign w:val="center"/>
                </w:tcPr>
                <w:p w14:paraId="5042405F">
                  <w:pPr>
                    <w:keepNext w:val="0"/>
                    <w:keepLines w:val="0"/>
                    <w:pageBreakBefore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910" w:type="pct"/>
                  <w:noWrap w:val="0"/>
                  <w:vAlign w:val="center"/>
                </w:tcPr>
                <w:p w14:paraId="12855574">
                  <w:pPr>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rPr>
                    <w:t>软鱼注塑机</w:t>
                  </w:r>
                </w:p>
              </w:tc>
              <w:tc>
                <w:tcPr>
                  <w:tcW w:w="1120" w:type="pct"/>
                  <w:noWrap w:val="0"/>
                  <w:vAlign w:val="center"/>
                </w:tcPr>
                <w:p w14:paraId="0C0EC3A6">
                  <w:pPr>
                    <w:jc w:val="center"/>
                    <w:rPr>
                      <w:rFonts w:hint="default" w:ascii="Times New Roman" w:hAnsi="Times New Roman" w:eastAsia="宋体" w:cs="Times New Roman"/>
                      <w:b/>
                      <w:bCs/>
                      <w:color w:val="auto"/>
                      <w:kern w:val="2"/>
                      <w:sz w:val="21"/>
                      <w:szCs w:val="21"/>
                      <w:highlight w:val="none"/>
                      <w:lang w:val="en-US" w:eastAsia="zh-CN" w:bidi="ar-SA"/>
                    </w:rPr>
                  </w:pPr>
                  <w:r>
                    <w:rPr>
                      <w:rFonts w:hint="eastAsia"/>
                      <w:color w:val="auto"/>
                    </w:rPr>
                    <w:t>SZ-80</w:t>
                  </w:r>
                </w:p>
              </w:tc>
              <w:tc>
                <w:tcPr>
                  <w:tcW w:w="605" w:type="pct"/>
                  <w:noWrap w:val="0"/>
                  <w:vAlign w:val="center"/>
                </w:tcPr>
                <w:p w14:paraId="0CC41F6C">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3</w:t>
                  </w:r>
                </w:p>
              </w:tc>
              <w:tc>
                <w:tcPr>
                  <w:tcW w:w="599" w:type="pct"/>
                  <w:noWrap w:val="0"/>
                  <w:vAlign w:val="center"/>
                </w:tcPr>
                <w:p w14:paraId="639A1C2B">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w:t>
                  </w:r>
                </w:p>
              </w:tc>
              <w:tc>
                <w:tcPr>
                  <w:tcW w:w="529" w:type="pct"/>
                  <w:noWrap w:val="0"/>
                  <w:vAlign w:val="center"/>
                </w:tcPr>
                <w:p w14:paraId="0516A1B0">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w:t>
                  </w:r>
                </w:p>
              </w:tc>
            </w:tr>
            <w:tr w14:paraId="0F81B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32" w:type="pct"/>
                  <w:vMerge w:val="continue"/>
                  <w:noWrap w:val="0"/>
                  <w:vAlign w:val="center"/>
                </w:tcPr>
                <w:p w14:paraId="300A3413">
                  <w:pPr>
                    <w:keepNext w:val="0"/>
                    <w:keepLines w:val="0"/>
                    <w:pageBreakBefore w:val="0"/>
                    <w:kinsoku/>
                    <w:wordWrap/>
                    <w:overflowPunct/>
                    <w:topLinePunct w:val="0"/>
                    <w:bidi w:val="0"/>
                    <w:adjustRightInd w:val="0"/>
                    <w:snapToGrid w:val="0"/>
                    <w:spacing w:line="240" w:lineRule="auto"/>
                    <w:ind w:right="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703" w:type="pct"/>
                  <w:vMerge w:val="restart"/>
                  <w:noWrap w:val="0"/>
                  <w:vAlign w:val="center"/>
                </w:tcPr>
                <w:p w14:paraId="622B8F09">
                  <w:pPr>
                    <w:keepNext w:val="0"/>
                    <w:keepLines w:val="0"/>
                    <w:pageBreakBefore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冷却</w:t>
                  </w:r>
                </w:p>
              </w:tc>
              <w:tc>
                <w:tcPr>
                  <w:tcW w:w="910" w:type="pct"/>
                  <w:noWrap w:val="0"/>
                  <w:vAlign w:val="center"/>
                </w:tcPr>
                <w:p w14:paraId="0E8793DA">
                  <w:pPr>
                    <w:jc w:val="center"/>
                    <w:rPr>
                      <w:rFonts w:hint="eastAsia" w:eastAsia="宋体"/>
                      <w:color w:val="auto"/>
                      <w:lang w:eastAsia="zh-CN"/>
                    </w:rPr>
                  </w:pPr>
                  <w:r>
                    <w:rPr>
                      <w:rFonts w:hint="eastAsia"/>
                      <w:color w:val="auto"/>
                      <w:lang w:val="en-US" w:eastAsia="zh-CN"/>
                    </w:rPr>
                    <w:t>1#</w:t>
                  </w:r>
                  <w:r>
                    <w:rPr>
                      <w:rFonts w:hint="eastAsia"/>
                      <w:color w:val="auto"/>
                      <w:lang w:eastAsia="zh-CN"/>
                    </w:rPr>
                    <w:t>循环水池</w:t>
                  </w:r>
                </w:p>
              </w:tc>
              <w:tc>
                <w:tcPr>
                  <w:tcW w:w="1120" w:type="pct"/>
                  <w:noWrap w:val="0"/>
                  <w:vAlign w:val="center"/>
                </w:tcPr>
                <w:p w14:paraId="673821A7">
                  <w:pPr>
                    <w:jc w:val="center"/>
                    <w:rPr>
                      <w:rFonts w:hint="eastAsia"/>
                      <w:color w:val="auto"/>
                    </w:rPr>
                  </w:pPr>
                  <w:r>
                    <w:rPr>
                      <w:rFonts w:hint="eastAsia" w:cs="Times New Roman"/>
                      <w:b w:val="0"/>
                      <w:bCs w:val="0"/>
                      <w:snapToGrid/>
                      <w:color w:val="auto"/>
                      <w:spacing w:val="0"/>
                      <w:kern w:val="0"/>
                      <w:position w:val="0"/>
                      <w:sz w:val="21"/>
                      <w:szCs w:val="21"/>
                      <w:vertAlign w:val="baseline"/>
                      <w:lang w:val="en-US" w:eastAsia="zh-CN"/>
                    </w:rPr>
                    <w:t>2</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eastAsia" w:cs="Times New Roman"/>
                      <w:b w:val="0"/>
                      <w:bCs w:val="0"/>
                      <w:snapToGrid/>
                      <w:color w:val="auto"/>
                      <w:spacing w:val="0"/>
                      <w:kern w:val="0"/>
                      <w:position w:val="0"/>
                      <w:sz w:val="21"/>
                      <w:szCs w:val="21"/>
                      <w:vertAlign w:val="baseline"/>
                      <w:lang w:val="en-US" w:eastAsia="zh-CN"/>
                    </w:rPr>
                    <w:t>1.5</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eastAsia" w:cs="Times New Roman"/>
                      <w:b w:val="0"/>
                      <w:bCs w:val="0"/>
                      <w:snapToGrid/>
                      <w:color w:val="auto"/>
                      <w:spacing w:val="0"/>
                      <w:kern w:val="0"/>
                      <w:position w:val="0"/>
                      <w:sz w:val="21"/>
                      <w:szCs w:val="21"/>
                      <w:vertAlign w:val="baseline"/>
                      <w:lang w:val="en-US" w:eastAsia="zh-CN"/>
                    </w:rPr>
                    <w:t>2</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m</w:t>
                  </w:r>
                </w:p>
              </w:tc>
              <w:tc>
                <w:tcPr>
                  <w:tcW w:w="605" w:type="pct"/>
                  <w:noWrap w:val="0"/>
                  <w:vAlign w:val="center"/>
                </w:tcPr>
                <w:p w14:paraId="5DE35189">
                  <w:pPr>
                    <w:keepNext w:val="0"/>
                    <w:keepLines w:val="0"/>
                    <w:pageBreakBefore w:val="0"/>
                    <w:widowControl w:val="0"/>
                    <w:kinsoku/>
                    <w:wordWrap/>
                    <w:overflowPunct/>
                    <w:topLinePunct w:val="0"/>
                    <w:autoSpaceDE/>
                    <w:autoSpaceDN/>
                    <w:bidi w:val="0"/>
                    <w:spacing w:line="240" w:lineRule="auto"/>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1</w:t>
                  </w:r>
                </w:p>
              </w:tc>
              <w:tc>
                <w:tcPr>
                  <w:tcW w:w="599" w:type="pct"/>
                  <w:noWrap w:val="0"/>
                  <w:vAlign w:val="center"/>
                </w:tcPr>
                <w:p w14:paraId="3415EEC4">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w:t>
                  </w:r>
                </w:p>
              </w:tc>
              <w:tc>
                <w:tcPr>
                  <w:tcW w:w="529" w:type="pct"/>
                  <w:noWrap w:val="0"/>
                  <w:vAlign w:val="center"/>
                </w:tcPr>
                <w:p w14:paraId="48659B2D">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w:t>
                  </w:r>
                </w:p>
              </w:tc>
            </w:tr>
            <w:tr w14:paraId="39049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32" w:type="pct"/>
                  <w:vMerge w:val="continue"/>
                  <w:noWrap w:val="0"/>
                  <w:vAlign w:val="center"/>
                </w:tcPr>
                <w:p w14:paraId="68ED38AD">
                  <w:pPr>
                    <w:keepNext w:val="0"/>
                    <w:keepLines w:val="0"/>
                    <w:pageBreakBefore w:val="0"/>
                    <w:kinsoku/>
                    <w:wordWrap/>
                    <w:overflowPunct/>
                    <w:topLinePunct w:val="0"/>
                    <w:bidi w:val="0"/>
                    <w:adjustRightInd w:val="0"/>
                    <w:snapToGrid w:val="0"/>
                    <w:spacing w:line="240" w:lineRule="auto"/>
                    <w:ind w:right="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703" w:type="pct"/>
                  <w:vMerge w:val="continue"/>
                  <w:noWrap w:val="0"/>
                  <w:vAlign w:val="center"/>
                </w:tcPr>
                <w:p w14:paraId="3FFF7A76">
                  <w:pPr>
                    <w:keepNext w:val="0"/>
                    <w:keepLines w:val="0"/>
                    <w:pageBreakBefore w:val="0"/>
                    <w:kinsoku/>
                    <w:wordWrap/>
                    <w:overflowPunct/>
                    <w:topLinePunct w:val="0"/>
                    <w:bidi w:val="0"/>
                    <w:adjustRightInd w:val="0"/>
                    <w:snapToGrid w:val="0"/>
                    <w:spacing w:line="240" w:lineRule="auto"/>
                    <w:ind w:right="0" w:rightChars="0"/>
                    <w:jc w:val="center"/>
                    <w:rPr>
                      <w:rFonts w:hint="eastAsia" w:cs="Times New Roman"/>
                      <w:snapToGrid/>
                      <w:color w:val="auto"/>
                      <w:spacing w:val="0"/>
                      <w:kern w:val="0"/>
                      <w:position w:val="0"/>
                      <w:sz w:val="21"/>
                      <w:szCs w:val="21"/>
                      <w:lang w:val="en-US" w:eastAsia="zh-CN"/>
                    </w:rPr>
                  </w:pPr>
                </w:p>
              </w:tc>
              <w:tc>
                <w:tcPr>
                  <w:tcW w:w="910" w:type="pct"/>
                  <w:noWrap w:val="0"/>
                  <w:vAlign w:val="center"/>
                </w:tcPr>
                <w:p w14:paraId="63B5D968">
                  <w:pPr>
                    <w:jc w:val="center"/>
                    <w:rPr>
                      <w:rFonts w:hint="eastAsia"/>
                      <w:color w:val="auto"/>
                      <w:lang w:eastAsia="zh-CN"/>
                    </w:rPr>
                  </w:pPr>
                  <w:r>
                    <w:rPr>
                      <w:rFonts w:hint="eastAsia"/>
                      <w:color w:val="auto"/>
                      <w:lang w:val="en-US" w:eastAsia="zh-CN"/>
                    </w:rPr>
                    <w:t>2#</w:t>
                  </w:r>
                  <w:r>
                    <w:rPr>
                      <w:rFonts w:hint="eastAsia"/>
                      <w:color w:val="auto"/>
                      <w:lang w:eastAsia="zh-CN"/>
                    </w:rPr>
                    <w:t>循环水池</w:t>
                  </w:r>
                </w:p>
              </w:tc>
              <w:tc>
                <w:tcPr>
                  <w:tcW w:w="1120" w:type="pct"/>
                  <w:noWrap w:val="0"/>
                  <w:vAlign w:val="center"/>
                </w:tcPr>
                <w:p w14:paraId="5FF32EBC">
                  <w:pPr>
                    <w:jc w:val="cente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3</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eastAsia" w:cs="Times New Roman"/>
                      <w:b w:val="0"/>
                      <w:bCs w:val="0"/>
                      <w:snapToGrid/>
                      <w:color w:val="auto"/>
                      <w:spacing w:val="0"/>
                      <w:kern w:val="0"/>
                      <w:position w:val="0"/>
                      <w:sz w:val="21"/>
                      <w:szCs w:val="21"/>
                      <w:vertAlign w:val="baseline"/>
                      <w:lang w:val="en-US" w:eastAsia="zh-CN"/>
                    </w:rPr>
                    <w:t>1</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eastAsia" w:cs="Times New Roman"/>
                      <w:b w:val="0"/>
                      <w:bCs w:val="0"/>
                      <w:snapToGrid/>
                      <w:color w:val="auto"/>
                      <w:spacing w:val="0"/>
                      <w:kern w:val="0"/>
                      <w:position w:val="0"/>
                      <w:sz w:val="21"/>
                      <w:szCs w:val="21"/>
                      <w:vertAlign w:val="baseline"/>
                      <w:lang w:val="en-US" w:eastAsia="zh-CN"/>
                    </w:rPr>
                    <w:t>2</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m</w:t>
                  </w:r>
                </w:p>
              </w:tc>
              <w:tc>
                <w:tcPr>
                  <w:tcW w:w="605" w:type="pct"/>
                  <w:noWrap w:val="0"/>
                  <w:vAlign w:val="center"/>
                </w:tcPr>
                <w:p w14:paraId="281CF120">
                  <w:pPr>
                    <w:keepNext w:val="0"/>
                    <w:keepLines w:val="0"/>
                    <w:pageBreakBefore w:val="0"/>
                    <w:widowControl w:val="0"/>
                    <w:kinsoku/>
                    <w:wordWrap/>
                    <w:overflowPunct/>
                    <w:topLinePunct w:val="0"/>
                    <w:autoSpaceDE/>
                    <w:autoSpaceDN/>
                    <w:bidi w:val="0"/>
                    <w:spacing w:line="240" w:lineRule="auto"/>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1</w:t>
                  </w:r>
                </w:p>
              </w:tc>
              <w:tc>
                <w:tcPr>
                  <w:tcW w:w="599" w:type="pct"/>
                  <w:noWrap w:val="0"/>
                  <w:vAlign w:val="center"/>
                </w:tcPr>
                <w:p w14:paraId="753A012B">
                  <w:pPr>
                    <w:keepNext w:val="0"/>
                    <w:keepLines w:val="0"/>
                    <w:pageBreakBefore w:val="0"/>
                    <w:widowControl w:val="0"/>
                    <w:kinsoku/>
                    <w:wordWrap/>
                    <w:overflowPunct/>
                    <w:topLinePunct w:val="0"/>
                    <w:autoSpaceDE/>
                    <w:autoSpaceDN/>
                    <w:bidi w:val="0"/>
                    <w:jc w:val="center"/>
                    <w:textAlignment w:val="auto"/>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w:t>
                  </w:r>
                </w:p>
              </w:tc>
              <w:tc>
                <w:tcPr>
                  <w:tcW w:w="529" w:type="pct"/>
                  <w:noWrap w:val="0"/>
                  <w:vAlign w:val="center"/>
                </w:tcPr>
                <w:p w14:paraId="71AE1479">
                  <w:pPr>
                    <w:keepNext w:val="0"/>
                    <w:keepLines w:val="0"/>
                    <w:pageBreakBefore w:val="0"/>
                    <w:widowControl w:val="0"/>
                    <w:kinsoku/>
                    <w:wordWrap/>
                    <w:overflowPunct/>
                    <w:topLinePunct w:val="0"/>
                    <w:autoSpaceDE/>
                    <w:autoSpaceDN/>
                    <w:bidi w:val="0"/>
                    <w:jc w:val="center"/>
                    <w:textAlignment w:val="auto"/>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w:t>
                  </w:r>
                </w:p>
              </w:tc>
            </w:tr>
            <w:tr w14:paraId="5D88B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32" w:type="pct"/>
                  <w:vMerge w:val="continue"/>
                  <w:noWrap w:val="0"/>
                  <w:vAlign w:val="center"/>
                </w:tcPr>
                <w:p w14:paraId="01C58BFA">
                  <w:pPr>
                    <w:keepNext w:val="0"/>
                    <w:keepLines w:val="0"/>
                    <w:pageBreakBefore w:val="0"/>
                    <w:kinsoku/>
                    <w:wordWrap/>
                    <w:overflowPunct/>
                    <w:topLinePunct w:val="0"/>
                    <w:bidi w:val="0"/>
                    <w:adjustRightInd w:val="0"/>
                    <w:snapToGrid w:val="0"/>
                    <w:spacing w:line="240" w:lineRule="auto"/>
                    <w:ind w:right="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703" w:type="pct"/>
                  <w:vMerge w:val="continue"/>
                  <w:noWrap w:val="0"/>
                  <w:vAlign w:val="center"/>
                </w:tcPr>
                <w:p w14:paraId="31F9145D">
                  <w:pPr>
                    <w:keepNext w:val="0"/>
                    <w:keepLines w:val="0"/>
                    <w:pageBreakBefore w:val="0"/>
                    <w:kinsoku/>
                    <w:wordWrap/>
                    <w:overflowPunct/>
                    <w:topLinePunct w:val="0"/>
                    <w:bidi w:val="0"/>
                    <w:adjustRightInd w:val="0"/>
                    <w:snapToGrid w:val="0"/>
                    <w:spacing w:line="240" w:lineRule="auto"/>
                    <w:ind w:right="0" w:rightChars="0"/>
                    <w:jc w:val="center"/>
                    <w:rPr>
                      <w:rFonts w:hint="eastAsia" w:cs="Times New Roman"/>
                      <w:snapToGrid/>
                      <w:color w:val="auto"/>
                      <w:spacing w:val="0"/>
                      <w:kern w:val="0"/>
                      <w:position w:val="0"/>
                      <w:sz w:val="21"/>
                      <w:szCs w:val="21"/>
                      <w:lang w:val="en-US" w:eastAsia="zh-CN"/>
                    </w:rPr>
                  </w:pPr>
                </w:p>
              </w:tc>
              <w:tc>
                <w:tcPr>
                  <w:tcW w:w="910" w:type="pct"/>
                  <w:noWrap w:val="0"/>
                  <w:vAlign w:val="center"/>
                </w:tcPr>
                <w:p w14:paraId="00C66C81">
                  <w:pPr>
                    <w:jc w:val="center"/>
                    <w:rPr>
                      <w:rFonts w:hint="eastAsia"/>
                      <w:color w:val="auto"/>
                      <w:lang w:eastAsia="zh-CN"/>
                    </w:rPr>
                  </w:pPr>
                  <w:r>
                    <w:rPr>
                      <w:rFonts w:hint="eastAsia"/>
                      <w:color w:val="auto"/>
                      <w:lang w:val="en-US" w:eastAsia="zh-CN"/>
                    </w:rPr>
                    <w:t>3#</w:t>
                  </w:r>
                  <w:r>
                    <w:rPr>
                      <w:rFonts w:hint="eastAsia"/>
                      <w:color w:val="auto"/>
                      <w:lang w:eastAsia="zh-CN"/>
                    </w:rPr>
                    <w:t>循环水池</w:t>
                  </w:r>
                </w:p>
              </w:tc>
              <w:tc>
                <w:tcPr>
                  <w:tcW w:w="1120" w:type="pct"/>
                  <w:noWrap w:val="0"/>
                  <w:vAlign w:val="center"/>
                </w:tcPr>
                <w:p w14:paraId="2274A248">
                  <w:pPr>
                    <w:jc w:val="cente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3</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eastAsia" w:cs="Times New Roman"/>
                      <w:b w:val="0"/>
                      <w:bCs w:val="0"/>
                      <w:snapToGrid/>
                      <w:color w:val="auto"/>
                      <w:spacing w:val="0"/>
                      <w:kern w:val="0"/>
                      <w:position w:val="0"/>
                      <w:sz w:val="21"/>
                      <w:szCs w:val="21"/>
                      <w:vertAlign w:val="baseline"/>
                      <w:lang w:val="en-US" w:eastAsia="zh-CN"/>
                    </w:rPr>
                    <w:t>1</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m*</w:t>
                  </w:r>
                  <w:r>
                    <w:rPr>
                      <w:rFonts w:hint="eastAsia" w:cs="Times New Roman"/>
                      <w:b w:val="0"/>
                      <w:bCs w:val="0"/>
                      <w:snapToGrid/>
                      <w:color w:val="auto"/>
                      <w:spacing w:val="0"/>
                      <w:kern w:val="0"/>
                      <w:position w:val="0"/>
                      <w:sz w:val="21"/>
                      <w:szCs w:val="21"/>
                      <w:vertAlign w:val="baseline"/>
                      <w:lang w:val="en-US" w:eastAsia="zh-CN"/>
                    </w:rPr>
                    <w:t>2</w:t>
                  </w: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m</w:t>
                  </w:r>
                </w:p>
              </w:tc>
              <w:tc>
                <w:tcPr>
                  <w:tcW w:w="605" w:type="pct"/>
                  <w:noWrap w:val="0"/>
                  <w:vAlign w:val="center"/>
                </w:tcPr>
                <w:p w14:paraId="7307B614">
                  <w:pPr>
                    <w:keepNext w:val="0"/>
                    <w:keepLines w:val="0"/>
                    <w:pageBreakBefore w:val="0"/>
                    <w:widowControl w:val="0"/>
                    <w:kinsoku/>
                    <w:wordWrap/>
                    <w:overflowPunct/>
                    <w:topLinePunct w:val="0"/>
                    <w:autoSpaceDE/>
                    <w:autoSpaceDN/>
                    <w:bidi w:val="0"/>
                    <w:spacing w:line="240" w:lineRule="auto"/>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c>
                <w:tcPr>
                  <w:tcW w:w="599" w:type="pct"/>
                  <w:noWrap w:val="0"/>
                  <w:vAlign w:val="center"/>
                </w:tcPr>
                <w:p w14:paraId="3408E7E4">
                  <w:pPr>
                    <w:keepNext w:val="0"/>
                    <w:keepLines w:val="0"/>
                    <w:pageBreakBefore w:val="0"/>
                    <w:widowControl w:val="0"/>
                    <w:kinsoku/>
                    <w:wordWrap/>
                    <w:overflowPunct/>
                    <w:topLinePunct w:val="0"/>
                    <w:autoSpaceDE/>
                    <w:autoSpaceDN/>
                    <w:bidi w:val="0"/>
                    <w:jc w:val="center"/>
                    <w:textAlignment w:val="auto"/>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w:t>
                  </w:r>
                </w:p>
              </w:tc>
              <w:tc>
                <w:tcPr>
                  <w:tcW w:w="529" w:type="pct"/>
                  <w:noWrap w:val="0"/>
                  <w:vAlign w:val="center"/>
                </w:tcPr>
                <w:p w14:paraId="0E256F1B">
                  <w:pPr>
                    <w:keepNext w:val="0"/>
                    <w:keepLines w:val="0"/>
                    <w:pageBreakBefore w:val="0"/>
                    <w:widowControl w:val="0"/>
                    <w:kinsoku/>
                    <w:wordWrap/>
                    <w:overflowPunct/>
                    <w:topLinePunct w:val="0"/>
                    <w:autoSpaceDE/>
                    <w:autoSpaceDN/>
                    <w:bidi w:val="0"/>
                    <w:jc w:val="center"/>
                    <w:textAlignment w:val="auto"/>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w:t>
                  </w:r>
                </w:p>
              </w:tc>
            </w:tr>
            <w:tr w14:paraId="16393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32" w:type="pct"/>
                  <w:vMerge w:val="continue"/>
                  <w:noWrap w:val="0"/>
                  <w:vAlign w:val="center"/>
                </w:tcPr>
                <w:p w14:paraId="366BB480">
                  <w:pPr>
                    <w:keepNext w:val="0"/>
                    <w:keepLines w:val="0"/>
                    <w:pageBreakBefore w:val="0"/>
                    <w:kinsoku/>
                    <w:wordWrap/>
                    <w:overflowPunct/>
                    <w:topLinePunct w:val="0"/>
                    <w:bidi w:val="0"/>
                    <w:adjustRightInd w:val="0"/>
                    <w:snapToGrid w:val="0"/>
                    <w:spacing w:line="240" w:lineRule="auto"/>
                    <w:ind w:right="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703" w:type="pct"/>
                  <w:noWrap w:val="0"/>
                  <w:vAlign w:val="center"/>
                </w:tcPr>
                <w:p w14:paraId="7A0D67A2">
                  <w:pPr>
                    <w:keepNext w:val="0"/>
                    <w:keepLines w:val="0"/>
                    <w:pageBreakBefore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脱除粘结剂</w:t>
                  </w:r>
                </w:p>
              </w:tc>
              <w:tc>
                <w:tcPr>
                  <w:tcW w:w="910" w:type="pct"/>
                  <w:vMerge w:val="restart"/>
                  <w:noWrap w:val="0"/>
                  <w:vAlign w:val="center"/>
                </w:tcPr>
                <w:p w14:paraId="6C6966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rPr>
                    <w:t>微电脑钼丝炉</w:t>
                  </w:r>
                </w:p>
              </w:tc>
              <w:tc>
                <w:tcPr>
                  <w:tcW w:w="1120" w:type="pct"/>
                  <w:vMerge w:val="restart"/>
                  <w:noWrap w:val="0"/>
                  <w:vAlign w:val="center"/>
                </w:tcPr>
                <w:p w14:paraId="756DCA17">
                  <w:pPr>
                    <w:spacing w:line="240" w:lineRule="auto"/>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eastAsia"/>
                      <w:color w:val="auto"/>
                    </w:rPr>
                    <w:t>ZZY-40</w:t>
                  </w:r>
                </w:p>
              </w:tc>
              <w:tc>
                <w:tcPr>
                  <w:tcW w:w="605" w:type="pct"/>
                  <w:noWrap w:val="0"/>
                  <w:vAlign w:val="center"/>
                </w:tcPr>
                <w:p w14:paraId="7999C06B">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i w:val="0"/>
                      <w:snapToGrid/>
                      <w:color w:val="auto"/>
                      <w:spacing w:val="0"/>
                      <w:kern w:val="0"/>
                      <w:position w:val="0"/>
                      <w:sz w:val="21"/>
                      <w:szCs w:val="21"/>
                      <w:u w:val="none"/>
                      <w:lang w:val="en-US" w:eastAsia="zh-CN" w:bidi="ar-SA"/>
                    </w:rPr>
                  </w:pPr>
                  <w:r>
                    <w:rPr>
                      <w:rFonts w:hint="eastAsia" w:cs="Times New Roman"/>
                      <w:i w:val="0"/>
                      <w:snapToGrid/>
                      <w:color w:val="auto"/>
                      <w:spacing w:val="0"/>
                      <w:kern w:val="0"/>
                      <w:position w:val="0"/>
                      <w:sz w:val="21"/>
                      <w:szCs w:val="21"/>
                      <w:u w:val="none"/>
                      <w:lang w:val="en-US" w:eastAsia="zh-CN" w:bidi="ar-SA"/>
                    </w:rPr>
                    <w:t>3</w:t>
                  </w:r>
                </w:p>
              </w:tc>
              <w:tc>
                <w:tcPr>
                  <w:tcW w:w="599" w:type="pct"/>
                  <w:noWrap w:val="0"/>
                  <w:vAlign w:val="center"/>
                </w:tcPr>
                <w:p w14:paraId="7A8FF83C">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i w:val="0"/>
                      <w:snapToGrid/>
                      <w:color w:val="auto"/>
                      <w:spacing w:val="0"/>
                      <w:kern w:val="0"/>
                      <w:position w:val="0"/>
                      <w:sz w:val="21"/>
                      <w:szCs w:val="21"/>
                      <w:u w:val="none"/>
                      <w:lang w:val="en-US" w:eastAsia="zh-CN" w:bidi="ar-SA"/>
                    </w:rPr>
                  </w:pPr>
                  <w:r>
                    <w:rPr>
                      <w:rFonts w:hint="eastAsia" w:cs="Times New Roman"/>
                      <w:i w:val="0"/>
                      <w:snapToGrid/>
                      <w:color w:val="auto"/>
                      <w:spacing w:val="0"/>
                      <w:kern w:val="0"/>
                      <w:position w:val="0"/>
                      <w:sz w:val="21"/>
                      <w:szCs w:val="21"/>
                      <w:u w:val="none"/>
                      <w:lang w:val="en-US" w:eastAsia="zh-CN" w:bidi="ar-SA"/>
                    </w:rPr>
                    <w:t>8</w:t>
                  </w:r>
                </w:p>
              </w:tc>
              <w:tc>
                <w:tcPr>
                  <w:tcW w:w="529" w:type="pct"/>
                  <w:noWrap w:val="0"/>
                  <w:vAlign w:val="center"/>
                </w:tcPr>
                <w:p w14:paraId="0F93FEF8">
                  <w:pPr>
                    <w:keepNext w:val="0"/>
                    <w:keepLines w:val="0"/>
                    <w:widowControl/>
                    <w:suppressLineNumbers w:val="0"/>
                    <w:jc w:val="center"/>
                    <w:textAlignment w:val="center"/>
                    <w:rPr>
                      <w:rFonts w:hint="default" w:ascii="Times New Roman" w:hAnsi="Times New Roman" w:eastAsia="宋体" w:cs="Times New Roman"/>
                      <w:i w:val="0"/>
                      <w:snapToGrid/>
                      <w:color w:val="auto"/>
                      <w:spacing w:val="0"/>
                      <w:kern w:val="0"/>
                      <w:position w:val="0"/>
                      <w:sz w:val="21"/>
                      <w:szCs w:val="21"/>
                      <w:u w:val="none"/>
                      <w:lang w:val="en-US" w:eastAsia="zh-CN" w:bidi="ar-SA"/>
                    </w:rPr>
                  </w:pPr>
                  <w:r>
                    <w:rPr>
                      <w:rFonts w:hint="eastAsia" w:cs="Times New Roman"/>
                      <w:i w:val="0"/>
                      <w:snapToGrid/>
                      <w:color w:val="auto"/>
                      <w:spacing w:val="0"/>
                      <w:kern w:val="0"/>
                      <w:position w:val="0"/>
                      <w:sz w:val="21"/>
                      <w:szCs w:val="21"/>
                      <w:u w:val="none"/>
                      <w:lang w:val="en-US" w:eastAsia="zh-CN" w:bidi="ar-SA"/>
                    </w:rPr>
                    <w:t>+5</w:t>
                  </w:r>
                </w:p>
              </w:tc>
            </w:tr>
            <w:tr w14:paraId="1FC0B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32" w:type="pct"/>
                  <w:vMerge w:val="continue"/>
                  <w:noWrap w:val="0"/>
                  <w:vAlign w:val="center"/>
                </w:tcPr>
                <w:p w14:paraId="14C25CA5">
                  <w:pPr>
                    <w:keepNext w:val="0"/>
                    <w:keepLines w:val="0"/>
                    <w:pageBreakBefore w:val="0"/>
                    <w:kinsoku/>
                    <w:wordWrap/>
                    <w:overflowPunct/>
                    <w:topLinePunct w:val="0"/>
                    <w:bidi w:val="0"/>
                    <w:adjustRightInd w:val="0"/>
                    <w:snapToGrid w:val="0"/>
                    <w:spacing w:line="240" w:lineRule="auto"/>
                    <w:ind w:right="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703" w:type="pct"/>
                  <w:noWrap w:val="0"/>
                  <w:vAlign w:val="center"/>
                </w:tcPr>
                <w:p w14:paraId="60EE932F">
                  <w:pPr>
                    <w:keepNext w:val="0"/>
                    <w:keepLines w:val="0"/>
                    <w:pageBreakBefore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烧结致密</w:t>
                  </w:r>
                </w:p>
              </w:tc>
              <w:tc>
                <w:tcPr>
                  <w:tcW w:w="910" w:type="pct"/>
                  <w:vMerge w:val="continue"/>
                  <w:noWrap w:val="0"/>
                  <w:vAlign w:val="center"/>
                </w:tcPr>
                <w:p w14:paraId="4594FEEA">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color w:val="auto"/>
                      <w:sz w:val="21"/>
                      <w:szCs w:val="21"/>
                    </w:rPr>
                  </w:pPr>
                </w:p>
              </w:tc>
              <w:tc>
                <w:tcPr>
                  <w:tcW w:w="1120" w:type="pct"/>
                  <w:vMerge w:val="continue"/>
                  <w:noWrap w:val="0"/>
                  <w:vAlign w:val="center"/>
                </w:tcPr>
                <w:p w14:paraId="02824C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605" w:type="pct"/>
                  <w:noWrap w:val="0"/>
                  <w:vAlign w:val="center"/>
                </w:tcPr>
                <w:p w14:paraId="1D58CF97">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p>
              </w:tc>
              <w:tc>
                <w:tcPr>
                  <w:tcW w:w="599" w:type="pct"/>
                  <w:noWrap w:val="0"/>
                  <w:vAlign w:val="center"/>
                </w:tcPr>
                <w:p w14:paraId="4530C69A">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w:t>
                  </w:r>
                </w:p>
              </w:tc>
              <w:tc>
                <w:tcPr>
                  <w:tcW w:w="529" w:type="pct"/>
                  <w:noWrap w:val="0"/>
                  <w:vAlign w:val="center"/>
                </w:tcPr>
                <w:p w14:paraId="4BFCCF4B">
                  <w:pPr>
                    <w:keepNext w:val="0"/>
                    <w:keepLines w:val="0"/>
                    <w:widowControl/>
                    <w:suppressLineNumbers w:val="0"/>
                    <w:jc w:val="center"/>
                    <w:textAlignment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+4</w:t>
                  </w:r>
                </w:p>
              </w:tc>
            </w:tr>
            <w:tr w14:paraId="5668D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32" w:type="pct"/>
                  <w:vMerge w:val="continue"/>
                  <w:noWrap w:val="0"/>
                  <w:vAlign w:val="center"/>
                </w:tcPr>
                <w:p w14:paraId="6949FBAE">
                  <w:pPr>
                    <w:keepNext w:val="0"/>
                    <w:keepLines w:val="0"/>
                    <w:pageBreakBefore w:val="0"/>
                    <w:kinsoku/>
                    <w:wordWrap/>
                    <w:overflowPunct/>
                    <w:topLinePunct w:val="0"/>
                    <w:bidi w:val="0"/>
                    <w:adjustRightInd w:val="0"/>
                    <w:snapToGrid w:val="0"/>
                    <w:spacing w:line="240" w:lineRule="auto"/>
                    <w:ind w:right="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703" w:type="pct"/>
                  <w:noWrap w:val="0"/>
                  <w:vAlign w:val="center"/>
                </w:tcPr>
                <w:p w14:paraId="192AF1F0">
                  <w:pPr>
                    <w:keepNext w:val="0"/>
                    <w:keepLines w:val="0"/>
                    <w:pageBreakBefore w:val="0"/>
                    <w:kinsoku/>
                    <w:wordWrap/>
                    <w:overflowPunct/>
                    <w:topLinePunct w:val="0"/>
                    <w:bidi w:val="0"/>
                    <w:adjustRightInd w:val="0"/>
                    <w:snapToGrid w:val="0"/>
                    <w:spacing w:line="240" w:lineRule="auto"/>
                    <w:ind w:right="0" w:rightChars="0"/>
                    <w:jc w:val="center"/>
                    <w:rPr>
                      <w:rFonts w:hint="eastAsia"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钻孔</w:t>
                  </w:r>
                </w:p>
              </w:tc>
              <w:tc>
                <w:tcPr>
                  <w:tcW w:w="910" w:type="pct"/>
                  <w:noWrap w:val="0"/>
                  <w:vAlign w:val="center"/>
                </w:tcPr>
                <w:p w14:paraId="5FDABF35">
                  <w:pPr>
                    <w:jc w:val="center"/>
                    <w:rPr>
                      <w:rFonts w:hint="eastAsia" w:eastAsia="宋体"/>
                      <w:color w:val="auto"/>
                      <w:lang w:eastAsia="zh-CN"/>
                    </w:rPr>
                  </w:pPr>
                  <w:r>
                    <w:rPr>
                      <w:rFonts w:hint="eastAsia"/>
                      <w:color w:val="auto"/>
                      <w:lang w:eastAsia="zh-CN"/>
                    </w:rPr>
                    <w:t>台钻</w:t>
                  </w:r>
                </w:p>
              </w:tc>
              <w:tc>
                <w:tcPr>
                  <w:tcW w:w="1120" w:type="pct"/>
                  <w:noWrap w:val="0"/>
                  <w:vAlign w:val="center"/>
                </w:tcPr>
                <w:p w14:paraId="4D11C6D1">
                  <w:pPr>
                    <w:jc w:val="center"/>
                    <w:rPr>
                      <w:rFonts w:hint="default" w:eastAsia="宋体"/>
                      <w:color w:val="auto"/>
                      <w:lang w:val="en-US" w:eastAsia="zh-CN"/>
                    </w:rPr>
                  </w:pPr>
                  <w:r>
                    <w:rPr>
                      <w:rFonts w:hint="eastAsia"/>
                      <w:color w:val="auto"/>
                      <w:lang w:val="en-US" w:eastAsia="zh-CN"/>
                    </w:rPr>
                    <w:t>XH-005</w:t>
                  </w:r>
                </w:p>
              </w:tc>
              <w:tc>
                <w:tcPr>
                  <w:tcW w:w="605" w:type="pct"/>
                  <w:noWrap w:val="0"/>
                  <w:vAlign w:val="center"/>
                </w:tcPr>
                <w:p w14:paraId="0494C3FD">
                  <w:pPr>
                    <w:keepNext w:val="0"/>
                    <w:keepLines w:val="0"/>
                    <w:pageBreakBefore w:val="0"/>
                    <w:widowControl w:val="0"/>
                    <w:kinsoku/>
                    <w:wordWrap/>
                    <w:overflowPunct/>
                    <w:topLinePunct w:val="0"/>
                    <w:autoSpaceDE/>
                    <w:autoSpaceDN/>
                    <w:bidi w:val="0"/>
                    <w:spacing w:line="240" w:lineRule="auto"/>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2</w:t>
                  </w:r>
                </w:p>
              </w:tc>
              <w:tc>
                <w:tcPr>
                  <w:tcW w:w="599" w:type="pct"/>
                  <w:noWrap w:val="0"/>
                  <w:vAlign w:val="center"/>
                </w:tcPr>
                <w:p w14:paraId="09DA9C34">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p>
              </w:tc>
              <w:tc>
                <w:tcPr>
                  <w:tcW w:w="529" w:type="pct"/>
                  <w:noWrap w:val="0"/>
                  <w:vAlign w:val="center"/>
                </w:tcPr>
                <w:p w14:paraId="6AB106EE">
                  <w:pPr>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0</w:t>
                  </w:r>
                </w:p>
              </w:tc>
            </w:tr>
            <w:tr w14:paraId="51086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32" w:type="pct"/>
                  <w:vMerge w:val="continue"/>
                  <w:noWrap w:val="0"/>
                  <w:vAlign w:val="center"/>
                </w:tcPr>
                <w:p w14:paraId="10888074">
                  <w:pPr>
                    <w:keepNext w:val="0"/>
                    <w:keepLines w:val="0"/>
                    <w:pageBreakBefore w:val="0"/>
                    <w:kinsoku/>
                    <w:wordWrap/>
                    <w:overflowPunct/>
                    <w:topLinePunct w:val="0"/>
                    <w:bidi w:val="0"/>
                    <w:adjustRightInd w:val="0"/>
                    <w:snapToGrid w:val="0"/>
                    <w:spacing w:line="240" w:lineRule="auto"/>
                    <w:ind w:right="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703" w:type="pct"/>
                  <w:noWrap w:val="0"/>
                  <w:vAlign w:val="center"/>
                </w:tcPr>
                <w:p w14:paraId="35AB66D2">
                  <w:pPr>
                    <w:keepNext w:val="0"/>
                    <w:keepLines w:val="0"/>
                    <w:pageBreakBefore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研磨</w:t>
                  </w:r>
                </w:p>
              </w:tc>
              <w:tc>
                <w:tcPr>
                  <w:tcW w:w="910" w:type="pct"/>
                  <w:noWrap w:val="0"/>
                  <w:vAlign w:val="center"/>
                </w:tcPr>
                <w:p w14:paraId="4305CE5A">
                  <w:pPr>
                    <w:jc w:val="center"/>
                    <w:rPr>
                      <w:rFonts w:hint="default" w:ascii="Times New Roman" w:hAnsi="Times New Roman" w:eastAsia="宋体" w:cs="Times New Roman"/>
                      <w:color w:val="auto"/>
                      <w:sz w:val="21"/>
                      <w:szCs w:val="21"/>
                    </w:rPr>
                  </w:pPr>
                  <w:r>
                    <w:rPr>
                      <w:rFonts w:hint="eastAsia"/>
                      <w:color w:val="auto"/>
                    </w:rPr>
                    <w:t>震动研磨机</w:t>
                  </w:r>
                </w:p>
              </w:tc>
              <w:tc>
                <w:tcPr>
                  <w:tcW w:w="1120" w:type="pct"/>
                  <w:noWrap w:val="0"/>
                  <w:vAlign w:val="center"/>
                </w:tcPr>
                <w:p w14:paraId="6C21191A">
                  <w:pPr>
                    <w:jc w:val="center"/>
                    <w:rPr>
                      <w:rFonts w:hint="default" w:ascii="Times New Roman" w:hAnsi="Times New Roman" w:eastAsia="宋体" w:cs="Times New Roman"/>
                      <w:color w:val="auto"/>
                      <w:sz w:val="21"/>
                      <w:szCs w:val="21"/>
                    </w:rPr>
                  </w:pPr>
                  <w:r>
                    <w:rPr>
                      <w:rFonts w:hint="eastAsia"/>
                      <w:color w:val="auto"/>
                    </w:rPr>
                    <w:t>HZ-50L</w:t>
                  </w:r>
                </w:p>
              </w:tc>
              <w:tc>
                <w:tcPr>
                  <w:tcW w:w="605" w:type="pct"/>
                  <w:noWrap w:val="0"/>
                  <w:vAlign w:val="center"/>
                </w:tcPr>
                <w:p w14:paraId="56FDC05D">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p>
              </w:tc>
              <w:tc>
                <w:tcPr>
                  <w:tcW w:w="599" w:type="pct"/>
                  <w:noWrap w:val="0"/>
                  <w:vAlign w:val="center"/>
                </w:tcPr>
                <w:p w14:paraId="61E67477">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w:t>
                  </w:r>
                </w:p>
              </w:tc>
              <w:tc>
                <w:tcPr>
                  <w:tcW w:w="529" w:type="pct"/>
                  <w:noWrap w:val="0"/>
                  <w:vAlign w:val="center"/>
                </w:tcPr>
                <w:p w14:paraId="270A482D">
                  <w:pPr>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+2</w:t>
                  </w:r>
                </w:p>
              </w:tc>
            </w:tr>
            <w:tr w14:paraId="2B564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32" w:type="pct"/>
                  <w:vMerge w:val="continue"/>
                  <w:noWrap w:val="0"/>
                  <w:vAlign w:val="center"/>
                </w:tcPr>
                <w:p w14:paraId="7C2E5E6B">
                  <w:pPr>
                    <w:keepNext w:val="0"/>
                    <w:keepLines w:val="0"/>
                    <w:pageBreakBefore w:val="0"/>
                    <w:kinsoku/>
                    <w:wordWrap/>
                    <w:overflowPunct/>
                    <w:topLinePunct w:val="0"/>
                    <w:bidi w:val="0"/>
                    <w:adjustRightInd w:val="0"/>
                    <w:snapToGrid w:val="0"/>
                    <w:spacing w:line="240" w:lineRule="auto"/>
                    <w:ind w:right="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703" w:type="pct"/>
                  <w:tcBorders>
                    <w:bottom w:val="single" w:color="auto" w:sz="4" w:space="0"/>
                  </w:tcBorders>
                  <w:noWrap w:val="0"/>
                  <w:vAlign w:val="center"/>
                </w:tcPr>
                <w:p w14:paraId="7781E71B">
                  <w:pPr>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喷塑</w:t>
                  </w:r>
                </w:p>
              </w:tc>
              <w:tc>
                <w:tcPr>
                  <w:tcW w:w="910" w:type="pct"/>
                  <w:noWrap w:val="0"/>
                  <w:vAlign w:val="center"/>
                </w:tcPr>
                <w:p w14:paraId="18BAABB2">
                  <w:pPr>
                    <w:jc w:val="center"/>
                    <w:rPr>
                      <w:rFonts w:hint="default" w:ascii="Times New Roman" w:hAnsi="Times New Roman" w:eastAsia="宋体" w:cs="Times New Roman"/>
                      <w:color w:val="auto"/>
                      <w:sz w:val="21"/>
                      <w:szCs w:val="21"/>
                    </w:rPr>
                  </w:pPr>
                  <w:r>
                    <w:rPr>
                      <w:rFonts w:hint="eastAsia"/>
                      <w:color w:val="auto"/>
                    </w:rPr>
                    <w:t>静电喷塑机</w:t>
                  </w:r>
                </w:p>
              </w:tc>
              <w:tc>
                <w:tcPr>
                  <w:tcW w:w="1120" w:type="pct"/>
                  <w:noWrap w:val="0"/>
                  <w:vAlign w:val="center"/>
                </w:tcPr>
                <w:p w14:paraId="15015D11">
                  <w:pPr>
                    <w:jc w:val="center"/>
                    <w:rPr>
                      <w:rFonts w:hint="default" w:ascii="Times New Roman" w:hAnsi="Times New Roman" w:eastAsia="宋体" w:cs="Times New Roman"/>
                      <w:color w:val="auto"/>
                      <w:sz w:val="21"/>
                      <w:szCs w:val="21"/>
                    </w:rPr>
                  </w:pPr>
                  <w:r>
                    <w:rPr>
                      <w:rFonts w:hint="eastAsia"/>
                      <w:color w:val="auto"/>
                    </w:rPr>
                    <w:t>TZ-300TZ</w:t>
                  </w:r>
                </w:p>
              </w:tc>
              <w:tc>
                <w:tcPr>
                  <w:tcW w:w="605" w:type="pct"/>
                  <w:noWrap w:val="0"/>
                  <w:vAlign w:val="center"/>
                </w:tcPr>
                <w:p w14:paraId="506802B5">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w:t>
                  </w:r>
                </w:p>
              </w:tc>
              <w:tc>
                <w:tcPr>
                  <w:tcW w:w="599" w:type="pct"/>
                  <w:noWrap w:val="0"/>
                  <w:vAlign w:val="center"/>
                </w:tcPr>
                <w:p w14:paraId="239F44A0">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w:t>
                  </w:r>
                </w:p>
              </w:tc>
              <w:tc>
                <w:tcPr>
                  <w:tcW w:w="529" w:type="pct"/>
                  <w:noWrap w:val="0"/>
                  <w:vAlign w:val="center"/>
                </w:tcPr>
                <w:p w14:paraId="3FE4D0EE">
                  <w:pPr>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0</w:t>
                  </w:r>
                </w:p>
              </w:tc>
            </w:tr>
            <w:tr w14:paraId="2E849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32" w:type="pct"/>
                  <w:vMerge w:val="continue"/>
                  <w:noWrap w:val="0"/>
                  <w:vAlign w:val="center"/>
                </w:tcPr>
                <w:p w14:paraId="2560131A">
                  <w:pPr>
                    <w:keepNext w:val="0"/>
                    <w:keepLines w:val="0"/>
                    <w:pageBreakBefore w:val="0"/>
                    <w:kinsoku/>
                    <w:wordWrap/>
                    <w:overflowPunct/>
                    <w:topLinePunct w:val="0"/>
                    <w:bidi w:val="0"/>
                    <w:adjustRightInd w:val="0"/>
                    <w:snapToGrid w:val="0"/>
                    <w:spacing w:line="240" w:lineRule="auto"/>
                    <w:ind w:right="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703" w:type="pct"/>
                  <w:noWrap w:val="0"/>
                  <w:vAlign w:val="center"/>
                </w:tcPr>
                <w:p w14:paraId="2EA93092">
                  <w:pPr>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color w:val="auto"/>
                      <w:sz w:val="21"/>
                      <w:szCs w:val="21"/>
                      <w:lang w:val="en-US" w:eastAsia="zh-CN"/>
                    </w:rPr>
                    <w:t>固化</w:t>
                  </w:r>
                </w:p>
              </w:tc>
              <w:tc>
                <w:tcPr>
                  <w:tcW w:w="910" w:type="pct"/>
                  <w:noWrap w:val="0"/>
                  <w:vAlign w:val="center"/>
                </w:tcPr>
                <w:p w14:paraId="665F0BE6">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固化炉</w:t>
                  </w:r>
                </w:p>
              </w:tc>
              <w:tc>
                <w:tcPr>
                  <w:tcW w:w="1120" w:type="pct"/>
                  <w:noWrap w:val="0"/>
                  <w:vAlign w:val="center"/>
                </w:tcPr>
                <w:p w14:paraId="20FE6A9D">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605" w:type="pct"/>
                  <w:noWrap w:val="0"/>
                  <w:vAlign w:val="center"/>
                </w:tcPr>
                <w:p w14:paraId="5154FF33">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p>
              </w:tc>
              <w:tc>
                <w:tcPr>
                  <w:tcW w:w="599" w:type="pct"/>
                  <w:noWrap w:val="0"/>
                  <w:vAlign w:val="center"/>
                </w:tcPr>
                <w:p w14:paraId="4572FE20">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w:t>
                  </w:r>
                </w:p>
              </w:tc>
              <w:tc>
                <w:tcPr>
                  <w:tcW w:w="529" w:type="pct"/>
                  <w:noWrap w:val="0"/>
                  <w:vAlign w:val="center"/>
                </w:tcPr>
                <w:p w14:paraId="6045737B">
                  <w:pPr>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+3</w:t>
                  </w:r>
                </w:p>
              </w:tc>
            </w:tr>
            <w:tr w14:paraId="65B9E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32" w:type="pct"/>
                  <w:vMerge w:val="continue"/>
                  <w:noWrap w:val="0"/>
                  <w:vAlign w:val="center"/>
                </w:tcPr>
                <w:p w14:paraId="20B80A35">
                  <w:pPr>
                    <w:keepNext w:val="0"/>
                    <w:keepLines w:val="0"/>
                    <w:pageBreakBefore w:val="0"/>
                    <w:kinsoku/>
                    <w:wordWrap/>
                    <w:overflowPunct/>
                    <w:topLinePunct w:val="0"/>
                    <w:bidi w:val="0"/>
                    <w:adjustRightInd w:val="0"/>
                    <w:snapToGrid w:val="0"/>
                    <w:spacing w:line="240" w:lineRule="auto"/>
                    <w:ind w:right="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703" w:type="pct"/>
                  <w:noWrap w:val="0"/>
                  <w:vAlign w:val="center"/>
                </w:tcPr>
                <w:p w14:paraId="3167EB2D">
                  <w:pPr>
                    <w:jc w:val="center"/>
                    <w:rPr>
                      <w:rFonts w:hint="eastAsia" w:eastAsia="宋体" w:cs="Times New Roman"/>
                      <w:color w:val="auto"/>
                      <w:sz w:val="21"/>
                      <w:szCs w:val="21"/>
                      <w:lang w:val="en-US" w:eastAsia="zh-CN"/>
                    </w:rPr>
                  </w:pPr>
                  <w:r>
                    <w:rPr>
                      <w:rFonts w:hint="eastAsia" w:cs="Times New Roman"/>
                      <w:color w:val="auto"/>
                      <w:sz w:val="21"/>
                      <w:szCs w:val="21"/>
                      <w:lang w:val="en-US" w:eastAsia="zh-CN"/>
                    </w:rPr>
                    <w:t>包装</w:t>
                  </w:r>
                </w:p>
              </w:tc>
              <w:tc>
                <w:tcPr>
                  <w:tcW w:w="910" w:type="pct"/>
                  <w:noWrap w:val="0"/>
                  <w:vAlign w:val="center"/>
                </w:tcPr>
                <w:p w14:paraId="68742285">
                  <w:pPr>
                    <w:jc w:val="center"/>
                    <w:rPr>
                      <w:rFonts w:hint="eastAsia" w:cs="Times New Roman"/>
                      <w:color w:val="auto"/>
                      <w:sz w:val="21"/>
                      <w:szCs w:val="21"/>
                      <w:lang w:eastAsia="zh-CN"/>
                    </w:rPr>
                  </w:pPr>
                  <w:r>
                    <w:rPr>
                      <w:rFonts w:hint="eastAsia" w:cs="Times New Roman"/>
                      <w:color w:val="auto"/>
                      <w:sz w:val="21"/>
                      <w:szCs w:val="21"/>
                      <w:lang w:eastAsia="zh-CN"/>
                    </w:rPr>
                    <w:t>包装生产线</w:t>
                  </w:r>
                </w:p>
              </w:tc>
              <w:tc>
                <w:tcPr>
                  <w:tcW w:w="1120" w:type="pct"/>
                  <w:noWrap w:val="0"/>
                  <w:vAlign w:val="center"/>
                </w:tcPr>
                <w:p w14:paraId="153AB6CE">
                  <w:pPr>
                    <w:jc w:val="center"/>
                    <w:rPr>
                      <w:rFonts w:hint="default" w:cs="Times New Roman"/>
                      <w:color w:val="auto"/>
                      <w:sz w:val="21"/>
                      <w:szCs w:val="21"/>
                      <w:lang w:val="en-US" w:eastAsia="zh-CN"/>
                    </w:rPr>
                  </w:pPr>
                  <w:r>
                    <w:rPr>
                      <w:rFonts w:hint="eastAsia" w:cs="Times New Roman"/>
                      <w:color w:val="auto"/>
                      <w:sz w:val="21"/>
                      <w:szCs w:val="21"/>
                      <w:lang w:val="en-US" w:eastAsia="zh-CN"/>
                    </w:rPr>
                    <w:t>/</w:t>
                  </w:r>
                </w:p>
              </w:tc>
              <w:tc>
                <w:tcPr>
                  <w:tcW w:w="605" w:type="pct"/>
                  <w:noWrap w:val="0"/>
                  <w:vAlign w:val="center"/>
                </w:tcPr>
                <w:p w14:paraId="4E34C342">
                  <w:pPr>
                    <w:keepNext w:val="0"/>
                    <w:keepLines w:val="0"/>
                    <w:pageBreakBefore w:val="0"/>
                    <w:widowControl w:val="0"/>
                    <w:kinsoku/>
                    <w:wordWrap/>
                    <w:overflowPunct/>
                    <w:topLinePunct w:val="0"/>
                    <w:autoSpaceDE/>
                    <w:autoSpaceDN/>
                    <w:bidi w:val="0"/>
                    <w:spacing w:line="240" w:lineRule="auto"/>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1</w:t>
                  </w:r>
                </w:p>
              </w:tc>
              <w:tc>
                <w:tcPr>
                  <w:tcW w:w="599" w:type="pct"/>
                  <w:noWrap w:val="0"/>
                  <w:vAlign w:val="center"/>
                </w:tcPr>
                <w:p w14:paraId="622F383D">
                  <w:pPr>
                    <w:jc w:val="center"/>
                    <w:rPr>
                      <w:rFonts w:hint="default" w:cs="Times New Roman"/>
                      <w:color w:val="auto"/>
                      <w:sz w:val="21"/>
                      <w:szCs w:val="21"/>
                      <w:lang w:val="en-US" w:eastAsia="zh-CN"/>
                    </w:rPr>
                  </w:pPr>
                  <w:r>
                    <w:rPr>
                      <w:rFonts w:hint="eastAsia" w:cs="Times New Roman"/>
                      <w:color w:val="auto"/>
                      <w:sz w:val="21"/>
                      <w:szCs w:val="21"/>
                      <w:lang w:val="en-US" w:eastAsia="zh-CN"/>
                    </w:rPr>
                    <w:t>1</w:t>
                  </w:r>
                </w:p>
              </w:tc>
              <w:tc>
                <w:tcPr>
                  <w:tcW w:w="529" w:type="pct"/>
                  <w:noWrap w:val="0"/>
                  <w:vAlign w:val="center"/>
                </w:tcPr>
                <w:p w14:paraId="44F9F086">
                  <w:pPr>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0</w:t>
                  </w:r>
                </w:p>
              </w:tc>
            </w:tr>
            <w:tr w14:paraId="37665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32" w:type="pct"/>
                  <w:vMerge w:val="continue"/>
                  <w:noWrap w:val="0"/>
                  <w:vAlign w:val="center"/>
                </w:tcPr>
                <w:p w14:paraId="7A9F9498">
                  <w:pPr>
                    <w:keepNext w:val="0"/>
                    <w:keepLines w:val="0"/>
                    <w:pageBreakBefore w:val="0"/>
                    <w:kinsoku/>
                    <w:wordWrap/>
                    <w:overflowPunct/>
                    <w:topLinePunct w:val="0"/>
                    <w:bidi w:val="0"/>
                    <w:adjustRightInd w:val="0"/>
                    <w:snapToGrid w:val="0"/>
                    <w:spacing w:line="240" w:lineRule="auto"/>
                    <w:ind w:right="0"/>
                    <w:jc w:val="center"/>
                    <w:rPr>
                      <w:rFonts w:hint="default" w:ascii="Times New Roman" w:hAnsi="Times New Roman" w:eastAsia="宋体" w:cs="Times New Roman"/>
                      <w:snapToGrid/>
                      <w:color w:val="auto"/>
                      <w:spacing w:val="0"/>
                      <w:kern w:val="0"/>
                      <w:position w:val="0"/>
                      <w:sz w:val="21"/>
                      <w:szCs w:val="21"/>
                      <w:lang w:val="en-US" w:eastAsia="zh-CN"/>
                    </w:rPr>
                  </w:pPr>
                </w:p>
              </w:tc>
              <w:tc>
                <w:tcPr>
                  <w:tcW w:w="703" w:type="pct"/>
                  <w:noWrap w:val="0"/>
                  <w:vAlign w:val="center"/>
                </w:tcPr>
                <w:p w14:paraId="697045AC">
                  <w:pPr>
                    <w:keepNext w:val="0"/>
                    <w:keepLines w:val="0"/>
                    <w:pageBreakBefore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其他</w:t>
                  </w:r>
                </w:p>
              </w:tc>
              <w:tc>
                <w:tcPr>
                  <w:tcW w:w="910" w:type="pct"/>
                  <w:noWrap w:val="0"/>
                  <w:vAlign w:val="center"/>
                </w:tcPr>
                <w:p w14:paraId="75D1B6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eastAsia"/>
                      <w:color w:val="auto"/>
                    </w:rPr>
                    <w:t>氨气分解器</w:t>
                  </w:r>
                </w:p>
              </w:tc>
              <w:tc>
                <w:tcPr>
                  <w:tcW w:w="1120" w:type="pct"/>
                  <w:noWrap w:val="0"/>
                  <w:vAlign w:val="center"/>
                </w:tcPr>
                <w:p w14:paraId="03DE77D3">
                  <w:pPr>
                    <w:spacing w:line="240" w:lineRule="auto"/>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default" w:ascii="Times New Roman" w:hAnsi="Times New Roman" w:eastAsia="宋体" w:cs="Times New Roman"/>
                      <w:color w:val="auto"/>
                      <w:sz w:val="21"/>
                      <w:szCs w:val="21"/>
                    </w:rPr>
                    <w:t>6-8kg</w:t>
                  </w:r>
                </w:p>
              </w:tc>
              <w:tc>
                <w:tcPr>
                  <w:tcW w:w="605" w:type="pct"/>
                  <w:noWrap w:val="0"/>
                  <w:vAlign w:val="center"/>
                </w:tcPr>
                <w:p w14:paraId="7B5D61D3">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宋体" w:cs="Times New Roman"/>
                      <w:i w:val="0"/>
                      <w:snapToGrid/>
                      <w:color w:val="auto"/>
                      <w:spacing w:val="0"/>
                      <w:kern w:val="0"/>
                      <w:position w:val="0"/>
                      <w:sz w:val="21"/>
                      <w:szCs w:val="21"/>
                      <w:u w:val="none"/>
                      <w:lang w:val="en-US" w:eastAsia="zh-CN"/>
                    </w:rPr>
                  </w:pPr>
                  <w:r>
                    <w:rPr>
                      <w:rFonts w:hint="eastAsia" w:cs="Times New Roman"/>
                      <w:color w:val="auto"/>
                      <w:sz w:val="21"/>
                      <w:szCs w:val="21"/>
                      <w:lang w:val="en-US" w:eastAsia="zh-CN"/>
                    </w:rPr>
                    <w:t>2</w:t>
                  </w:r>
                </w:p>
              </w:tc>
              <w:tc>
                <w:tcPr>
                  <w:tcW w:w="599" w:type="pct"/>
                  <w:noWrap w:val="0"/>
                  <w:vAlign w:val="center"/>
                </w:tcPr>
                <w:p w14:paraId="4A363801">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i w:val="0"/>
                      <w:snapToGrid/>
                      <w:color w:val="auto"/>
                      <w:spacing w:val="0"/>
                      <w:kern w:val="0"/>
                      <w:position w:val="0"/>
                      <w:sz w:val="21"/>
                      <w:szCs w:val="21"/>
                      <w:u w:val="none"/>
                      <w:lang w:val="en-US" w:eastAsia="zh-CN" w:bidi="ar-SA"/>
                    </w:rPr>
                  </w:pPr>
                  <w:r>
                    <w:rPr>
                      <w:rFonts w:hint="eastAsia" w:cs="Times New Roman"/>
                      <w:i w:val="0"/>
                      <w:snapToGrid/>
                      <w:color w:val="auto"/>
                      <w:spacing w:val="0"/>
                      <w:kern w:val="0"/>
                      <w:position w:val="0"/>
                      <w:sz w:val="21"/>
                      <w:szCs w:val="21"/>
                      <w:u w:val="none"/>
                      <w:lang w:val="en-US" w:eastAsia="zh-CN" w:bidi="ar-SA"/>
                    </w:rPr>
                    <w:t>2</w:t>
                  </w:r>
                </w:p>
              </w:tc>
              <w:tc>
                <w:tcPr>
                  <w:tcW w:w="529" w:type="pct"/>
                  <w:noWrap w:val="0"/>
                  <w:vAlign w:val="center"/>
                </w:tcPr>
                <w:p w14:paraId="7CBBF352">
                  <w:pPr>
                    <w:keepNext w:val="0"/>
                    <w:keepLines w:val="0"/>
                    <w:widowControl/>
                    <w:suppressLineNumbers w:val="0"/>
                    <w:jc w:val="center"/>
                    <w:textAlignment w:val="center"/>
                    <w:rPr>
                      <w:rFonts w:hint="default" w:ascii="Times New Roman" w:hAnsi="Times New Roman" w:eastAsia="宋体" w:cs="Times New Roman"/>
                      <w:i w:val="0"/>
                      <w:snapToGrid/>
                      <w:color w:val="auto"/>
                      <w:spacing w:val="0"/>
                      <w:kern w:val="0"/>
                      <w:position w:val="0"/>
                      <w:sz w:val="21"/>
                      <w:szCs w:val="21"/>
                      <w:u w:val="none"/>
                      <w:lang w:val="en-US" w:eastAsia="zh-CN"/>
                    </w:rPr>
                  </w:pPr>
                  <w:r>
                    <w:rPr>
                      <w:rFonts w:hint="eastAsia" w:cs="Times New Roman"/>
                      <w:i w:val="0"/>
                      <w:snapToGrid/>
                      <w:color w:val="auto"/>
                      <w:spacing w:val="0"/>
                      <w:kern w:val="0"/>
                      <w:position w:val="0"/>
                      <w:sz w:val="21"/>
                      <w:szCs w:val="21"/>
                      <w:u w:val="none"/>
                      <w:lang w:val="en-US" w:eastAsia="zh-CN"/>
                    </w:rPr>
                    <w:t>0</w:t>
                  </w:r>
                </w:p>
              </w:tc>
            </w:tr>
            <w:tr w14:paraId="27D22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32" w:type="pct"/>
                  <w:vMerge w:val="restart"/>
                  <w:tcBorders>
                    <w:top w:val="single" w:color="auto" w:sz="4" w:space="0"/>
                  </w:tcBorders>
                  <w:noWrap w:val="0"/>
                  <w:vAlign w:val="center"/>
                </w:tcPr>
                <w:p w14:paraId="29BA8F87">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环保设备</w:t>
                  </w:r>
                </w:p>
              </w:tc>
              <w:tc>
                <w:tcPr>
                  <w:tcW w:w="703" w:type="pct"/>
                  <w:vMerge w:val="restart"/>
                  <w:tcBorders>
                    <w:top w:val="single" w:color="auto" w:sz="4" w:space="0"/>
                  </w:tcBorders>
                  <w:noWrap w:val="0"/>
                  <w:vAlign w:val="center"/>
                </w:tcPr>
                <w:p w14:paraId="5CE4114C">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废气治理</w:t>
                  </w:r>
                </w:p>
              </w:tc>
              <w:tc>
                <w:tcPr>
                  <w:tcW w:w="910" w:type="pct"/>
                  <w:noWrap w:val="0"/>
                  <w:vAlign w:val="center"/>
                </w:tcPr>
                <w:p w14:paraId="3D7FDD99">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布袋除尘器（TA001）</w:t>
                  </w:r>
                </w:p>
              </w:tc>
              <w:tc>
                <w:tcPr>
                  <w:tcW w:w="1120" w:type="pct"/>
                  <w:noWrap w:val="0"/>
                  <w:vAlign w:val="center"/>
                </w:tcPr>
                <w:p w14:paraId="211142E5">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605" w:type="pct"/>
                  <w:noWrap w:val="0"/>
                  <w:vAlign w:val="center"/>
                </w:tcPr>
                <w:p w14:paraId="14939053">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c>
                <w:tcPr>
                  <w:tcW w:w="599" w:type="pct"/>
                  <w:noWrap w:val="0"/>
                  <w:vAlign w:val="center"/>
                </w:tcPr>
                <w:p w14:paraId="53D0EC52">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c>
                <w:tcPr>
                  <w:tcW w:w="529" w:type="pct"/>
                  <w:noWrap w:val="0"/>
                  <w:vAlign w:val="center"/>
                </w:tcPr>
                <w:p w14:paraId="21091D9C">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0</w:t>
                  </w:r>
                </w:p>
              </w:tc>
            </w:tr>
            <w:tr w14:paraId="78483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32" w:type="pct"/>
                  <w:vMerge w:val="continue"/>
                  <w:noWrap w:val="0"/>
                  <w:vAlign w:val="center"/>
                </w:tcPr>
                <w:p w14:paraId="538DFC0D">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p>
              </w:tc>
              <w:tc>
                <w:tcPr>
                  <w:tcW w:w="703" w:type="pct"/>
                  <w:vMerge w:val="continue"/>
                  <w:noWrap w:val="0"/>
                  <w:vAlign w:val="center"/>
                </w:tcPr>
                <w:p w14:paraId="127DF7D1">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p>
              </w:tc>
              <w:tc>
                <w:tcPr>
                  <w:tcW w:w="910" w:type="pct"/>
                  <w:noWrap w:val="0"/>
                  <w:vAlign w:val="center"/>
                </w:tcPr>
                <w:p w14:paraId="51F53E51">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lang w:eastAsia="zh-CN"/>
                    </w:rPr>
                  </w:pPr>
                  <w:r>
                    <w:rPr>
                      <w:rFonts w:hint="eastAsia" w:cs="Times New Roman"/>
                      <w:b w:val="0"/>
                      <w:bCs w:val="0"/>
                      <w:snapToGrid/>
                      <w:color w:val="auto"/>
                      <w:spacing w:val="0"/>
                      <w:kern w:val="0"/>
                      <w:position w:val="0"/>
                      <w:sz w:val="21"/>
                      <w:szCs w:val="21"/>
                      <w:vertAlign w:val="baseline"/>
                      <w:lang w:val="en-US" w:eastAsia="zh-CN"/>
                    </w:rPr>
                    <w:t>UV光解+活性炭处理设施</w:t>
                  </w:r>
                  <w:r>
                    <w:rPr>
                      <w:rFonts w:hint="eastAsia" w:cs="Times New Roman"/>
                      <w:color w:val="auto"/>
                      <w:sz w:val="21"/>
                      <w:szCs w:val="21"/>
                      <w:lang w:val="en-US" w:eastAsia="zh-CN"/>
                    </w:rPr>
                    <w:t>（TA002）</w:t>
                  </w:r>
                </w:p>
              </w:tc>
              <w:tc>
                <w:tcPr>
                  <w:tcW w:w="1120" w:type="pct"/>
                  <w:noWrap w:val="0"/>
                  <w:vAlign w:val="center"/>
                </w:tcPr>
                <w:p w14:paraId="2419E1C1">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605" w:type="pct"/>
                  <w:noWrap w:val="0"/>
                  <w:vAlign w:val="center"/>
                </w:tcPr>
                <w:p w14:paraId="15D4B469">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c>
                <w:tcPr>
                  <w:tcW w:w="599" w:type="pct"/>
                  <w:noWrap w:val="0"/>
                  <w:vAlign w:val="center"/>
                </w:tcPr>
                <w:p w14:paraId="6EAC921B">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w:t>
                  </w:r>
                </w:p>
              </w:tc>
              <w:tc>
                <w:tcPr>
                  <w:tcW w:w="529" w:type="pct"/>
                  <w:noWrap w:val="0"/>
                  <w:vAlign w:val="center"/>
                </w:tcPr>
                <w:p w14:paraId="4F1B6769">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-1</w:t>
                  </w:r>
                </w:p>
              </w:tc>
            </w:tr>
            <w:tr w14:paraId="52422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32" w:type="pct"/>
                  <w:vMerge w:val="continue"/>
                  <w:noWrap w:val="0"/>
                  <w:vAlign w:val="center"/>
                </w:tcPr>
                <w:p w14:paraId="171D75F5">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p>
              </w:tc>
              <w:tc>
                <w:tcPr>
                  <w:tcW w:w="703" w:type="pct"/>
                  <w:vMerge w:val="continue"/>
                  <w:noWrap w:val="0"/>
                  <w:vAlign w:val="center"/>
                </w:tcPr>
                <w:p w14:paraId="56D0DF46">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p>
              </w:tc>
              <w:tc>
                <w:tcPr>
                  <w:tcW w:w="910" w:type="pct"/>
                  <w:noWrap w:val="0"/>
                  <w:vAlign w:val="center"/>
                </w:tcPr>
                <w:p w14:paraId="65E9F6AA">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二级活性炭吸附装置（TA002）</w:t>
                  </w:r>
                </w:p>
              </w:tc>
              <w:tc>
                <w:tcPr>
                  <w:tcW w:w="1120" w:type="pct"/>
                  <w:noWrap w:val="0"/>
                  <w:vAlign w:val="center"/>
                </w:tcPr>
                <w:p w14:paraId="7C8A39CE">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605" w:type="pct"/>
                  <w:noWrap w:val="0"/>
                  <w:vAlign w:val="center"/>
                </w:tcPr>
                <w:p w14:paraId="6E53B4C8">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w:t>
                  </w:r>
                </w:p>
              </w:tc>
              <w:tc>
                <w:tcPr>
                  <w:tcW w:w="599" w:type="pct"/>
                  <w:noWrap w:val="0"/>
                  <w:vAlign w:val="center"/>
                </w:tcPr>
                <w:p w14:paraId="51CF08FE">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c>
                <w:tcPr>
                  <w:tcW w:w="529" w:type="pct"/>
                  <w:noWrap w:val="0"/>
                  <w:vAlign w:val="center"/>
                </w:tcPr>
                <w:p w14:paraId="70AAD8B7">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+1</w:t>
                  </w:r>
                </w:p>
              </w:tc>
            </w:tr>
            <w:tr w14:paraId="5D266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32" w:type="pct"/>
                  <w:vMerge w:val="continue"/>
                  <w:noWrap w:val="0"/>
                  <w:vAlign w:val="center"/>
                </w:tcPr>
                <w:p w14:paraId="6DEB4A52">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p>
              </w:tc>
              <w:tc>
                <w:tcPr>
                  <w:tcW w:w="703" w:type="pct"/>
                  <w:vMerge w:val="continue"/>
                  <w:noWrap w:val="0"/>
                  <w:vAlign w:val="center"/>
                </w:tcPr>
                <w:p w14:paraId="40923C45">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p>
              </w:tc>
              <w:tc>
                <w:tcPr>
                  <w:tcW w:w="910" w:type="pct"/>
                  <w:shd w:val="clear" w:color="auto" w:fill="auto"/>
                  <w:noWrap w:val="0"/>
                  <w:vAlign w:val="center"/>
                </w:tcPr>
                <w:p w14:paraId="3158C810">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b w:val="0"/>
                      <w:bCs w:val="0"/>
                      <w:snapToGrid/>
                      <w:color w:val="auto"/>
                      <w:spacing w:val="0"/>
                      <w:kern w:val="0"/>
                      <w:position w:val="0"/>
                      <w:sz w:val="21"/>
                      <w:szCs w:val="21"/>
                      <w:vertAlign w:val="baseline"/>
                      <w:lang w:val="en-US" w:eastAsia="zh-CN"/>
                    </w:rPr>
                    <w:t>UV光解+活性炭处理设施</w:t>
                  </w:r>
                  <w:r>
                    <w:rPr>
                      <w:rFonts w:hint="eastAsia" w:cs="Times New Roman"/>
                      <w:color w:val="auto"/>
                      <w:sz w:val="21"/>
                      <w:szCs w:val="21"/>
                      <w:lang w:val="en-US" w:eastAsia="zh-CN"/>
                    </w:rPr>
                    <w:t>（TA003）</w:t>
                  </w:r>
                </w:p>
              </w:tc>
              <w:tc>
                <w:tcPr>
                  <w:tcW w:w="1120" w:type="pct"/>
                  <w:noWrap w:val="0"/>
                  <w:vAlign w:val="center"/>
                </w:tcPr>
                <w:p w14:paraId="7FEBB784">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605" w:type="pct"/>
                  <w:noWrap w:val="0"/>
                  <w:vAlign w:val="center"/>
                </w:tcPr>
                <w:p w14:paraId="2E131BF1">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c>
                <w:tcPr>
                  <w:tcW w:w="599" w:type="pct"/>
                  <w:noWrap w:val="0"/>
                  <w:vAlign w:val="center"/>
                </w:tcPr>
                <w:p w14:paraId="2543B259">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w:t>
                  </w:r>
                </w:p>
              </w:tc>
              <w:tc>
                <w:tcPr>
                  <w:tcW w:w="529" w:type="pct"/>
                  <w:noWrap w:val="0"/>
                  <w:vAlign w:val="center"/>
                </w:tcPr>
                <w:p w14:paraId="5E4A25D0">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-1</w:t>
                  </w:r>
                </w:p>
              </w:tc>
            </w:tr>
            <w:tr w14:paraId="5955E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32" w:type="pct"/>
                  <w:vMerge w:val="continue"/>
                  <w:noWrap w:val="0"/>
                  <w:vAlign w:val="center"/>
                </w:tcPr>
                <w:p w14:paraId="14112B08">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p>
              </w:tc>
              <w:tc>
                <w:tcPr>
                  <w:tcW w:w="703" w:type="pct"/>
                  <w:vMerge w:val="continue"/>
                  <w:noWrap w:val="0"/>
                  <w:vAlign w:val="center"/>
                </w:tcPr>
                <w:p w14:paraId="22957641">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p>
              </w:tc>
              <w:tc>
                <w:tcPr>
                  <w:tcW w:w="910" w:type="pct"/>
                  <w:shd w:val="clear" w:color="auto" w:fill="auto"/>
                  <w:noWrap w:val="0"/>
                  <w:vAlign w:val="center"/>
                </w:tcPr>
                <w:p w14:paraId="143AD5F3">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二级活性炭吸附装置（TA003）</w:t>
                  </w:r>
                </w:p>
              </w:tc>
              <w:tc>
                <w:tcPr>
                  <w:tcW w:w="1120" w:type="pct"/>
                  <w:noWrap w:val="0"/>
                  <w:vAlign w:val="center"/>
                </w:tcPr>
                <w:p w14:paraId="58D869D1">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605" w:type="pct"/>
                  <w:noWrap w:val="0"/>
                  <w:vAlign w:val="center"/>
                </w:tcPr>
                <w:p w14:paraId="030A89F3">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w:t>
                  </w:r>
                </w:p>
              </w:tc>
              <w:tc>
                <w:tcPr>
                  <w:tcW w:w="599" w:type="pct"/>
                  <w:noWrap w:val="0"/>
                  <w:vAlign w:val="center"/>
                </w:tcPr>
                <w:p w14:paraId="5204B293">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c>
                <w:tcPr>
                  <w:tcW w:w="529" w:type="pct"/>
                  <w:noWrap w:val="0"/>
                  <w:vAlign w:val="center"/>
                </w:tcPr>
                <w:p w14:paraId="3B2D773C">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+1</w:t>
                  </w:r>
                </w:p>
              </w:tc>
            </w:tr>
            <w:tr w14:paraId="08F66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32" w:type="pct"/>
                  <w:vMerge w:val="continue"/>
                  <w:noWrap w:val="0"/>
                  <w:vAlign w:val="center"/>
                </w:tcPr>
                <w:p w14:paraId="770C7F79">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p>
              </w:tc>
              <w:tc>
                <w:tcPr>
                  <w:tcW w:w="703" w:type="pct"/>
                  <w:vMerge w:val="continue"/>
                  <w:noWrap w:val="0"/>
                  <w:vAlign w:val="center"/>
                </w:tcPr>
                <w:p w14:paraId="53ABAFC3">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p>
              </w:tc>
              <w:tc>
                <w:tcPr>
                  <w:tcW w:w="910" w:type="pct"/>
                  <w:shd w:val="clear" w:color="auto" w:fill="auto"/>
                  <w:noWrap w:val="0"/>
                  <w:vAlign w:val="center"/>
                </w:tcPr>
                <w:p w14:paraId="52069A83">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b w:val="0"/>
                      <w:bCs w:val="0"/>
                      <w:snapToGrid/>
                      <w:color w:val="auto"/>
                      <w:spacing w:val="0"/>
                      <w:kern w:val="0"/>
                      <w:position w:val="0"/>
                      <w:sz w:val="21"/>
                      <w:szCs w:val="21"/>
                      <w:vertAlign w:val="baseline"/>
                      <w:lang w:val="en-US" w:eastAsia="zh-CN"/>
                    </w:rPr>
                    <w:t>UV光解+活性炭处理设施</w:t>
                  </w:r>
                  <w:r>
                    <w:rPr>
                      <w:rFonts w:hint="eastAsia" w:cs="Times New Roman"/>
                      <w:color w:val="auto"/>
                      <w:sz w:val="21"/>
                      <w:szCs w:val="21"/>
                      <w:lang w:val="en-US" w:eastAsia="zh-CN"/>
                    </w:rPr>
                    <w:t>（TA004）</w:t>
                  </w:r>
                </w:p>
              </w:tc>
              <w:tc>
                <w:tcPr>
                  <w:tcW w:w="1120" w:type="pct"/>
                  <w:noWrap w:val="0"/>
                  <w:vAlign w:val="center"/>
                </w:tcPr>
                <w:p w14:paraId="57243ABF">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605" w:type="pct"/>
                  <w:noWrap w:val="0"/>
                  <w:vAlign w:val="center"/>
                </w:tcPr>
                <w:p w14:paraId="20BB77DD">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c>
                <w:tcPr>
                  <w:tcW w:w="599" w:type="pct"/>
                  <w:noWrap w:val="0"/>
                  <w:vAlign w:val="center"/>
                </w:tcPr>
                <w:p w14:paraId="1A1735D0">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w:t>
                  </w:r>
                </w:p>
              </w:tc>
              <w:tc>
                <w:tcPr>
                  <w:tcW w:w="529" w:type="pct"/>
                  <w:noWrap w:val="0"/>
                  <w:vAlign w:val="center"/>
                </w:tcPr>
                <w:p w14:paraId="3C665DD8">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-1</w:t>
                  </w:r>
                </w:p>
              </w:tc>
            </w:tr>
            <w:tr w14:paraId="725FE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32" w:type="pct"/>
                  <w:vMerge w:val="continue"/>
                  <w:noWrap w:val="0"/>
                  <w:vAlign w:val="center"/>
                </w:tcPr>
                <w:p w14:paraId="4656FCC3">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p>
              </w:tc>
              <w:tc>
                <w:tcPr>
                  <w:tcW w:w="703" w:type="pct"/>
                  <w:vMerge w:val="continue"/>
                  <w:noWrap w:val="0"/>
                  <w:vAlign w:val="center"/>
                </w:tcPr>
                <w:p w14:paraId="346FF20B">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p>
              </w:tc>
              <w:tc>
                <w:tcPr>
                  <w:tcW w:w="910" w:type="pct"/>
                  <w:shd w:val="clear" w:color="auto" w:fill="auto"/>
                  <w:noWrap w:val="0"/>
                  <w:vAlign w:val="center"/>
                </w:tcPr>
                <w:p w14:paraId="6EE3AA8D">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cs="Times New Roman"/>
                      <w:b w:val="0"/>
                      <w:bCs w:val="0"/>
                      <w:snapToGrid/>
                      <w:color w:val="auto"/>
                      <w:spacing w:val="0"/>
                      <w:kern w:val="0"/>
                      <w:position w:val="0"/>
                      <w:sz w:val="21"/>
                      <w:szCs w:val="21"/>
                      <w:vertAlign w:val="baseline"/>
                      <w:lang w:val="en-US" w:eastAsia="zh-CN"/>
                    </w:rPr>
                  </w:pPr>
                  <w:r>
                    <w:rPr>
                      <w:rFonts w:hint="eastAsia" w:cs="Times New Roman"/>
                      <w:color w:val="auto"/>
                      <w:sz w:val="21"/>
                      <w:szCs w:val="21"/>
                      <w:lang w:val="en-US" w:eastAsia="zh-CN"/>
                    </w:rPr>
                    <w:t>二级活性炭吸附装置（TA004）</w:t>
                  </w:r>
                </w:p>
              </w:tc>
              <w:tc>
                <w:tcPr>
                  <w:tcW w:w="1120" w:type="pct"/>
                  <w:noWrap w:val="0"/>
                  <w:vAlign w:val="center"/>
                </w:tcPr>
                <w:p w14:paraId="1AB4974A">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605" w:type="pct"/>
                  <w:noWrap w:val="0"/>
                  <w:vAlign w:val="center"/>
                </w:tcPr>
                <w:p w14:paraId="77564DF3">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w:t>
                  </w:r>
                </w:p>
              </w:tc>
              <w:tc>
                <w:tcPr>
                  <w:tcW w:w="599" w:type="pct"/>
                  <w:noWrap w:val="0"/>
                  <w:vAlign w:val="center"/>
                </w:tcPr>
                <w:p w14:paraId="13DE3855">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c>
                <w:tcPr>
                  <w:tcW w:w="529" w:type="pct"/>
                  <w:noWrap w:val="0"/>
                  <w:vAlign w:val="center"/>
                </w:tcPr>
                <w:p w14:paraId="093A48E9">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+1</w:t>
                  </w:r>
                </w:p>
              </w:tc>
            </w:tr>
            <w:tr w14:paraId="52970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32" w:type="pct"/>
                  <w:vMerge w:val="continue"/>
                  <w:noWrap w:val="0"/>
                  <w:vAlign w:val="center"/>
                </w:tcPr>
                <w:p w14:paraId="05C1990C">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p>
              </w:tc>
              <w:tc>
                <w:tcPr>
                  <w:tcW w:w="703" w:type="pct"/>
                  <w:vMerge w:val="continue"/>
                  <w:tcBorders>
                    <w:bottom w:val="single" w:color="auto" w:sz="4" w:space="0"/>
                  </w:tcBorders>
                  <w:noWrap w:val="0"/>
                  <w:vAlign w:val="center"/>
                </w:tcPr>
                <w:p w14:paraId="38FDBE45">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p>
              </w:tc>
              <w:tc>
                <w:tcPr>
                  <w:tcW w:w="910" w:type="pct"/>
                  <w:shd w:val="clear" w:color="auto" w:fill="auto"/>
                  <w:noWrap w:val="0"/>
                  <w:vAlign w:val="center"/>
                </w:tcPr>
                <w:p w14:paraId="32703252">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布袋除尘器</w:t>
                  </w:r>
                  <w:r>
                    <w:rPr>
                      <w:rFonts w:hint="eastAsia" w:cs="Times New Roman"/>
                      <w:color w:val="auto"/>
                      <w:sz w:val="21"/>
                      <w:szCs w:val="21"/>
                      <w:lang w:val="en-US" w:eastAsia="zh-CN"/>
                    </w:rPr>
                    <w:t>（TA005）</w:t>
                  </w:r>
                </w:p>
              </w:tc>
              <w:tc>
                <w:tcPr>
                  <w:tcW w:w="1120" w:type="pct"/>
                  <w:noWrap w:val="0"/>
                  <w:vAlign w:val="center"/>
                </w:tcPr>
                <w:p w14:paraId="6F73881F">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605" w:type="pct"/>
                  <w:noWrap w:val="0"/>
                  <w:vAlign w:val="center"/>
                </w:tcPr>
                <w:p w14:paraId="46498811">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c>
                <w:tcPr>
                  <w:tcW w:w="599" w:type="pct"/>
                  <w:noWrap w:val="0"/>
                  <w:vAlign w:val="center"/>
                </w:tcPr>
                <w:p w14:paraId="0942F9FA">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c>
                <w:tcPr>
                  <w:tcW w:w="529" w:type="pct"/>
                  <w:noWrap w:val="0"/>
                  <w:vAlign w:val="center"/>
                </w:tcPr>
                <w:p w14:paraId="0473ED45">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0</w:t>
                  </w:r>
                </w:p>
              </w:tc>
            </w:tr>
          </w:tbl>
          <w:p w14:paraId="4B08CD76">
            <w:pPr>
              <w:pStyle w:val="6"/>
              <w:keepNext/>
              <w:keepLines/>
              <w:pageBreakBefore w:val="0"/>
              <w:widowControl w:val="0"/>
              <w:kinsoku/>
              <w:wordWrap/>
              <w:overflowPunct/>
              <w:topLinePunct w:val="0"/>
              <w:autoSpaceDE/>
              <w:autoSpaceDN/>
              <w:bidi w:val="0"/>
              <w:adjustRightInd w:val="0"/>
              <w:snapToGrid w:val="0"/>
              <w:spacing w:before="173" w:beforeLines="50"/>
              <w:ind w:firstLine="482" w:firstLineChars="20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生产设备与生产规模匹配性分析：</w:t>
            </w:r>
          </w:p>
          <w:p w14:paraId="3AB4AF58">
            <w:pPr>
              <w:pStyle w:val="6"/>
              <w:keepNext/>
              <w:keepLines/>
              <w:pageBreakBefore w:val="0"/>
              <w:widowControl w:val="0"/>
              <w:kinsoku/>
              <w:wordWrap/>
              <w:overflowPunct/>
              <w:topLinePunct w:val="0"/>
              <w:autoSpaceDE/>
              <w:autoSpaceDN/>
              <w:bidi w:val="0"/>
              <w:adjustRightInd w:val="0"/>
              <w:snapToGrid w:val="0"/>
              <w:spacing w:beforeLines="0"/>
              <w:ind w:firstLine="480" w:firstLineChars="200"/>
              <w:textAlignment w:val="auto"/>
              <w:rPr>
                <w:rFonts w:hint="default" w:ascii="Times New Roman" w:hAnsi="Times New Roman" w:cs="Times New Roman"/>
                <w:b w:val="0"/>
                <w:bCs/>
                <w:color w:val="auto"/>
                <w:sz w:val="24"/>
                <w:szCs w:val="24"/>
                <w:lang w:val="en-US" w:eastAsia="zh-CN"/>
              </w:rPr>
            </w:pPr>
            <w:r>
              <w:rPr>
                <w:rFonts w:hint="default" w:ascii="Times New Roman" w:hAnsi="Times New Roman" w:cs="Times New Roman"/>
                <w:b w:val="0"/>
                <w:bCs/>
                <w:color w:val="auto"/>
                <w:sz w:val="24"/>
                <w:szCs w:val="24"/>
                <w:lang w:val="en-US" w:eastAsia="zh-CN"/>
              </w:rPr>
              <w:t>项目</w:t>
            </w:r>
            <w:r>
              <w:rPr>
                <w:rFonts w:hint="eastAsia" w:ascii="Times New Roman" w:hAnsi="Times New Roman" w:cs="Times New Roman"/>
                <w:b w:val="0"/>
                <w:bCs/>
                <w:color w:val="auto"/>
                <w:sz w:val="24"/>
                <w:szCs w:val="24"/>
                <w:lang w:val="en-US" w:eastAsia="zh-CN"/>
              </w:rPr>
              <w:t>设置</w:t>
            </w:r>
            <w:r>
              <w:rPr>
                <w:rFonts w:hint="default" w:ascii="Times New Roman" w:hAnsi="Times New Roman" w:cs="Times New Roman"/>
                <w:b w:val="0"/>
                <w:bCs/>
                <w:color w:val="auto"/>
                <w:sz w:val="24"/>
                <w:szCs w:val="24"/>
                <w:lang w:val="en-US" w:eastAsia="zh-CN"/>
              </w:rPr>
              <w:t>V型混料机</w:t>
            </w:r>
            <w:r>
              <w:rPr>
                <w:rFonts w:hint="eastAsia" w:ascii="Times New Roman" w:hAnsi="Times New Roman" w:cs="Times New Roman"/>
                <w:b w:val="0"/>
                <w:bCs/>
                <w:color w:val="auto"/>
                <w:sz w:val="24"/>
                <w:szCs w:val="24"/>
                <w:lang w:val="en-US" w:eastAsia="zh-CN"/>
              </w:rPr>
              <w:t>3台</w:t>
            </w:r>
            <w:r>
              <w:rPr>
                <w:rFonts w:hint="default" w:ascii="Times New Roman" w:hAnsi="Times New Roman" w:cs="Times New Roman"/>
                <w:b w:val="0"/>
                <w:bCs/>
                <w:color w:val="auto"/>
                <w:sz w:val="24"/>
                <w:szCs w:val="24"/>
                <w:lang w:val="en-US" w:eastAsia="zh-CN"/>
              </w:rPr>
              <w:t>，</w:t>
            </w:r>
            <w:r>
              <w:rPr>
                <w:rFonts w:hint="eastAsia" w:ascii="Times New Roman" w:hAnsi="Times New Roman" w:cs="Times New Roman"/>
                <w:b w:val="0"/>
                <w:bCs/>
                <w:color w:val="auto"/>
                <w:sz w:val="24"/>
                <w:szCs w:val="24"/>
                <w:lang w:val="en-US" w:eastAsia="zh-CN"/>
              </w:rPr>
              <w:t>每台</w:t>
            </w:r>
            <w:r>
              <w:rPr>
                <w:rFonts w:hint="default" w:ascii="Times New Roman" w:hAnsi="Times New Roman" w:cs="Times New Roman"/>
                <w:b w:val="0"/>
                <w:bCs/>
                <w:color w:val="auto"/>
                <w:sz w:val="24"/>
                <w:szCs w:val="24"/>
                <w:lang w:val="en-US" w:eastAsia="zh-CN"/>
              </w:rPr>
              <w:t>V型混料机生产能力为</w:t>
            </w:r>
            <w:r>
              <w:rPr>
                <w:rFonts w:hint="eastAsia" w:ascii="Times New Roman" w:hAnsi="Times New Roman" w:cs="Times New Roman"/>
                <w:b w:val="0"/>
                <w:bCs/>
                <w:color w:val="auto"/>
                <w:sz w:val="24"/>
                <w:szCs w:val="24"/>
                <w:lang w:val="en-US" w:eastAsia="zh-CN"/>
              </w:rPr>
              <w:t>0.06t</w:t>
            </w:r>
            <w:r>
              <w:rPr>
                <w:rFonts w:hint="default" w:ascii="Times New Roman" w:hAnsi="Times New Roman" w:cs="Times New Roman"/>
                <w:b w:val="0"/>
                <w:bCs/>
                <w:color w:val="auto"/>
                <w:sz w:val="24"/>
                <w:szCs w:val="24"/>
                <w:lang w:val="en-US" w:eastAsia="zh-CN"/>
              </w:rPr>
              <w:t>/d~</w:t>
            </w:r>
            <w:r>
              <w:rPr>
                <w:rFonts w:hint="eastAsia" w:ascii="Times New Roman" w:hAnsi="Times New Roman" w:cs="Times New Roman"/>
                <w:b w:val="0"/>
                <w:bCs/>
                <w:color w:val="auto"/>
                <w:sz w:val="24"/>
                <w:szCs w:val="24"/>
                <w:lang w:val="en-US" w:eastAsia="zh-CN"/>
              </w:rPr>
              <w:t>0.07t</w:t>
            </w:r>
            <w:r>
              <w:rPr>
                <w:rFonts w:hint="default" w:ascii="Times New Roman" w:hAnsi="Times New Roman" w:cs="Times New Roman"/>
                <w:b w:val="0"/>
                <w:bCs/>
                <w:color w:val="auto"/>
                <w:sz w:val="24"/>
                <w:szCs w:val="24"/>
                <w:lang w:val="en-US" w:eastAsia="zh-CN"/>
              </w:rPr>
              <w:t>/d，</w:t>
            </w:r>
            <w:r>
              <w:rPr>
                <w:rFonts w:hint="eastAsia" w:ascii="Times New Roman" w:hAnsi="Times New Roman" w:cs="Times New Roman"/>
                <w:b w:val="0"/>
                <w:bCs/>
                <w:color w:val="auto"/>
                <w:sz w:val="24"/>
                <w:szCs w:val="24"/>
                <w:lang w:val="en-US" w:eastAsia="zh-CN"/>
              </w:rPr>
              <w:t>则混合</w:t>
            </w:r>
            <w:r>
              <w:rPr>
                <w:rFonts w:hint="default" w:ascii="Times New Roman" w:hAnsi="Times New Roman" w:cs="Times New Roman"/>
                <w:b w:val="0"/>
                <w:bCs/>
                <w:color w:val="auto"/>
                <w:sz w:val="24"/>
                <w:szCs w:val="24"/>
                <w:lang w:val="en-US" w:eastAsia="zh-CN"/>
              </w:rPr>
              <w:t>生产能力为</w:t>
            </w:r>
            <w:r>
              <w:rPr>
                <w:rFonts w:hint="eastAsia" w:ascii="Times New Roman" w:hAnsi="Times New Roman" w:cs="Times New Roman"/>
                <w:b w:val="0"/>
                <w:bCs/>
                <w:color w:val="auto"/>
                <w:sz w:val="24"/>
                <w:szCs w:val="24"/>
                <w:lang w:val="en-US" w:eastAsia="zh-CN"/>
              </w:rPr>
              <w:t>54t</w:t>
            </w:r>
            <w:r>
              <w:rPr>
                <w:rFonts w:hint="default" w:ascii="Times New Roman" w:hAnsi="Times New Roman" w:cs="Times New Roman"/>
                <w:b w:val="0"/>
                <w:bCs/>
                <w:color w:val="auto"/>
                <w:sz w:val="24"/>
                <w:szCs w:val="24"/>
                <w:lang w:val="en-US" w:eastAsia="zh-CN"/>
              </w:rPr>
              <w:t>/a~</w:t>
            </w:r>
            <w:r>
              <w:rPr>
                <w:rFonts w:hint="eastAsia" w:ascii="Times New Roman" w:hAnsi="Times New Roman" w:cs="Times New Roman"/>
                <w:b w:val="0"/>
                <w:bCs/>
                <w:color w:val="auto"/>
                <w:sz w:val="24"/>
                <w:szCs w:val="24"/>
                <w:lang w:val="en-US" w:eastAsia="zh-CN"/>
              </w:rPr>
              <w:t>63t</w:t>
            </w:r>
            <w:r>
              <w:rPr>
                <w:rFonts w:hint="default" w:ascii="Times New Roman" w:hAnsi="Times New Roman" w:cs="Times New Roman"/>
                <w:b w:val="0"/>
                <w:bCs/>
                <w:color w:val="auto"/>
                <w:sz w:val="24"/>
                <w:szCs w:val="24"/>
                <w:lang w:val="en-US" w:eastAsia="zh-CN"/>
              </w:rPr>
              <w:t>/a，高速混料机</w:t>
            </w:r>
            <w:r>
              <w:rPr>
                <w:rFonts w:hint="eastAsia" w:ascii="Times New Roman" w:hAnsi="Times New Roman" w:cs="Times New Roman"/>
                <w:b w:val="0"/>
                <w:bCs/>
                <w:color w:val="auto"/>
                <w:sz w:val="24"/>
                <w:szCs w:val="24"/>
                <w:lang w:val="en-US" w:eastAsia="zh-CN"/>
              </w:rPr>
              <w:t>3台，每台</w:t>
            </w:r>
            <w:r>
              <w:rPr>
                <w:rFonts w:hint="default" w:ascii="Times New Roman" w:hAnsi="Times New Roman" w:cs="Times New Roman"/>
                <w:b w:val="0"/>
                <w:bCs/>
                <w:color w:val="auto"/>
                <w:sz w:val="24"/>
                <w:szCs w:val="24"/>
                <w:lang w:val="en-US" w:eastAsia="zh-CN"/>
              </w:rPr>
              <w:t>高速混料机生产能力为</w:t>
            </w:r>
            <w:r>
              <w:rPr>
                <w:rFonts w:hint="eastAsia" w:ascii="Times New Roman" w:hAnsi="Times New Roman" w:cs="Times New Roman"/>
                <w:b w:val="0"/>
                <w:bCs/>
                <w:color w:val="auto"/>
                <w:sz w:val="24"/>
                <w:szCs w:val="24"/>
                <w:lang w:val="en-US" w:eastAsia="zh-CN"/>
              </w:rPr>
              <w:t>0.06t</w:t>
            </w:r>
            <w:r>
              <w:rPr>
                <w:rFonts w:hint="default" w:ascii="Times New Roman" w:hAnsi="Times New Roman" w:cs="Times New Roman"/>
                <w:b w:val="0"/>
                <w:bCs/>
                <w:color w:val="auto"/>
                <w:sz w:val="24"/>
                <w:szCs w:val="24"/>
                <w:lang w:val="en-US" w:eastAsia="zh-CN"/>
              </w:rPr>
              <w:t>/d~</w:t>
            </w:r>
            <w:r>
              <w:rPr>
                <w:rFonts w:hint="eastAsia" w:ascii="Times New Roman" w:hAnsi="Times New Roman" w:cs="Times New Roman"/>
                <w:b w:val="0"/>
                <w:bCs/>
                <w:color w:val="auto"/>
                <w:sz w:val="24"/>
                <w:szCs w:val="24"/>
                <w:lang w:val="en-US" w:eastAsia="zh-CN"/>
              </w:rPr>
              <w:t>0.07t</w:t>
            </w:r>
            <w:r>
              <w:rPr>
                <w:rFonts w:hint="default" w:ascii="Times New Roman" w:hAnsi="Times New Roman" w:cs="Times New Roman"/>
                <w:b w:val="0"/>
                <w:bCs/>
                <w:color w:val="auto"/>
                <w:sz w:val="24"/>
                <w:szCs w:val="24"/>
                <w:lang w:val="en-US" w:eastAsia="zh-CN"/>
              </w:rPr>
              <w:t>/d，</w:t>
            </w:r>
            <w:r>
              <w:rPr>
                <w:rFonts w:hint="eastAsia" w:ascii="Times New Roman" w:hAnsi="Times New Roman" w:cs="Times New Roman"/>
                <w:b w:val="0"/>
                <w:bCs/>
                <w:color w:val="auto"/>
                <w:sz w:val="24"/>
                <w:szCs w:val="24"/>
                <w:lang w:val="en-US" w:eastAsia="zh-CN"/>
              </w:rPr>
              <w:t>则加热混炼</w:t>
            </w:r>
            <w:r>
              <w:rPr>
                <w:rFonts w:hint="default" w:ascii="Times New Roman" w:hAnsi="Times New Roman" w:cs="Times New Roman"/>
                <w:b w:val="0"/>
                <w:bCs/>
                <w:color w:val="auto"/>
                <w:sz w:val="24"/>
                <w:szCs w:val="24"/>
                <w:lang w:val="en-US" w:eastAsia="zh-CN"/>
              </w:rPr>
              <w:t>生产能力为</w:t>
            </w:r>
            <w:r>
              <w:rPr>
                <w:rFonts w:hint="eastAsia" w:ascii="Times New Roman" w:hAnsi="Times New Roman" w:cs="Times New Roman"/>
                <w:b w:val="0"/>
                <w:bCs/>
                <w:color w:val="auto"/>
                <w:sz w:val="24"/>
                <w:szCs w:val="24"/>
                <w:lang w:val="en-US" w:eastAsia="zh-CN"/>
              </w:rPr>
              <w:t>54t</w:t>
            </w:r>
            <w:r>
              <w:rPr>
                <w:rFonts w:hint="default" w:ascii="Times New Roman" w:hAnsi="Times New Roman" w:cs="Times New Roman"/>
                <w:b w:val="0"/>
                <w:bCs/>
                <w:color w:val="auto"/>
                <w:sz w:val="24"/>
                <w:szCs w:val="24"/>
                <w:lang w:val="en-US" w:eastAsia="zh-CN"/>
              </w:rPr>
              <w:t>/a~</w:t>
            </w:r>
            <w:r>
              <w:rPr>
                <w:rFonts w:hint="eastAsia" w:ascii="Times New Roman" w:hAnsi="Times New Roman" w:cs="Times New Roman"/>
                <w:b w:val="0"/>
                <w:bCs/>
                <w:color w:val="auto"/>
                <w:sz w:val="24"/>
                <w:szCs w:val="24"/>
                <w:lang w:val="en-US" w:eastAsia="zh-CN"/>
              </w:rPr>
              <w:t>63t</w:t>
            </w:r>
            <w:r>
              <w:rPr>
                <w:rFonts w:hint="default" w:ascii="Times New Roman" w:hAnsi="Times New Roman" w:cs="Times New Roman"/>
                <w:b w:val="0"/>
                <w:bCs/>
                <w:color w:val="auto"/>
                <w:sz w:val="24"/>
                <w:szCs w:val="24"/>
                <w:lang w:val="en-US" w:eastAsia="zh-CN"/>
              </w:rPr>
              <w:t>/a，</w:t>
            </w:r>
            <w:r>
              <w:rPr>
                <w:rFonts w:hint="eastAsia" w:ascii="Times New Roman" w:hAnsi="Times New Roman" w:cs="Times New Roman"/>
                <w:b w:val="0"/>
                <w:bCs/>
                <w:color w:val="auto"/>
                <w:sz w:val="24"/>
                <w:szCs w:val="24"/>
                <w:lang w:val="en-US" w:eastAsia="zh-CN"/>
              </w:rPr>
              <w:t>注塑机（含软鱼注塑机）13台，每台注塑机</w:t>
            </w:r>
            <w:r>
              <w:rPr>
                <w:rFonts w:hint="default" w:ascii="Times New Roman" w:hAnsi="Times New Roman" w:cs="Times New Roman"/>
                <w:b w:val="0"/>
                <w:bCs/>
                <w:color w:val="auto"/>
                <w:sz w:val="24"/>
                <w:szCs w:val="24"/>
                <w:lang w:val="en-US" w:eastAsia="zh-CN"/>
              </w:rPr>
              <w:t>生产能力为</w:t>
            </w:r>
            <w:r>
              <w:rPr>
                <w:rFonts w:hint="eastAsia" w:ascii="Times New Roman" w:hAnsi="Times New Roman" w:cs="Times New Roman"/>
                <w:b w:val="0"/>
                <w:bCs/>
                <w:color w:val="auto"/>
                <w:sz w:val="24"/>
                <w:szCs w:val="24"/>
                <w:lang w:val="en-US" w:eastAsia="zh-CN"/>
              </w:rPr>
              <w:t>0.015t</w:t>
            </w:r>
            <w:r>
              <w:rPr>
                <w:rFonts w:hint="default" w:ascii="Times New Roman" w:hAnsi="Times New Roman" w:cs="Times New Roman"/>
                <w:b w:val="0"/>
                <w:bCs/>
                <w:color w:val="auto"/>
                <w:sz w:val="24"/>
                <w:szCs w:val="24"/>
                <w:lang w:val="en-US" w:eastAsia="zh-CN"/>
              </w:rPr>
              <w:t>/d~</w:t>
            </w:r>
            <w:r>
              <w:rPr>
                <w:rFonts w:hint="eastAsia" w:ascii="Times New Roman" w:hAnsi="Times New Roman" w:cs="Times New Roman"/>
                <w:b w:val="0"/>
                <w:bCs/>
                <w:color w:val="auto"/>
                <w:sz w:val="24"/>
                <w:szCs w:val="24"/>
                <w:lang w:val="en-US" w:eastAsia="zh-CN"/>
              </w:rPr>
              <w:t>0.017t</w:t>
            </w:r>
            <w:r>
              <w:rPr>
                <w:rFonts w:hint="default" w:ascii="Times New Roman" w:hAnsi="Times New Roman" w:cs="Times New Roman"/>
                <w:b w:val="0"/>
                <w:bCs/>
                <w:color w:val="auto"/>
                <w:sz w:val="24"/>
                <w:szCs w:val="24"/>
                <w:lang w:val="en-US" w:eastAsia="zh-CN"/>
              </w:rPr>
              <w:t>/d，</w:t>
            </w:r>
            <w:r>
              <w:rPr>
                <w:rFonts w:hint="eastAsia" w:ascii="Times New Roman" w:hAnsi="Times New Roman" w:cs="Times New Roman"/>
                <w:b w:val="0"/>
                <w:bCs/>
                <w:color w:val="auto"/>
                <w:sz w:val="24"/>
                <w:szCs w:val="24"/>
                <w:lang w:val="en-US" w:eastAsia="zh-CN"/>
              </w:rPr>
              <w:t>则注塑成型</w:t>
            </w:r>
            <w:r>
              <w:rPr>
                <w:rFonts w:hint="default" w:ascii="Times New Roman" w:hAnsi="Times New Roman" w:cs="Times New Roman"/>
                <w:b w:val="0"/>
                <w:bCs/>
                <w:color w:val="auto"/>
                <w:sz w:val="24"/>
                <w:szCs w:val="24"/>
                <w:lang w:val="en-US" w:eastAsia="zh-CN"/>
              </w:rPr>
              <w:t>生产能力为</w:t>
            </w:r>
            <w:r>
              <w:rPr>
                <w:rFonts w:hint="eastAsia" w:ascii="Times New Roman" w:hAnsi="Times New Roman" w:cs="Times New Roman"/>
                <w:b w:val="0"/>
                <w:bCs/>
                <w:color w:val="auto"/>
                <w:sz w:val="24"/>
                <w:szCs w:val="24"/>
                <w:lang w:val="en-US" w:eastAsia="zh-CN"/>
              </w:rPr>
              <w:t>58.5t</w:t>
            </w:r>
            <w:r>
              <w:rPr>
                <w:rFonts w:hint="default" w:ascii="Times New Roman" w:hAnsi="Times New Roman" w:cs="Times New Roman"/>
                <w:b w:val="0"/>
                <w:bCs/>
                <w:color w:val="auto"/>
                <w:sz w:val="24"/>
                <w:szCs w:val="24"/>
                <w:lang w:val="en-US" w:eastAsia="zh-CN"/>
              </w:rPr>
              <w:t>/a~</w:t>
            </w:r>
            <w:r>
              <w:rPr>
                <w:rFonts w:hint="eastAsia" w:ascii="Times New Roman" w:hAnsi="Times New Roman" w:cs="Times New Roman"/>
                <w:b w:val="0"/>
                <w:bCs/>
                <w:color w:val="auto"/>
                <w:sz w:val="24"/>
                <w:szCs w:val="24"/>
                <w:lang w:val="en-US" w:eastAsia="zh-CN"/>
              </w:rPr>
              <w:t>66.3t</w:t>
            </w:r>
            <w:r>
              <w:rPr>
                <w:rFonts w:hint="default" w:ascii="Times New Roman" w:hAnsi="Times New Roman" w:cs="Times New Roman"/>
                <w:b w:val="0"/>
                <w:bCs/>
                <w:color w:val="auto"/>
                <w:sz w:val="24"/>
                <w:szCs w:val="24"/>
                <w:lang w:val="en-US" w:eastAsia="zh-CN"/>
              </w:rPr>
              <w:t>/a，微电脑钼丝炉</w:t>
            </w:r>
            <w:r>
              <w:rPr>
                <w:rFonts w:hint="eastAsia" w:ascii="Times New Roman" w:hAnsi="Times New Roman" w:cs="Times New Roman"/>
                <w:b w:val="0"/>
                <w:bCs/>
                <w:color w:val="auto"/>
                <w:sz w:val="24"/>
                <w:szCs w:val="24"/>
                <w:lang w:val="en-US" w:eastAsia="zh-CN"/>
              </w:rPr>
              <w:t>14台，其中</w:t>
            </w:r>
            <w:r>
              <w:rPr>
                <w:rFonts w:hint="default" w:ascii="Times New Roman" w:hAnsi="Times New Roman" w:cs="Times New Roman"/>
                <w:b w:val="0"/>
                <w:bCs/>
                <w:color w:val="auto"/>
                <w:sz w:val="24"/>
                <w:szCs w:val="24"/>
                <w:lang w:val="en-US" w:eastAsia="zh-CN"/>
              </w:rPr>
              <w:t>脱除粘结剂</w:t>
            </w:r>
            <w:r>
              <w:rPr>
                <w:rFonts w:hint="eastAsia" w:ascii="Times New Roman" w:hAnsi="Times New Roman" w:cs="Times New Roman"/>
                <w:b w:val="0"/>
                <w:bCs/>
                <w:color w:val="auto"/>
                <w:sz w:val="24"/>
                <w:szCs w:val="24"/>
                <w:lang w:val="en-US" w:eastAsia="zh-CN"/>
              </w:rPr>
              <w:t>使用</w:t>
            </w:r>
            <w:r>
              <w:rPr>
                <w:rFonts w:hint="default" w:ascii="Times New Roman" w:hAnsi="Times New Roman" w:cs="Times New Roman"/>
                <w:b w:val="0"/>
                <w:bCs/>
                <w:color w:val="auto"/>
                <w:sz w:val="24"/>
                <w:szCs w:val="24"/>
                <w:lang w:val="en-US" w:eastAsia="zh-CN"/>
              </w:rPr>
              <w:t>微电脑钼丝炉</w:t>
            </w:r>
            <w:r>
              <w:rPr>
                <w:rFonts w:hint="eastAsia" w:ascii="Times New Roman" w:hAnsi="Times New Roman" w:cs="Times New Roman"/>
                <w:b w:val="0"/>
                <w:bCs/>
                <w:color w:val="auto"/>
                <w:sz w:val="24"/>
                <w:szCs w:val="24"/>
                <w:lang w:val="en-US" w:eastAsia="zh-CN"/>
              </w:rPr>
              <w:t>8台，每批次144h，烧结致密使用</w:t>
            </w:r>
            <w:r>
              <w:rPr>
                <w:rFonts w:hint="default" w:ascii="Times New Roman" w:hAnsi="Times New Roman" w:cs="Times New Roman"/>
                <w:b w:val="0"/>
                <w:bCs/>
                <w:color w:val="auto"/>
                <w:sz w:val="24"/>
                <w:szCs w:val="24"/>
                <w:lang w:val="en-US" w:eastAsia="zh-CN"/>
              </w:rPr>
              <w:t>微电脑钼丝炉</w:t>
            </w:r>
            <w:r>
              <w:rPr>
                <w:rFonts w:hint="eastAsia" w:ascii="Times New Roman" w:hAnsi="Times New Roman" w:cs="Times New Roman"/>
                <w:b w:val="0"/>
                <w:bCs/>
                <w:color w:val="auto"/>
                <w:sz w:val="24"/>
                <w:szCs w:val="24"/>
                <w:lang w:val="en-US" w:eastAsia="zh-CN"/>
              </w:rPr>
              <w:t>6台，每批次24h，共50批次，每台</w:t>
            </w:r>
            <w:r>
              <w:rPr>
                <w:rFonts w:hint="default" w:ascii="Times New Roman" w:hAnsi="Times New Roman" w:cs="Times New Roman"/>
                <w:b w:val="0"/>
                <w:bCs/>
                <w:color w:val="auto"/>
                <w:sz w:val="24"/>
                <w:szCs w:val="24"/>
                <w:lang w:val="en-US" w:eastAsia="zh-CN"/>
              </w:rPr>
              <w:t>微电脑钼丝炉</w:t>
            </w:r>
            <w:r>
              <w:rPr>
                <w:rFonts w:hint="eastAsia" w:ascii="Times New Roman" w:hAnsi="Times New Roman" w:cs="Times New Roman"/>
                <w:b w:val="0"/>
                <w:bCs/>
                <w:color w:val="auto"/>
                <w:sz w:val="24"/>
                <w:szCs w:val="24"/>
                <w:lang w:val="en-US" w:eastAsia="zh-CN"/>
              </w:rPr>
              <w:t>生产能力为0.15t</w:t>
            </w:r>
            <w:r>
              <w:rPr>
                <w:rFonts w:hint="default" w:ascii="Times New Roman" w:hAnsi="Times New Roman" w:cs="Times New Roman"/>
                <w:b w:val="0"/>
                <w:bCs/>
                <w:color w:val="auto"/>
                <w:sz w:val="24"/>
                <w:szCs w:val="24"/>
                <w:lang w:val="en-US" w:eastAsia="zh-CN"/>
              </w:rPr>
              <w:t>/</w:t>
            </w:r>
            <w:r>
              <w:rPr>
                <w:rFonts w:hint="eastAsia" w:ascii="Times New Roman" w:hAnsi="Times New Roman" w:cs="Times New Roman"/>
                <w:b w:val="0"/>
                <w:bCs/>
                <w:color w:val="auto"/>
                <w:sz w:val="24"/>
                <w:szCs w:val="24"/>
                <w:lang w:val="en-US" w:eastAsia="zh-CN"/>
              </w:rPr>
              <w:t>批次</w:t>
            </w:r>
            <w:r>
              <w:rPr>
                <w:rFonts w:hint="default" w:ascii="Times New Roman" w:hAnsi="Times New Roman" w:cs="Times New Roman"/>
                <w:b w:val="0"/>
                <w:bCs/>
                <w:color w:val="auto"/>
                <w:sz w:val="24"/>
                <w:szCs w:val="24"/>
                <w:lang w:val="en-US" w:eastAsia="zh-CN"/>
              </w:rPr>
              <w:t>~</w:t>
            </w:r>
            <w:r>
              <w:rPr>
                <w:rFonts w:hint="eastAsia" w:ascii="Times New Roman" w:hAnsi="Times New Roman" w:cs="Times New Roman"/>
                <w:b w:val="0"/>
                <w:bCs/>
                <w:color w:val="auto"/>
                <w:sz w:val="24"/>
                <w:szCs w:val="24"/>
                <w:lang w:val="en-US" w:eastAsia="zh-CN"/>
              </w:rPr>
              <w:t>0.2t</w:t>
            </w:r>
            <w:r>
              <w:rPr>
                <w:rFonts w:hint="default" w:ascii="Times New Roman" w:hAnsi="Times New Roman" w:cs="Times New Roman"/>
                <w:b w:val="0"/>
                <w:bCs/>
                <w:color w:val="auto"/>
                <w:sz w:val="24"/>
                <w:szCs w:val="24"/>
                <w:lang w:val="en-US" w:eastAsia="zh-CN"/>
              </w:rPr>
              <w:t>/</w:t>
            </w:r>
            <w:r>
              <w:rPr>
                <w:rFonts w:hint="eastAsia" w:ascii="Times New Roman" w:hAnsi="Times New Roman" w:cs="Times New Roman"/>
                <w:b w:val="0"/>
                <w:bCs/>
                <w:color w:val="auto"/>
                <w:sz w:val="24"/>
                <w:szCs w:val="24"/>
                <w:lang w:val="en-US" w:eastAsia="zh-CN"/>
              </w:rPr>
              <w:t>批次</w:t>
            </w:r>
            <w:r>
              <w:rPr>
                <w:rFonts w:hint="default" w:ascii="Times New Roman" w:hAnsi="Times New Roman" w:cs="Times New Roman"/>
                <w:b w:val="0"/>
                <w:bCs/>
                <w:color w:val="auto"/>
                <w:sz w:val="24"/>
                <w:szCs w:val="24"/>
                <w:lang w:val="en-US" w:eastAsia="zh-CN"/>
              </w:rPr>
              <w:t>，</w:t>
            </w:r>
            <w:r>
              <w:rPr>
                <w:rFonts w:hint="eastAsia" w:ascii="Times New Roman" w:hAnsi="Times New Roman" w:cs="Times New Roman"/>
                <w:b w:val="0"/>
                <w:bCs/>
                <w:color w:val="auto"/>
                <w:sz w:val="24"/>
                <w:szCs w:val="24"/>
                <w:lang w:val="en-US" w:eastAsia="zh-CN"/>
              </w:rPr>
              <w:t>则</w:t>
            </w:r>
            <w:r>
              <w:rPr>
                <w:rFonts w:hint="default" w:ascii="Times New Roman" w:hAnsi="Times New Roman" w:cs="Times New Roman"/>
                <w:b w:val="0"/>
                <w:bCs/>
                <w:color w:val="auto"/>
                <w:sz w:val="24"/>
                <w:szCs w:val="24"/>
                <w:lang w:val="en-US" w:eastAsia="zh-CN"/>
              </w:rPr>
              <w:t>微电脑钼丝炉生产能力为</w:t>
            </w:r>
            <w:r>
              <w:rPr>
                <w:rFonts w:hint="eastAsia" w:ascii="Times New Roman" w:hAnsi="Times New Roman" w:cs="Times New Roman"/>
                <w:b w:val="0"/>
                <w:bCs/>
                <w:color w:val="auto"/>
                <w:sz w:val="24"/>
                <w:szCs w:val="24"/>
                <w:lang w:val="en-US" w:eastAsia="zh-CN"/>
              </w:rPr>
              <w:t>60t</w:t>
            </w:r>
            <w:r>
              <w:rPr>
                <w:rFonts w:hint="default" w:ascii="Times New Roman" w:hAnsi="Times New Roman" w:cs="Times New Roman"/>
                <w:b w:val="0"/>
                <w:bCs/>
                <w:color w:val="auto"/>
                <w:sz w:val="24"/>
                <w:szCs w:val="24"/>
                <w:lang w:val="en-US" w:eastAsia="zh-CN"/>
              </w:rPr>
              <w:t>/a~</w:t>
            </w:r>
            <w:r>
              <w:rPr>
                <w:rFonts w:hint="eastAsia" w:ascii="Times New Roman" w:hAnsi="Times New Roman" w:cs="Times New Roman"/>
                <w:b w:val="0"/>
                <w:bCs/>
                <w:color w:val="auto"/>
                <w:sz w:val="24"/>
                <w:szCs w:val="24"/>
                <w:lang w:val="en-US" w:eastAsia="zh-CN"/>
              </w:rPr>
              <w:t>80t</w:t>
            </w:r>
            <w:r>
              <w:rPr>
                <w:rFonts w:hint="default" w:ascii="Times New Roman" w:hAnsi="Times New Roman" w:cs="Times New Roman"/>
                <w:b w:val="0"/>
                <w:bCs/>
                <w:color w:val="auto"/>
                <w:sz w:val="24"/>
                <w:szCs w:val="24"/>
                <w:lang w:val="en-US" w:eastAsia="zh-CN"/>
              </w:rPr>
              <w:t>/a，与</w:t>
            </w:r>
            <w:r>
              <w:rPr>
                <w:rFonts w:hint="eastAsia" w:ascii="Times New Roman" w:hAnsi="Times New Roman" w:cs="Times New Roman"/>
                <w:b w:val="0"/>
                <w:bCs/>
                <w:color w:val="auto"/>
                <w:sz w:val="24"/>
                <w:szCs w:val="24"/>
                <w:lang w:val="en-US" w:eastAsia="zh-CN"/>
              </w:rPr>
              <w:t>全厂</w:t>
            </w:r>
            <w:r>
              <w:rPr>
                <w:rFonts w:hint="eastAsia" w:ascii="宋体" w:hAnsi="宋体" w:eastAsia="宋体" w:cs="宋体"/>
                <w:b w:val="0"/>
                <w:bCs/>
                <w:color w:val="auto"/>
                <w:sz w:val="24"/>
                <w:szCs w:val="24"/>
                <w:lang w:val="en-US" w:eastAsia="zh-CN"/>
              </w:rPr>
              <w:t>“年产</w:t>
            </w:r>
            <w:r>
              <w:rPr>
                <w:rFonts w:hint="default" w:ascii="Times New Roman" w:hAnsi="Times New Roman" w:eastAsia="宋体" w:cs="Times New Roman"/>
                <w:b w:val="0"/>
                <w:bCs/>
                <w:color w:val="auto"/>
                <w:sz w:val="24"/>
                <w:szCs w:val="24"/>
                <w:lang w:val="en-US" w:eastAsia="zh-CN"/>
              </w:rPr>
              <w:t>60</w:t>
            </w:r>
            <w:r>
              <w:rPr>
                <w:rFonts w:hint="eastAsia" w:ascii="宋体" w:hAnsi="宋体" w:eastAsia="宋体" w:cs="宋体"/>
                <w:b w:val="0"/>
                <w:bCs/>
                <w:color w:val="auto"/>
                <w:sz w:val="24"/>
                <w:szCs w:val="24"/>
                <w:lang w:val="en-US" w:eastAsia="zh-CN"/>
              </w:rPr>
              <w:t>t钨合金渔坠”生产能</w:t>
            </w:r>
            <w:r>
              <w:rPr>
                <w:rFonts w:hint="default" w:ascii="Times New Roman" w:hAnsi="Times New Roman" w:cs="Times New Roman"/>
                <w:b w:val="0"/>
                <w:bCs/>
                <w:color w:val="auto"/>
                <w:sz w:val="24"/>
                <w:szCs w:val="24"/>
                <w:lang w:val="en-US" w:eastAsia="zh-CN"/>
              </w:rPr>
              <w:t>力相匹配。</w:t>
            </w:r>
          </w:p>
          <w:p w14:paraId="079ACBBF">
            <w:pPr>
              <w:pStyle w:val="6"/>
              <w:keepNext/>
              <w:keepLines/>
              <w:pageBreakBefore w:val="0"/>
              <w:widowControl w:val="0"/>
              <w:kinsoku/>
              <w:wordWrap/>
              <w:overflowPunct/>
              <w:topLinePunct w:val="0"/>
              <w:autoSpaceDE/>
              <w:autoSpaceDN/>
              <w:bidi w:val="0"/>
              <w:adjustRightInd w:val="0"/>
              <w:snapToGrid w:val="0"/>
              <w:spacing w:beforeLines="0"/>
              <w:ind w:firstLine="482" w:firstLineChars="200"/>
              <w:textAlignment w:val="auto"/>
              <w:rPr>
                <w:rFonts w:hint="default" w:ascii="Times New Roman" w:hAnsi="Times New Roman" w:eastAsia="宋体" w:cs="Times New Roman"/>
                <w:b w:val="0"/>
                <w:bCs w:val="0"/>
                <w:snapToGrid/>
                <w:color w:val="auto"/>
                <w:spacing w:val="0"/>
                <w:kern w:val="0"/>
                <w:position w:val="0"/>
                <w:sz w:val="24"/>
                <w:szCs w:val="24"/>
                <w:lang w:eastAsia="zh-CN"/>
              </w:rPr>
            </w:pPr>
            <w:r>
              <w:rPr>
                <w:rFonts w:hint="default" w:ascii="Times New Roman" w:hAnsi="Times New Roman" w:eastAsia="宋体" w:cs="Times New Roman"/>
                <w:b/>
                <w:bCs/>
                <w:snapToGrid/>
                <w:color w:val="auto"/>
                <w:spacing w:val="0"/>
                <w:kern w:val="0"/>
                <w:position w:val="0"/>
                <w:sz w:val="24"/>
                <w:szCs w:val="24"/>
                <w:lang w:val="en-US" w:eastAsia="zh-CN"/>
              </w:rPr>
              <w:t>4、</w:t>
            </w:r>
            <w:r>
              <w:rPr>
                <w:rFonts w:hint="default" w:ascii="Times New Roman" w:hAnsi="Times New Roman" w:eastAsia="宋体" w:cs="Times New Roman"/>
                <w:b/>
                <w:bCs/>
                <w:snapToGrid/>
                <w:color w:val="auto"/>
                <w:spacing w:val="0"/>
                <w:kern w:val="0"/>
                <w:position w:val="0"/>
                <w:sz w:val="24"/>
                <w:szCs w:val="24"/>
                <w:lang w:eastAsia="zh-CN"/>
              </w:rPr>
              <w:t>项目原辅材料及资源、能源消耗</w:t>
            </w:r>
          </w:p>
          <w:p w14:paraId="2C5240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t>项目主要原辅材料及</w:t>
            </w:r>
            <w:r>
              <w:rPr>
                <w:rFonts w:hint="eastAsia" w:ascii="Times New Roman" w:hAnsi="Times New Roman" w:eastAsia="宋体" w:cs="Times New Roman"/>
                <w:b w:val="0"/>
                <w:bCs w:val="0"/>
                <w:snapToGrid/>
                <w:color w:val="auto"/>
                <w:spacing w:val="0"/>
                <w:kern w:val="0"/>
                <w:position w:val="0"/>
                <w:sz w:val="24"/>
                <w:szCs w:val="24"/>
                <w:lang w:eastAsia="zh-CN"/>
              </w:rPr>
              <w:t>资源、能源</w:t>
            </w:r>
            <w:r>
              <w:rPr>
                <w:rFonts w:hint="default" w:ascii="Times New Roman" w:hAnsi="Times New Roman" w:eastAsia="宋体" w:cs="Times New Roman"/>
                <w:snapToGrid/>
                <w:color w:val="auto"/>
                <w:spacing w:val="0"/>
                <w:kern w:val="0"/>
                <w:position w:val="0"/>
                <w:sz w:val="24"/>
                <w:szCs w:val="24"/>
              </w:rPr>
              <w:t>消耗见表</w:t>
            </w:r>
            <w:r>
              <w:rPr>
                <w:rFonts w:hint="eastAsia" w:ascii="Times New Roman" w:hAnsi="Times New Roman" w:eastAsia="宋体" w:cs="Times New Roman"/>
                <w:snapToGrid/>
                <w:color w:val="auto"/>
                <w:spacing w:val="0"/>
                <w:kern w:val="0"/>
                <w:position w:val="0"/>
                <w:sz w:val="24"/>
                <w:szCs w:val="24"/>
                <w:lang w:val="en-US" w:eastAsia="zh-CN"/>
              </w:rPr>
              <w:t>2</w:t>
            </w:r>
            <w:r>
              <w:rPr>
                <w:rFonts w:hint="eastAsia" w:cs="Times New Roman"/>
                <w:snapToGrid/>
                <w:color w:val="auto"/>
                <w:spacing w:val="0"/>
                <w:kern w:val="0"/>
                <w:position w:val="0"/>
                <w:sz w:val="24"/>
                <w:szCs w:val="24"/>
                <w:lang w:val="en-US" w:eastAsia="zh-CN"/>
              </w:rPr>
              <w:t>.6</w:t>
            </w:r>
            <w:r>
              <w:rPr>
                <w:rFonts w:hint="default" w:ascii="Times New Roman" w:hAnsi="Times New Roman" w:eastAsia="宋体" w:cs="Times New Roman"/>
                <w:snapToGrid/>
                <w:color w:val="auto"/>
                <w:spacing w:val="0"/>
                <w:kern w:val="0"/>
                <w:position w:val="0"/>
                <w:sz w:val="24"/>
                <w:szCs w:val="24"/>
              </w:rPr>
              <w:t>。</w:t>
            </w:r>
          </w:p>
          <w:p w14:paraId="7E73B3C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snapToGrid/>
                <w:color w:val="auto"/>
                <w:spacing w:val="0"/>
                <w:kern w:val="0"/>
                <w:position w:val="0"/>
                <w:sz w:val="24"/>
                <w:szCs w:val="24"/>
              </w:rPr>
            </w:pPr>
            <w:r>
              <w:rPr>
                <w:rFonts w:hint="default" w:ascii="Times New Roman" w:hAnsi="Times New Roman" w:eastAsia="宋体" w:cs="Times New Roman"/>
                <w:b/>
                <w:bCs/>
                <w:snapToGrid/>
                <w:color w:val="auto"/>
                <w:spacing w:val="0"/>
                <w:kern w:val="0"/>
                <w:position w:val="0"/>
                <w:sz w:val="24"/>
                <w:szCs w:val="24"/>
              </w:rPr>
              <w:t>表</w:t>
            </w:r>
            <w:r>
              <w:rPr>
                <w:rFonts w:hint="default" w:ascii="Times New Roman" w:hAnsi="Times New Roman" w:eastAsia="宋体" w:cs="Times New Roman"/>
                <w:b/>
                <w:bCs/>
                <w:snapToGrid/>
                <w:color w:val="auto"/>
                <w:spacing w:val="0"/>
                <w:kern w:val="0"/>
                <w:position w:val="0"/>
                <w:sz w:val="24"/>
                <w:szCs w:val="24"/>
                <w:lang w:val="en-US" w:eastAsia="zh-CN"/>
              </w:rPr>
              <w:t>2</w:t>
            </w:r>
            <w:r>
              <w:rPr>
                <w:rFonts w:hint="eastAsia" w:cs="Times New Roman"/>
                <w:b/>
                <w:bCs/>
                <w:snapToGrid/>
                <w:color w:val="auto"/>
                <w:spacing w:val="0"/>
                <w:kern w:val="0"/>
                <w:position w:val="0"/>
                <w:sz w:val="24"/>
                <w:szCs w:val="24"/>
                <w:lang w:val="en-US" w:eastAsia="zh-CN"/>
              </w:rPr>
              <w:t>.6</w:t>
            </w:r>
            <w:r>
              <w:rPr>
                <w:rFonts w:hint="default" w:ascii="Times New Roman" w:hAnsi="Times New Roman" w:eastAsia="宋体" w:cs="Times New Roman"/>
                <w:b/>
                <w:bCs/>
                <w:snapToGrid/>
                <w:color w:val="auto"/>
                <w:spacing w:val="0"/>
                <w:kern w:val="0"/>
                <w:position w:val="0"/>
                <w:sz w:val="24"/>
                <w:szCs w:val="24"/>
              </w:rPr>
              <w:t xml:space="preserve"> </w:t>
            </w:r>
            <w:r>
              <w:rPr>
                <w:rFonts w:hint="eastAsia" w:ascii="Times New Roman" w:hAnsi="Times New Roman" w:eastAsia="宋体" w:cs="Times New Roman"/>
                <w:b/>
                <w:bCs/>
                <w:snapToGrid/>
                <w:color w:val="auto"/>
                <w:spacing w:val="0"/>
                <w:kern w:val="0"/>
                <w:position w:val="0"/>
                <w:sz w:val="24"/>
                <w:szCs w:val="24"/>
                <w:lang w:val="en-US" w:eastAsia="zh-CN"/>
              </w:rPr>
              <w:t xml:space="preserve"> </w:t>
            </w:r>
            <w:r>
              <w:rPr>
                <w:rFonts w:hint="default" w:ascii="Times New Roman" w:hAnsi="Times New Roman" w:eastAsia="宋体" w:cs="Times New Roman"/>
                <w:b/>
                <w:bCs/>
                <w:snapToGrid/>
                <w:color w:val="auto"/>
                <w:spacing w:val="0"/>
                <w:kern w:val="0"/>
                <w:position w:val="0"/>
                <w:sz w:val="24"/>
                <w:szCs w:val="24"/>
                <w:lang w:eastAsia="zh-CN"/>
              </w:rPr>
              <w:t>项目原辅材料及资源、能源消耗</w:t>
            </w:r>
            <w:r>
              <w:rPr>
                <w:rFonts w:hint="default" w:ascii="Times New Roman" w:hAnsi="Times New Roman" w:eastAsia="宋体" w:cs="Times New Roman"/>
                <w:b/>
                <w:bCs/>
                <w:snapToGrid/>
                <w:color w:val="auto"/>
                <w:spacing w:val="0"/>
                <w:kern w:val="0"/>
                <w:position w:val="0"/>
                <w:sz w:val="24"/>
                <w:szCs w:val="24"/>
              </w:rPr>
              <w:t>一览表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927"/>
              <w:gridCol w:w="1479"/>
              <w:gridCol w:w="1100"/>
              <w:gridCol w:w="1099"/>
              <w:gridCol w:w="1227"/>
              <w:gridCol w:w="972"/>
            </w:tblGrid>
            <w:tr w14:paraId="7BD5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1" w:type="dxa"/>
                  <w:noWrap w:val="0"/>
                  <w:vAlign w:val="center"/>
                </w:tcPr>
                <w:p w14:paraId="398BBFD3">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napToGrid/>
                      <w:color w:val="auto"/>
                      <w:spacing w:val="0"/>
                      <w:kern w:val="0"/>
                      <w:position w:val="0"/>
                      <w:sz w:val="21"/>
                      <w:szCs w:val="21"/>
                    </w:rPr>
                  </w:pPr>
                  <w:r>
                    <w:rPr>
                      <w:rFonts w:hint="default" w:ascii="Times New Roman" w:hAnsi="Times New Roman" w:eastAsia="宋体" w:cs="Times New Roman"/>
                      <w:b w:val="0"/>
                      <w:bCs w:val="0"/>
                      <w:snapToGrid/>
                      <w:color w:val="auto"/>
                      <w:spacing w:val="0"/>
                      <w:kern w:val="0"/>
                      <w:position w:val="0"/>
                      <w:sz w:val="21"/>
                      <w:szCs w:val="21"/>
                    </w:rPr>
                    <w:t>名称</w:t>
                  </w:r>
                </w:p>
              </w:tc>
              <w:tc>
                <w:tcPr>
                  <w:tcW w:w="942" w:type="dxa"/>
                  <w:noWrap w:val="0"/>
                  <w:vAlign w:val="center"/>
                </w:tcPr>
                <w:p w14:paraId="442CC419">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napToGrid/>
                      <w:color w:val="auto"/>
                      <w:spacing w:val="0"/>
                      <w:kern w:val="0"/>
                      <w:position w:val="0"/>
                      <w:sz w:val="21"/>
                      <w:szCs w:val="21"/>
                    </w:rPr>
                  </w:pPr>
                  <w:r>
                    <w:rPr>
                      <w:rFonts w:hint="default" w:ascii="Times New Roman" w:hAnsi="Times New Roman" w:eastAsia="宋体" w:cs="Times New Roman"/>
                      <w:b w:val="0"/>
                      <w:bCs w:val="0"/>
                      <w:snapToGrid/>
                      <w:color w:val="auto"/>
                      <w:spacing w:val="0"/>
                      <w:kern w:val="0"/>
                      <w:position w:val="0"/>
                      <w:sz w:val="21"/>
                      <w:szCs w:val="21"/>
                    </w:rPr>
                    <w:t>单位</w:t>
                  </w:r>
                </w:p>
              </w:tc>
              <w:tc>
                <w:tcPr>
                  <w:tcW w:w="1507" w:type="dxa"/>
                  <w:noWrap w:val="0"/>
                  <w:vAlign w:val="center"/>
                </w:tcPr>
                <w:p w14:paraId="4DAF6451">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Times New Roman" w:hAnsi="Times New Roman" w:eastAsia="宋体" w:cs="Times New Roman"/>
                      <w:b w:val="0"/>
                      <w:bCs w:val="0"/>
                      <w:snapToGrid/>
                      <w:color w:val="auto"/>
                      <w:spacing w:val="0"/>
                      <w:kern w:val="0"/>
                      <w:position w:val="0"/>
                      <w:sz w:val="21"/>
                      <w:szCs w:val="21"/>
                      <w:lang w:val="en-US" w:eastAsia="zh-CN"/>
                    </w:rPr>
                  </w:pPr>
                  <w:r>
                    <w:rPr>
                      <w:rFonts w:hint="eastAsia" w:cs="Times New Roman"/>
                      <w:b w:val="0"/>
                      <w:bCs w:val="0"/>
                      <w:snapToGrid/>
                      <w:color w:val="auto"/>
                      <w:spacing w:val="0"/>
                      <w:kern w:val="0"/>
                      <w:position w:val="0"/>
                      <w:sz w:val="21"/>
                      <w:szCs w:val="21"/>
                      <w:lang w:val="en-US" w:eastAsia="zh-CN"/>
                    </w:rPr>
                    <w:t>规格</w:t>
                  </w:r>
                </w:p>
              </w:tc>
              <w:tc>
                <w:tcPr>
                  <w:tcW w:w="1119" w:type="dxa"/>
                  <w:noWrap w:val="0"/>
                  <w:vAlign w:val="center"/>
                </w:tcPr>
                <w:p w14:paraId="4D77C121">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Times New Roman" w:hAnsi="Times New Roman" w:eastAsia="宋体" w:cs="Times New Roman"/>
                      <w:bCs/>
                      <w:snapToGrid/>
                      <w:color w:val="auto"/>
                      <w:spacing w:val="0"/>
                      <w:kern w:val="0"/>
                      <w:position w:val="0"/>
                      <w:sz w:val="21"/>
                      <w:szCs w:val="21"/>
                      <w:lang w:eastAsia="zh-CN"/>
                    </w:rPr>
                  </w:pPr>
                  <w:r>
                    <w:rPr>
                      <w:rFonts w:hint="eastAsia" w:ascii="Times New Roman" w:hAnsi="Times New Roman" w:eastAsia="宋体" w:cs="Times New Roman"/>
                      <w:bCs/>
                      <w:snapToGrid/>
                      <w:color w:val="auto"/>
                      <w:spacing w:val="0"/>
                      <w:kern w:val="0"/>
                      <w:position w:val="0"/>
                      <w:sz w:val="21"/>
                      <w:szCs w:val="21"/>
                      <w:lang w:eastAsia="zh-CN"/>
                    </w:rPr>
                    <w:t>用量</w:t>
                  </w:r>
                </w:p>
                <w:p w14:paraId="532947CC">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napToGrid/>
                      <w:color w:val="auto"/>
                      <w:spacing w:val="0"/>
                      <w:kern w:val="0"/>
                      <w:position w:val="0"/>
                      <w:sz w:val="21"/>
                      <w:szCs w:val="21"/>
                    </w:rPr>
                  </w:pPr>
                  <w:r>
                    <w:rPr>
                      <w:rFonts w:hint="eastAsia" w:ascii="Times New Roman" w:hAnsi="Times New Roman" w:eastAsia="宋体" w:cs="Times New Roman"/>
                      <w:bCs/>
                      <w:snapToGrid/>
                      <w:color w:val="auto"/>
                      <w:spacing w:val="0"/>
                      <w:kern w:val="0"/>
                      <w:position w:val="0"/>
                      <w:sz w:val="21"/>
                      <w:szCs w:val="21"/>
                      <w:lang w:val="en-US" w:eastAsia="zh-CN"/>
                    </w:rPr>
                    <w:t>（</w:t>
                  </w:r>
                  <w:r>
                    <w:rPr>
                      <w:rFonts w:hint="eastAsia" w:cs="Times New Roman"/>
                      <w:bCs/>
                      <w:snapToGrid/>
                      <w:color w:val="auto"/>
                      <w:spacing w:val="0"/>
                      <w:kern w:val="0"/>
                      <w:position w:val="0"/>
                      <w:sz w:val="21"/>
                      <w:szCs w:val="21"/>
                      <w:lang w:val="en-US" w:eastAsia="zh-CN"/>
                    </w:rPr>
                    <w:t>改</w:t>
                  </w:r>
                  <w:r>
                    <w:rPr>
                      <w:rFonts w:hint="eastAsia" w:ascii="Times New Roman" w:hAnsi="Times New Roman" w:eastAsia="宋体" w:cs="Times New Roman"/>
                      <w:bCs/>
                      <w:snapToGrid/>
                      <w:color w:val="auto"/>
                      <w:spacing w:val="0"/>
                      <w:kern w:val="0"/>
                      <w:position w:val="0"/>
                      <w:sz w:val="21"/>
                      <w:szCs w:val="21"/>
                      <w:lang w:val="en-US" w:eastAsia="zh-CN"/>
                    </w:rPr>
                    <w:t>扩建</w:t>
                  </w:r>
                  <w:r>
                    <w:rPr>
                      <w:rFonts w:hint="default" w:ascii="Times New Roman" w:hAnsi="Times New Roman" w:eastAsia="宋体" w:cs="Times New Roman"/>
                      <w:bCs/>
                      <w:snapToGrid/>
                      <w:color w:val="auto"/>
                      <w:spacing w:val="0"/>
                      <w:kern w:val="0"/>
                      <w:position w:val="0"/>
                      <w:sz w:val="21"/>
                      <w:szCs w:val="21"/>
                      <w:lang w:eastAsia="zh-CN"/>
                    </w:rPr>
                    <w:t>前</w:t>
                  </w:r>
                  <w:r>
                    <w:rPr>
                      <w:rFonts w:hint="eastAsia" w:ascii="Times New Roman" w:hAnsi="Times New Roman" w:eastAsia="宋体" w:cs="Times New Roman"/>
                      <w:bCs/>
                      <w:snapToGrid/>
                      <w:color w:val="auto"/>
                      <w:spacing w:val="0"/>
                      <w:kern w:val="0"/>
                      <w:position w:val="0"/>
                      <w:sz w:val="21"/>
                      <w:szCs w:val="21"/>
                      <w:lang w:eastAsia="zh-CN"/>
                    </w:rPr>
                    <w:t>）</w:t>
                  </w:r>
                </w:p>
              </w:tc>
              <w:tc>
                <w:tcPr>
                  <w:tcW w:w="1118" w:type="dxa"/>
                  <w:noWrap w:val="0"/>
                  <w:vAlign w:val="center"/>
                </w:tcPr>
                <w:p w14:paraId="0868F540">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Cs/>
                      <w:snapToGrid/>
                      <w:color w:val="auto"/>
                      <w:spacing w:val="0"/>
                      <w:kern w:val="0"/>
                      <w:position w:val="0"/>
                      <w:sz w:val="21"/>
                      <w:szCs w:val="21"/>
                    </w:rPr>
                  </w:pPr>
                  <w:r>
                    <w:rPr>
                      <w:rFonts w:hint="eastAsia" w:ascii="Times New Roman" w:hAnsi="Times New Roman" w:eastAsia="宋体" w:cs="Times New Roman"/>
                      <w:bCs/>
                      <w:snapToGrid/>
                      <w:color w:val="auto"/>
                      <w:spacing w:val="0"/>
                      <w:kern w:val="0"/>
                      <w:position w:val="0"/>
                      <w:sz w:val="21"/>
                      <w:szCs w:val="21"/>
                      <w:lang w:eastAsia="zh-CN"/>
                    </w:rPr>
                    <w:t>用量</w:t>
                  </w:r>
                </w:p>
                <w:p w14:paraId="37022875">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napToGrid/>
                      <w:color w:val="auto"/>
                      <w:spacing w:val="0"/>
                      <w:kern w:val="0"/>
                      <w:position w:val="0"/>
                      <w:sz w:val="21"/>
                      <w:szCs w:val="21"/>
                    </w:rPr>
                  </w:pPr>
                  <w:r>
                    <w:rPr>
                      <w:rFonts w:hint="eastAsia"/>
                      <w:snapToGrid/>
                      <w:color w:val="auto"/>
                      <w:spacing w:val="0"/>
                      <w:kern w:val="0"/>
                      <w:position w:val="0"/>
                      <w:sz w:val="21"/>
                      <w:szCs w:val="21"/>
                      <w:lang w:eastAsia="zh-CN"/>
                    </w:rPr>
                    <w:t>（</w:t>
                  </w:r>
                  <w:r>
                    <w:rPr>
                      <w:rFonts w:hint="eastAsia"/>
                      <w:snapToGrid/>
                      <w:color w:val="auto"/>
                      <w:spacing w:val="0"/>
                      <w:kern w:val="0"/>
                      <w:position w:val="0"/>
                      <w:sz w:val="21"/>
                      <w:szCs w:val="21"/>
                      <w:lang w:val="en-US" w:eastAsia="zh-CN"/>
                    </w:rPr>
                    <w:t>改</w:t>
                  </w:r>
                  <w:r>
                    <w:rPr>
                      <w:rFonts w:hint="eastAsia" w:ascii="Times New Roman" w:hAnsi="Times New Roman" w:eastAsia="宋体" w:cs="Times New Roman"/>
                      <w:bCs/>
                      <w:snapToGrid/>
                      <w:color w:val="auto"/>
                      <w:spacing w:val="0"/>
                      <w:kern w:val="0"/>
                      <w:position w:val="0"/>
                      <w:sz w:val="21"/>
                      <w:szCs w:val="21"/>
                      <w:lang w:val="en-US" w:eastAsia="zh-CN"/>
                    </w:rPr>
                    <w:t>扩建</w:t>
                  </w:r>
                  <w:r>
                    <w:rPr>
                      <w:rFonts w:hint="default" w:ascii="Times New Roman" w:hAnsi="Times New Roman" w:eastAsia="宋体" w:cs="Times New Roman"/>
                      <w:bCs/>
                      <w:snapToGrid/>
                      <w:color w:val="auto"/>
                      <w:spacing w:val="0"/>
                      <w:kern w:val="0"/>
                      <w:position w:val="0"/>
                      <w:sz w:val="21"/>
                      <w:szCs w:val="21"/>
                      <w:lang w:eastAsia="zh-CN"/>
                    </w:rPr>
                    <w:t>后</w:t>
                  </w:r>
                  <w:r>
                    <w:rPr>
                      <w:rFonts w:hint="eastAsia" w:ascii="Times New Roman" w:hAnsi="Times New Roman" w:eastAsia="宋体" w:cs="Times New Roman"/>
                      <w:bCs/>
                      <w:snapToGrid/>
                      <w:color w:val="auto"/>
                      <w:spacing w:val="0"/>
                      <w:kern w:val="0"/>
                      <w:position w:val="0"/>
                      <w:sz w:val="21"/>
                      <w:szCs w:val="21"/>
                      <w:lang w:eastAsia="zh-CN"/>
                    </w:rPr>
                    <w:t>）</w:t>
                  </w:r>
                </w:p>
              </w:tc>
              <w:tc>
                <w:tcPr>
                  <w:tcW w:w="1249" w:type="dxa"/>
                  <w:noWrap w:val="0"/>
                  <w:vAlign w:val="center"/>
                </w:tcPr>
                <w:p w14:paraId="3AA32261">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Times New Roman" w:hAnsi="Times New Roman" w:eastAsia="宋体" w:cs="Times New Roman"/>
                      <w:bCs/>
                      <w:snapToGrid/>
                      <w:color w:val="auto"/>
                      <w:spacing w:val="0"/>
                      <w:kern w:val="0"/>
                      <w:position w:val="0"/>
                      <w:sz w:val="21"/>
                      <w:szCs w:val="21"/>
                      <w:lang w:eastAsia="zh-CN"/>
                    </w:rPr>
                  </w:pPr>
                  <w:r>
                    <w:rPr>
                      <w:rFonts w:hint="eastAsia" w:ascii="Times New Roman" w:hAnsi="Times New Roman" w:eastAsia="宋体" w:cs="Times New Roman"/>
                      <w:bCs/>
                      <w:snapToGrid/>
                      <w:color w:val="auto"/>
                      <w:spacing w:val="0"/>
                      <w:kern w:val="0"/>
                      <w:position w:val="0"/>
                      <w:sz w:val="21"/>
                      <w:szCs w:val="21"/>
                      <w:lang w:eastAsia="zh-CN"/>
                    </w:rPr>
                    <w:t>用量</w:t>
                  </w:r>
                </w:p>
                <w:p w14:paraId="79997269">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Cs/>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eastAsia="zh-CN"/>
                    </w:rPr>
                    <w:t>变化</w:t>
                  </w:r>
                </w:p>
              </w:tc>
              <w:tc>
                <w:tcPr>
                  <w:tcW w:w="988" w:type="dxa"/>
                  <w:noWrap w:val="0"/>
                  <w:vAlign w:val="center"/>
                </w:tcPr>
                <w:p w14:paraId="56251075">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b w:val="0"/>
                      <w:bCs w:val="0"/>
                      <w:snapToGrid/>
                      <w:color w:val="auto"/>
                      <w:spacing w:val="0"/>
                      <w:kern w:val="0"/>
                      <w:position w:val="0"/>
                      <w:sz w:val="21"/>
                      <w:szCs w:val="21"/>
                      <w:lang w:eastAsia="zh-CN"/>
                    </w:rPr>
                  </w:pPr>
                  <w:r>
                    <w:rPr>
                      <w:rFonts w:hint="default" w:ascii="Times New Roman" w:hAnsi="Times New Roman" w:eastAsia="宋体" w:cs="Times New Roman"/>
                      <w:b w:val="0"/>
                      <w:bCs w:val="0"/>
                      <w:snapToGrid/>
                      <w:color w:val="auto"/>
                      <w:spacing w:val="0"/>
                      <w:kern w:val="0"/>
                      <w:position w:val="0"/>
                      <w:sz w:val="21"/>
                      <w:szCs w:val="21"/>
                      <w:lang w:eastAsia="zh-CN"/>
                    </w:rPr>
                    <w:t>备注</w:t>
                  </w:r>
                </w:p>
              </w:tc>
            </w:tr>
            <w:tr w14:paraId="767D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4" w:type="dxa"/>
                  <w:gridSpan w:val="7"/>
                  <w:noWrap w:val="0"/>
                  <w:vAlign w:val="center"/>
                </w:tcPr>
                <w:p w14:paraId="6AB12A5B">
                  <w:pPr>
                    <w:adjustRightInd w:val="0"/>
                    <w:snapToGrid w:val="0"/>
                    <w:spacing w:line="240" w:lineRule="auto"/>
                    <w:jc w:val="center"/>
                    <w:rPr>
                      <w:rFonts w:hint="eastAsia" w:ascii="Times New Roman" w:hAnsi="Times New Roman" w:eastAsia="宋体" w:cs="Times New Roman"/>
                      <w:color w:val="auto"/>
                      <w:sz w:val="21"/>
                      <w:szCs w:val="21"/>
                      <w:highlight w:val="none"/>
                      <w:lang w:val="en-US" w:eastAsia="zh-CN"/>
                    </w:rPr>
                  </w:pPr>
                  <w:r>
                    <w:rPr>
                      <w:color w:val="auto"/>
                    </w:rPr>
                    <w:t>主要原辅材料</w:t>
                  </w:r>
                  <w:r>
                    <w:rPr>
                      <w:rFonts w:hint="eastAsia"/>
                      <w:color w:val="auto"/>
                      <w:lang w:eastAsia="zh-CN"/>
                    </w:rPr>
                    <w:t>消耗</w:t>
                  </w:r>
                </w:p>
              </w:tc>
            </w:tr>
            <w:tr w14:paraId="6E78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1" w:type="dxa"/>
                  <w:shd w:val="clear" w:color="auto" w:fill="auto"/>
                  <w:noWrap w:val="0"/>
                  <w:vAlign w:val="center"/>
                </w:tcPr>
                <w:p w14:paraId="7B4ADCAE">
                  <w:pPr>
                    <w:keepNext w:val="0"/>
                    <w:keepLines w:val="0"/>
                    <w:pageBreakBefore w:val="0"/>
                    <w:widowControl/>
                    <w:kinsoku w:val="0"/>
                    <w:wordWrap/>
                    <w:overflowPunct/>
                    <w:topLinePunct w:val="0"/>
                    <w:autoSpaceDE w:val="0"/>
                    <w:autoSpaceDN w:val="0"/>
                    <w:bidi w:val="0"/>
                    <w:adjustRightInd w:val="0"/>
                    <w:snapToGrid w:val="0"/>
                    <w:spacing w:before="72" w:beforeLines="30" w:line="240" w:lineRule="auto"/>
                    <w:ind w:firstLine="0" w:firstLine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color w:val="auto"/>
                      <w:sz w:val="21"/>
                      <w:szCs w:val="21"/>
                      <w:lang w:val="en-US" w:eastAsia="zh-CN"/>
                    </w:rPr>
                    <w:t>钨</w:t>
                  </w:r>
                  <w:r>
                    <w:rPr>
                      <w:rFonts w:hint="eastAsia"/>
                      <w:color w:val="auto"/>
                      <w:sz w:val="21"/>
                      <w:szCs w:val="21"/>
                      <w:lang w:val="en-US" w:eastAsia="zh-CN"/>
                    </w:rPr>
                    <w:t>粉</w:t>
                  </w:r>
                </w:p>
              </w:tc>
              <w:tc>
                <w:tcPr>
                  <w:tcW w:w="942" w:type="dxa"/>
                  <w:noWrap w:val="0"/>
                  <w:vAlign w:val="center"/>
                </w:tcPr>
                <w:p w14:paraId="3229C2D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cs="Times New Roman"/>
                      <w:b w:val="0"/>
                      <w:bCs w:val="0"/>
                      <w:snapToGrid/>
                      <w:color w:val="auto"/>
                      <w:spacing w:val="0"/>
                      <w:kern w:val="0"/>
                      <w:position w:val="0"/>
                      <w:sz w:val="21"/>
                      <w:szCs w:val="21"/>
                      <w:lang w:val="en-US" w:eastAsia="zh-CN" w:bidi="ar-SA"/>
                    </w:rPr>
                  </w:pPr>
                  <w:r>
                    <w:rPr>
                      <w:rFonts w:hint="eastAsia" w:ascii="Times New Roman" w:hAnsi="Times New Roman" w:eastAsia="宋体" w:cs="Times New Roman"/>
                      <w:b w:val="0"/>
                      <w:bCs w:val="0"/>
                      <w:snapToGrid/>
                      <w:color w:val="auto"/>
                      <w:spacing w:val="0"/>
                      <w:kern w:val="0"/>
                      <w:position w:val="0"/>
                      <w:sz w:val="21"/>
                      <w:szCs w:val="21"/>
                      <w:lang w:val="en-US" w:eastAsia="zh-CN"/>
                    </w:rPr>
                    <w:t>t/a</w:t>
                  </w:r>
                </w:p>
              </w:tc>
              <w:tc>
                <w:tcPr>
                  <w:tcW w:w="1507" w:type="dxa"/>
                  <w:noWrap w:val="0"/>
                  <w:vAlign w:val="center"/>
                </w:tcPr>
                <w:p w14:paraId="52D4DC25">
                  <w:pPr>
                    <w:keepNext w:val="0"/>
                    <w:keepLines w:val="0"/>
                    <w:pageBreakBefore w:val="0"/>
                    <w:kinsoku/>
                    <w:wordWrap/>
                    <w:overflowPunct/>
                    <w:topLinePunct w:val="0"/>
                    <w:autoSpaceDE/>
                    <w:autoSpaceDN/>
                    <w:bidi w:val="0"/>
                    <w:adjustRightInd w:val="0"/>
                    <w:snapToGrid w:val="0"/>
                    <w:spacing w:line="240" w:lineRule="auto"/>
                    <w:ind w:right="0" w:rightChars="0"/>
                    <w:jc w:val="center"/>
                    <w:rPr>
                      <w:rFonts w:hint="eastAsia" w:ascii="Times New Roman" w:hAnsi="Times New Roman" w:eastAsia="宋体" w:cs="Times New Roman"/>
                      <w:b w:val="0"/>
                      <w:bCs w:val="0"/>
                      <w:snapToGrid/>
                      <w:color w:val="auto"/>
                      <w:spacing w:val="0"/>
                      <w:kern w:val="0"/>
                      <w:position w:val="0"/>
                      <w:sz w:val="21"/>
                      <w:szCs w:val="21"/>
                      <w:lang w:val="en-US" w:eastAsia="zh-CN"/>
                    </w:rPr>
                  </w:pPr>
                  <w:r>
                    <w:rPr>
                      <w:rFonts w:hint="default" w:ascii="Times New Roman" w:hAnsi="Times New Roman" w:eastAsia="宋体" w:cs="Times New Roman"/>
                      <w:color w:val="auto"/>
                      <w:kern w:val="2"/>
                      <w:sz w:val="21"/>
                      <w:szCs w:val="21"/>
                      <w:highlight w:val="none"/>
                      <w:lang w:val="en-US" w:eastAsia="zh-CN" w:bidi="ar-SA"/>
                    </w:rPr>
                    <w:t>25kg/袋装</w:t>
                  </w:r>
                </w:p>
              </w:tc>
              <w:tc>
                <w:tcPr>
                  <w:tcW w:w="1119" w:type="dxa"/>
                  <w:shd w:val="clear" w:color="auto" w:fill="auto"/>
                  <w:noWrap w:val="0"/>
                  <w:vAlign w:val="center"/>
                </w:tcPr>
                <w:p w14:paraId="43E66FBB">
                  <w:pPr>
                    <w:spacing w:before="72" w:beforeLines="30"/>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28.8</w:t>
                  </w:r>
                </w:p>
              </w:tc>
              <w:tc>
                <w:tcPr>
                  <w:tcW w:w="1118" w:type="dxa"/>
                  <w:noWrap w:val="0"/>
                  <w:vAlign w:val="center"/>
                </w:tcPr>
                <w:p w14:paraId="700FE5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华文中宋" w:cs="Times New Roman"/>
                      <w:snapToGrid/>
                      <w:color w:val="auto"/>
                      <w:spacing w:val="0"/>
                      <w:kern w:val="0"/>
                      <w:position w:val="0"/>
                      <w:sz w:val="21"/>
                      <w:szCs w:val="24"/>
                      <w:lang w:val="en-US" w:eastAsia="zh-CN" w:bidi="ar-SA"/>
                    </w:rPr>
                  </w:pPr>
                  <w:r>
                    <w:rPr>
                      <w:rFonts w:hint="eastAsia" w:eastAsia="华文中宋" w:cs="Times New Roman"/>
                      <w:snapToGrid/>
                      <w:color w:val="auto"/>
                      <w:spacing w:val="0"/>
                      <w:kern w:val="0"/>
                      <w:position w:val="0"/>
                      <w:sz w:val="21"/>
                      <w:szCs w:val="24"/>
                      <w:lang w:val="en-US" w:eastAsia="zh-CN" w:bidi="ar-SA"/>
                    </w:rPr>
                    <w:t>57.6</w:t>
                  </w:r>
                </w:p>
              </w:tc>
              <w:tc>
                <w:tcPr>
                  <w:tcW w:w="1249" w:type="dxa"/>
                  <w:shd w:val="clear" w:color="auto" w:fill="auto"/>
                  <w:noWrap w:val="0"/>
                  <w:vAlign w:val="center"/>
                </w:tcPr>
                <w:p w14:paraId="57D21329">
                  <w:pPr>
                    <w:spacing w:before="72" w:beforeLines="30"/>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+28.8</w:t>
                  </w:r>
                </w:p>
              </w:tc>
              <w:tc>
                <w:tcPr>
                  <w:tcW w:w="988" w:type="dxa"/>
                  <w:noWrap w:val="0"/>
                  <w:vAlign w:val="center"/>
                </w:tcPr>
                <w:p w14:paraId="25425B9C">
                  <w:pPr>
                    <w:adjustRightInd w:val="0"/>
                    <w:snapToGrid w:val="0"/>
                    <w:spacing w:line="240" w:lineRule="auto"/>
                    <w:jc w:val="center"/>
                    <w:rPr>
                      <w:rFonts w:hint="eastAsia" w:ascii="宋体" w:hAnsi="宋体" w:eastAsia="宋体" w:cs="宋体"/>
                      <w:b w:val="0"/>
                      <w:bCs w:val="0"/>
                      <w:snapToGrid/>
                      <w:color w:val="auto"/>
                      <w:spacing w:val="0"/>
                      <w:kern w:val="0"/>
                      <w:position w:val="0"/>
                      <w:sz w:val="21"/>
                      <w:szCs w:val="21"/>
                      <w:vertAlign w:val="baseline"/>
                      <w:lang w:val="en-US" w:eastAsia="zh-CN" w:bidi="ar-SA"/>
                    </w:rPr>
                  </w:pPr>
                  <w:r>
                    <w:rPr>
                      <w:rFonts w:hint="default" w:ascii="Times New Roman" w:hAnsi="Times New Roman" w:eastAsia="宋体" w:cs="Times New Roman"/>
                      <w:color w:val="auto"/>
                      <w:sz w:val="21"/>
                      <w:szCs w:val="21"/>
                      <w:highlight w:val="none"/>
                      <w:lang w:val="en-US" w:eastAsia="zh-CN"/>
                    </w:rPr>
                    <w:t>外购</w:t>
                  </w:r>
                </w:p>
              </w:tc>
            </w:tr>
            <w:tr w14:paraId="0A0F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1" w:type="dxa"/>
                  <w:shd w:val="clear" w:color="auto" w:fill="auto"/>
                  <w:noWrap w:val="0"/>
                  <w:vAlign w:val="center"/>
                </w:tcPr>
                <w:p w14:paraId="3DE7931C">
                  <w:pPr>
                    <w:keepNext w:val="0"/>
                    <w:keepLines w:val="0"/>
                    <w:pageBreakBefore w:val="0"/>
                    <w:widowControl/>
                    <w:kinsoku w:val="0"/>
                    <w:wordWrap/>
                    <w:overflowPunct/>
                    <w:topLinePunct w:val="0"/>
                    <w:autoSpaceDE w:val="0"/>
                    <w:autoSpaceDN w:val="0"/>
                    <w:bidi w:val="0"/>
                    <w:adjustRightInd w:val="0"/>
                    <w:snapToGrid w:val="0"/>
                    <w:spacing w:before="72" w:beforeLines="30" w:line="240" w:lineRule="auto"/>
                    <w:ind w:firstLine="0" w:firstLineChars="0"/>
                    <w:jc w:val="center"/>
                    <w:textAlignment w:val="baseline"/>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eastAsia="zh-CN"/>
                    </w:rPr>
                    <w:t>铜粉</w:t>
                  </w:r>
                </w:p>
              </w:tc>
              <w:tc>
                <w:tcPr>
                  <w:tcW w:w="942" w:type="dxa"/>
                  <w:noWrap w:val="0"/>
                  <w:vAlign w:val="center"/>
                </w:tcPr>
                <w:p w14:paraId="0513584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Times New Roman" w:hAnsi="Times New Roman" w:eastAsia="宋体" w:cs="Times New Roman"/>
                      <w:b w:val="0"/>
                      <w:bCs w:val="0"/>
                      <w:snapToGrid/>
                      <w:color w:val="auto"/>
                      <w:spacing w:val="0"/>
                      <w:kern w:val="0"/>
                      <w:position w:val="0"/>
                      <w:sz w:val="21"/>
                      <w:szCs w:val="21"/>
                      <w:lang w:val="en-US" w:eastAsia="zh-CN" w:bidi="ar-SA"/>
                    </w:rPr>
                  </w:pPr>
                  <w:r>
                    <w:rPr>
                      <w:rFonts w:hint="eastAsia" w:ascii="Times New Roman" w:hAnsi="Times New Roman" w:eastAsia="宋体" w:cs="Times New Roman"/>
                      <w:b w:val="0"/>
                      <w:bCs w:val="0"/>
                      <w:snapToGrid/>
                      <w:color w:val="auto"/>
                      <w:spacing w:val="0"/>
                      <w:kern w:val="0"/>
                      <w:position w:val="0"/>
                      <w:sz w:val="21"/>
                      <w:szCs w:val="21"/>
                      <w:lang w:val="en-US" w:eastAsia="zh-CN"/>
                    </w:rPr>
                    <w:t>t/a</w:t>
                  </w:r>
                </w:p>
              </w:tc>
              <w:tc>
                <w:tcPr>
                  <w:tcW w:w="1507" w:type="dxa"/>
                  <w:noWrap w:val="0"/>
                  <w:vAlign w:val="center"/>
                </w:tcPr>
                <w:p w14:paraId="665BA642">
                  <w:pPr>
                    <w:keepNext w:val="0"/>
                    <w:keepLines w:val="0"/>
                    <w:pageBreakBefore w:val="0"/>
                    <w:widowControl/>
                    <w:suppressLineNumbers w:val="0"/>
                    <w:kinsoku/>
                    <w:wordWrap/>
                    <w:overflowPunct/>
                    <w:topLinePunct w:val="0"/>
                    <w:autoSpaceDE/>
                    <w:autoSpaceDN/>
                    <w:bidi w:val="0"/>
                    <w:adjustRightInd w:val="0"/>
                    <w:snapToGrid w:val="0"/>
                    <w:spacing w:line="240" w:lineRule="auto"/>
                    <w:ind w:right="0" w:rightChars="0"/>
                    <w:jc w:val="center"/>
                    <w:textAlignment w:val="center"/>
                    <w:rPr>
                      <w:rFonts w:hint="eastAsia" w:ascii="Times New Roman" w:hAnsi="Times New Roman" w:eastAsia="宋体" w:cs="Times New Roman"/>
                      <w:b w:val="0"/>
                      <w:bCs w:val="0"/>
                      <w:snapToGrid/>
                      <w:color w:val="auto"/>
                      <w:spacing w:val="0"/>
                      <w:kern w:val="0"/>
                      <w:position w:val="0"/>
                      <w:sz w:val="21"/>
                      <w:szCs w:val="21"/>
                      <w:lang w:val="en-US" w:eastAsia="zh-CN"/>
                    </w:rPr>
                  </w:pPr>
                  <w:r>
                    <w:rPr>
                      <w:rFonts w:hint="default" w:ascii="Times New Roman" w:hAnsi="Times New Roman" w:eastAsia="宋体" w:cs="Times New Roman"/>
                      <w:color w:val="auto"/>
                      <w:kern w:val="2"/>
                      <w:sz w:val="21"/>
                      <w:szCs w:val="21"/>
                      <w:highlight w:val="none"/>
                      <w:lang w:val="en-US" w:eastAsia="zh-CN" w:bidi="ar-SA"/>
                    </w:rPr>
                    <w:t>20kg/袋装</w:t>
                  </w:r>
                </w:p>
              </w:tc>
              <w:tc>
                <w:tcPr>
                  <w:tcW w:w="1119" w:type="dxa"/>
                  <w:shd w:val="clear" w:color="auto" w:fill="auto"/>
                  <w:noWrap w:val="0"/>
                  <w:vAlign w:val="center"/>
                </w:tcPr>
                <w:p w14:paraId="07E070B1">
                  <w:pPr>
                    <w:spacing w:before="72" w:beforeLines="30"/>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0.6</w:t>
                  </w:r>
                </w:p>
              </w:tc>
              <w:tc>
                <w:tcPr>
                  <w:tcW w:w="1118" w:type="dxa"/>
                  <w:noWrap w:val="0"/>
                  <w:vAlign w:val="center"/>
                </w:tcPr>
                <w:p w14:paraId="386A61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华文中宋" w:cs="Times New Roman"/>
                      <w:snapToGrid/>
                      <w:color w:val="auto"/>
                      <w:spacing w:val="0"/>
                      <w:kern w:val="0"/>
                      <w:position w:val="0"/>
                      <w:sz w:val="21"/>
                      <w:szCs w:val="24"/>
                      <w:lang w:val="en-US" w:eastAsia="zh-CN" w:bidi="ar-SA"/>
                    </w:rPr>
                  </w:pPr>
                  <w:r>
                    <w:rPr>
                      <w:rFonts w:hint="eastAsia" w:eastAsia="华文中宋" w:cs="Times New Roman"/>
                      <w:snapToGrid/>
                      <w:color w:val="auto"/>
                      <w:spacing w:val="0"/>
                      <w:kern w:val="0"/>
                      <w:position w:val="0"/>
                      <w:sz w:val="21"/>
                      <w:szCs w:val="24"/>
                      <w:lang w:val="en-US" w:eastAsia="zh-CN" w:bidi="ar-SA"/>
                    </w:rPr>
                    <w:t>1.2</w:t>
                  </w:r>
                </w:p>
              </w:tc>
              <w:tc>
                <w:tcPr>
                  <w:tcW w:w="1249" w:type="dxa"/>
                  <w:shd w:val="clear" w:color="auto" w:fill="auto"/>
                  <w:noWrap w:val="0"/>
                  <w:vAlign w:val="center"/>
                </w:tcPr>
                <w:p w14:paraId="267FCE42">
                  <w:pPr>
                    <w:spacing w:before="72" w:beforeLines="30"/>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+0.6</w:t>
                  </w:r>
                </w:p>
              </w:tc>
              <w:tc>
                <w:tcPr>
                  <w:tcW w:w="988" w:type="dxa"/>
                  <w:noWrap w:val="0"/>
                  <w:vAlign w:val="center"/>
                </w:tcPr>
                <w:p w14:paraId="60619DC5">
                  <w:pPr>
                    <w:adjustRightInd w:val="0"/>
                    <w:snapToGrid w:val="0"/>
                    <w:spacing w:line="240" w:lineRule="auto"/>
                    <w:jc w:val="center"/>
                    <w:rPr>
                      <w:rFonts w:hint="eastAsia" w:ascii="宋体" w:hAnsi="宋体" w:eastAsia="宋体" w:cs="宋体"/>
                      <w:b w:val="0"/>
                      <w:bCs w:val="0"/>
                      <w:snapToGrid/>
                      <w:color w:val="auto"/>
                      <w:spacing w:val="0"/>
                      <w:kern w:val="0"/>
                      <w:position w:val="0"/>
                      <w:sz w:val="21"/>
                      <w:szCs w:val="21"/>
                      <w:vertAlign w:val="baseline"/>
                      <w:lang w:val="en-US" w:eastAsia="zh-CN" w:bidi="ar-SA"/>
                    </w:rPr>
                  </w:pPr>
                  <w:r>
                    <w:rPr>
                      <w:rFonts w:hint="default" w:ascii="Times New Roman" w:hAnsi="Times New Roman" w:eastAsia="宋体" w:cs="Times New Roman"/>
                      <w:color w:val="auto"/>
                      <w:sz w:val="21"/>
                      <w:szCs w:val="21"/>
                      <w:highlight w:val="none"/>
                      <w:lang w:val="en-US" w:eastAsia="zh-CN"/>
                    </w:rPr>
                    <w:t>外购</w:t>
                  </w:r>
                </w:p>
              </w:tc>
            </w:tr>
            <w:tr w14:paraId="5766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1" w:type="dxa"/>
                  <w:shd w:val="clear" w:color="auto" w:fill="auto"/>
                  <w:noWrap w:val="0"/>
                  <w:vAlign w:val="center"/>
                </w:tcPr>
                <w:p w14:paraId="3D5D34FE">
                  <w:pPr>
                    <w:keepNext w:val="0"/>
                    <w:keepLines w:val="0"/>
                    <w:pageBreakBefore w:val="0"/>
                    <w:widowControl/>
                    <w:kinsoku w:val="0"/>
                    <w:wordWrap/>
                    <w:overflowPunct/>
                    <w:topLinePunct w:val="0"/>
                    <w:autoSpaceDE w:val="0"/>
                    <w:autoSpaceDN w:val="0"/>
                    <w:bidi w:val="0"/>
                    <w:adjustRightInd w:val="0"/>
                    <w:snapToGrid w:val="0"/>
                    <w:spacing w:before="72" w:beforeLines="30" w:line="240" w:lineRule="auto"/>
                    <w:ind w:firstLine="0" w:firstLineChars="0"/>
                    <w:jc w:val="center"/>
                    <w:textAlignment w:val="baseline"/>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eastAsia="zh-CN"/>
                    </w:rPr>
                    <w:t>镍粉</w:t>
                  </w:r>
                </w:p>
              </w:tc>
              <w:tc>
                <w:tcPr>
                  <w:tcW w:w="942" w:type="dxa"/>
                  <w:noWrap w:val="0"/>
                  <w:vAlign w:val="center"/>
                </w:tcPr>
                <w:p w14:paraId="1BAE015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cs="Times New Roman"/>
                      <w:b w:val="0"/>
                      <w:bCs w:val="0"/>
                      <w:snapToGrid/>
                      <w:color w:val="auto"/>
                      <w:spacing w:val="0"/>
                      <w:kern w:val="0"/>
                      <w:position w:val="0"/>
                      <w:sz w:val="21"/>
                      <w:szCs w:val="21"/>
                      <w:lang w:val="en-US" w:eastAsia="zh-CN" w:bidi="ar-SA"/>
                    </w:rPr>
                  </w:pPr>
                  <w:r>
                    <w:rPr>
                      <w:rFonts w:hint="eastAsia" w:ascii="Times New Roman" w:hAnsi="Times New Roman" w:eastAsia="宋体" w:cs="Times New Roman"/>
                      <w:b w:val="0"/>
                      <w:bCs w:val="0"/>
                      <w:snapToGrid/>
                      <w:color w:val="auto"/>
                      <w:spacing w:val="0"/>
                      <w:kern w:val="0"/>
                      <w:position w:val="0"/>
                      <w:sz w:val="21"/>
                      <w:szCs w:val="21"/>
                      <w:lang w:val="en-US" w:eastAsia="zh-CN"/>
                    </w:rPr>
                    <w:t>t/a</w:t>
                  </w:r>
                </w:p>
              </w:tc>
              <w:tc>
                <w:tcPr>
                  <w:tcW w:w="1507" w:type="dxa"/>
                  <w:noWrap w:val="0"/>
                  <w:vAlign w:val="center"/>
                </w:tcPr>
                <w:p w14:paraId="64F3B0BC">
                  <w:pPr>
                    <w:keepNext w:val="0"/>
                    <w:keepLines w:val="0"/>
                    <w:pageBreakBefore w:val="0"/>
                    <w:kinsoku/>
                    <w:wordWrap/>
                    <w:overflowPunct/>
                    <w:topLinePunct w:val="0"/>
                    <w:autoSpaceDE/>
                    <w:autoSpaceDN/>
                    <w:bidi w:val="0"/>
                    <w:adjustRightInd w:val="0"/>
                    <w:snapToGrid w:val="0"/>
                    <w:spacing w:line="240" w:lineRule="auto"/>
                    <w:ind w:right="0" w:rightChars="0"/>
                    <w:jc w:val="center"/>
                    <w:rPr>
                      <w:rFonts w:hint="eastAsia" w:ascii="Times New Roman" w:hAnsi="Times New Roman" w:eastAsia="宋体" w:cs="Times New Roman"/>
                      <w:b w:val="0"/>
                      <w:bCs w:val="0"/>
                      <w:snapToGrid/>
                      <w:color w:val="auto"/>
                      <w:spacing w:val="0"/>
                      <w:kern w:val="0"/>
                      <w:position w:val="0"/>
                      <w:sz w:val="21"/>
                      <w:szCs w:val="21"/>
                      <w:lang w:val="en-US" w:eastAsia="zh-CN"/>
                    </w:rPr>
                  </w:pPr>
                  <w:r>
                    <w:rPr>
                      <w:rFonts w:hint="default" w:ascii="Times New Roman" w:hAnsi="Times New Roman" w:eastAsia="宋体" w:cs="Times New Roman"/>
                      <w:color w:val="auto"/>
                      <w:kern w:val="2"/>
                      <w:sz w:val="21"/>
                      <w:szCs w:val="21"/>
                      <w:highlight w:val="none"/>
                      <w:lang w:val="en-US" w:eastAsia="zh-CN" w:bidi="ar-SA"/>
                    </w:rPr>
                    <w:t>20kg/袋装</w:t>
                  </w:r>
                </w:p>
              </w:tc>
              <w:tc>
                <w:tcPr>
                  <w:tcW w:w="1119" w:type="dxa"/>
                  <w:shd w:val="clear" w:color="auto" w:fill="auto"/>
                  <w:noWrap w:val="0"/>
                  <w:vAlign w:val="center"/>
                </w:tcPr>
                <w:p w14:paraId="7BC2193D">
                  <w:pPr>
                    <w:spacing w:before="72" w:beforeLines="30"/>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0.5</w:t>
                  </w:r>
                </w:p>
              </w:tc>
              <w:tc>
                <w:tcPr>
                  <w:tcW w:w="1118" w:type="dxa"/>
                  <w:noWrap w:val="0"/>
                  <w:vAlign w:val="center"/>
                </w:tcPr>
                <w:p w14:paraId="313FB0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华文中宋" w:cs="Times New Roman"/>
                      <w:snapToGrid/>
                      <w:color w:val="auto"/>
                      <w:spacing w:val="0"/>
                      <w:kern w:val="0"/>
                      <w:position w:val="0"/>
                      <w:sz w:val="21"/>
                      <w:szCs w:val="24"/>
                      <w:lang w:val="en-US" w:eastAsia="zh-CN" w:bidi="ar-SA"/>
                    </w:rPr>
                  </w:pPr>
                  <w:r>
                    <w:rPr>
                      <w:rFonts w:hint="eastAsia" w:eastAsia="华文中宋" w:cs="Times New Roman"/>
                      <w:snapToGrid/>
                      <w:color w:val="auto"/>
                      <w:spacing w:val="0"/>
                      <w:kern w:val="0"/>
                      <w:position w:val="0"/>
                      <w:sz w:val="21"/>
                      <w:szCs w:val="24"/>
                      <w:lang w:val="en-US" w:eastAsia="zh-CN" w:bidi="ar-SA"/>
                    </w:rPr>
                    <w:t>1.0</w:t>
                  </w:r>
                </w:p>
              </w:tc>
              <w:tc>
                <w:tcPr>
                  <w:tcW w:w="1249" w:type="dxa"/>
                  <w:shd w:val="clear" w:color="auto" w:fill="auto"/>
                  <w:noWrap w:val="0"/>
                  <w:vAlign w:val="center"/>
                </w:tcPr>
                <w:p w14:paraId="3EBA5658">
                  <w:pPr>
                    <w:spacing w:before="72" w:beforeLines="30"/>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+0.5</w:t>
                  </w:r>
                </w:p>
              </w:tc>
              <w:tc>
                <w:tcPr>
                  <w:tcW w:w="988" w:type="dxa"/>
                  <w:noWrap w:val="0"/>
                  <w:vAlign w:val="center"/>
                </w:tcPr>
                <w:p w14:paraId="5D9CD888">
                  <w:pPr>
                    <w:adjustRightInd w:val="0"/>
                    <w:snapToGrid w:val="0"/>
                    <w:spacing w:line="240" w:lineRule="auto"/>
                    <w:jc w:val="center"/>
                    <w:rPr>
                      <w:rFonts w:hint="eastAsia" w:ascii="宋体" w:hAnsi="宋体" w:eastAsia="宋体" w:cs="宋体"/>
                      <w:b w:val="0"/>
                      <w:bCs w:val="0"/>
                      <w:snapToGrid/>
                      <w:color w:val="auto"/>
                      <w:spacing w:val="0"/>
                      <w:kern w:val="0"/>
                      <w:position w:val="0"/>
                      <w:sz w:val="21"/>
                      <w:szCs w:val="21"/>
                      <w:vertAlign w:val="baseline"/>
                      <w:lang w:val="en-US" w:eastAsia="zh-CN" w:bidi="ar-SA"/>
                    </w:rPr>
                  </w:pPr>
                  <w:r>
                    <w:rPr>
                      <w:rFonts w:hint="default" w:ascii="Times New Roman" w:hAnsi="Times New Roman" w:eastAsia="宋体" w:cs="Times New Roman"/>
                      <w:color w:val="auto"/>
                      <w:sz w:val="21"/>
                      <w:szCs w:val="21"/>
                      <w:highlight w:val="none"/>
                      <w:lang w:val="en-US" w:eastAsia="zh-CN"/>
                    </w:rPr>
                    <w:t>外购</w:t>
                  </w:r>
                </w:p>
              </w:tc>
            </w:tr>
            <w:tr w14:paraId="2531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1" w:type="dxa"/>
                  <w:shd w:val="clear" w:color="auto" w:fill="auto"/>
                  <w:noWrap w:val="0"/>
                  <w:vAlign w:val="center"/>
                </w:tcPr>
                <w:p w14:paraId="4DE6470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eastAsia="zh-CN"/>
                    </w:rPr>
                    <w:t>高密度聚乙烯</w:t>
                  </w:r>
                </w:p>
              </w:tc>
              <w:tc>
                <w:tcPr>
                  <w:tcW w:w="942" w:type="dxa"/>
                  <w:noWrap w:val="0"/>
                  <w:vAlign w:val="center"/>
                </w:tcPr>
                <w:p w14:paraId="35A5AD0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Times New Roman" w:hAnsi="Times New Roman" w:eastAsia="宋体" w:cs="Times New Roman"/>
                      <w:b w:val="0"/>
                      <w:bCs w:val="0"/>
                      <w:snapToGrid/>
                      <w:color w:val="auto"/>
                      <w:spacing w:val="0"/>
                      <w:kern w:val="0"/>
                      <w:position w:val="0"/>
                      <w:sz w:val="21"/>
                      <w:szCs w:val="21"/>
                      <w:lang w:val="en-US" w:eastAsia="zh-CN"/>
                    </w:rPr>
                  </w:pPr>
                  <w:r>
                    <w:rPr>
                      <w:rFonts w:hint="eastAsia" w:ascii="Times New Roman" w:hAnsi="Times New Roman" w:eastAsia="宋体" w:cs="Times New Roman"/>
                      <w:b w:val="0"/>
                      <w:bCs w:val="0"/>
                      <w:snapToGrid/>
                      <w:color w:val="auto"/>
                      <w:spacing w:val="0"/>
                      <w:kern w:val="0"/>
                      <w:position w:val="0"/>
                      <w:sz w:val="21"/>
                      <w:szCs w:val="21"/>
                      <w:lang w:val="en-US" w:eastAsia="zh-CN"/>
                    </w:rPr>
                    <w:t>t/a</w:t>
                  </w:r>
                </w:p>
              </w:tc>
              <w:tc>
                <w:tcPr>
                  <w:tcW w:w="1507" w:type="dxa"/>
                  <w:noWrap w:val="0"/>
                  <w:vAlign w:val="center"/>
                </w:tcPr>
                <w:p w14:paraId="635FCED5">
                  <w:pPr>
                    <w:keepNext w:val="0"/>
                    <w:keepLines w:val="0"/>
                    <w:pageBreakBefore w:val="0"/>
                    <w:kinsoku/>
                    <w:wordWrap/>
                    <w:overflowPunct/>
                    <w:topLinePunct w:val="0"/>
                    <w:autoSpaceDE/>
                    <w:autoSpaceDN/>
                    <w:bidi w:val="0"/>
                    <w:adjustRightInd w:val="0"/>
                    <w:snapToGrid w:val="0"/>
                    <w:spacing w:line="240" w:lineRule="auto"/>
                    <w:ind w:right="0" w:rightChars="0"/>
                    <w:jc w:val="center"/>
                    <w:rPr>
                      <w:rFonts w:hint="eastAsia" w:ascii="Times New Roman" w:hAnsi="Times New Roman" w:eastAsia="宋体" w:cs="Times New Roman"/>
                      <w:b w:val="0"/>
                      <w:bCs w:val="0"/>
                      <w:snapToGrid/>
                      <w:color w:val="auto"/>
                      <w:spacing w:val="0"/>
                      <w:kern w:val="0"/>
                      <w:position w:val="0"/>
                      <w:sz w:val="21"/>
                      <w:szCs w:val="21"/>
                      <w:lang w:val="en-US" w:eastAsia="zh-CN"/>
                    </w:rPr>
                  </w:pPr>
                  <w:r>
                    <w:rPr>
                      <w:rFonts w:hint="default" w:ascii="Times New Roman" w:hAnsi="Times New Roman" w:eastAsia="宋体" w:cs="Times New Roman"/>
                      <w:color w:val="auto"/>
                      <w:kern w:val="2"/>
                      <w:sz w:val="21"/>
                      <w:szCs w:val="21"/>
                      <w:highlight w:val="none"/>
                      <w:lang w:val="en-US" w:eastAsia="zh-CN" w:bidi="ar-SA"/>
                    </w:rPr>
                    <w:t>25kg/袋装</w:t>
                  </w:r>
                </w:p>
              </w:tc>
              <w:tc>
                <w:tcPr>
                  <w:tcW w:w="1119" w:type="dxa"/>
                  <w:shd w:val="clear" w:color="auto" w:fill="auto"/>
                  <w:noWrap w:val="0"/>
                  <w:vAlign w:val="center"/>
                </w:tcPr>
                <w:p w14:paraId="4380B911">
                  <w:pPr>
                    <w:spacing w:before="72" w:beforeLines="30"/>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0.6</w:t>
                  </w:r>
                </w:p>
              </w:tc>
              <w:tc>
                <w:tcPr>
                  <w:tcW w:w="1118" w:type="dxa"/>
                  <w:noWrap w:val="0"/>
                  <w:vAlign w:val="center"/>
                </w:tcPr>
                <w:p w14:paraId="5E88B2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华文中宋"/>
                      <w:snapToGrid/>
                      <w:color w:val="auto"/>
                      <w:spacing w:val="0"/>
                      <w:kern w:val="0"/>
                      <w:position w:val="0"/>
                      <w:szCs w:val="24"/>
                      <w:lang w:val="en-US" w:eastAsia="zh-CN"/>
                    </w:rPr>
                  </w:pPr>
                  <w:r>
                    <w:rPr>
                      <w:rFonts w:hint="eastAsia" w:eastAsia="华文中宋"/>
                      <w:snapToGrid/>
                      <w:color w:val="auto"/>
                      <w:spacing w:val="0"/>
                      <w:kern w:val="0"/>
                      <w:position w:val="0"/>
                      <w:szCs w:val="24"/>
                      <w:lang w:val="en-US" w:eastAsia="zh-CN"/>
                    </w:rPr>
                    <w:t>1.2</w:t>
                  </w:r>
                </w:p>
              </w:tc>
              <w:tc>
                <w:tcPr>
                  <w:tcW w:w="1249" w:type="dxa"/>
                  <w:shd w:val="clear" w:color="auto" w:fill="auto"/>
                  <w:noWrap w:val="0"/>
                  <w:vAlign w:val="center"/>
                </w:tcPr>
                <w:p w14:paraId="478FD045">
                  <w:pPr>
                    <w:spacing w:before="72" w:beforeLines="30"/>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+0.6</w:t>
                  </w:r>
                </w:p>
              </w:tc>
              <w:tc>
                <w:tcPr>
                  <w:tcW w:w="988" w:type="dxa"/>
                  <w:noWrap w:val="0"/>
                  <w:vAlign w:val="center"/>
                </w:tcPr>
                <w:p w14:paraId="07DF3332">
                  <w:pPr>
                    <w:adjustRightInd w:val="0"/>
                    <w:snapToGrid w:val="0"/>
                    <w:spacing w:line="240" w:lineRule="auto"/>
                    <w:jc w:val="center"/>
                    <w:rPr>
                      <w:rFonts w:hint="eastAsia" w:ascii="宋体" w:hAnsi="宋体" w:eastAsia="宋体" w:cs="宋体"/>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color w:val="auto"/>
                      <w:sz w:val="21"/>
                      <w:szCs w:val="21"/>
                      <w:highlight w:val="none"/>
                      <w:lang w:val="en-US" w:eastAsia="zh-CN"/>
                    </w:rPr>
                    <w:t>外购</w:t>
                  </w:r>
                </w:p>
              </w:tc>
            </w:tr>
            <w:tr w14:paraId="17D7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1" w:type="dxa"/>
                  <w:shd w:val="clear" w:color="auto" w:fill="auto"/>
                  <w:noWrap w:val="0"/>
                  <w:vAlign w:val="center"/>
                </w:tcPr>
                <w:p w14:paraId="7C8CBE7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eastAsia="zh-CN"/>
                    </w:rPr>
                    <w:t>石蜡</w:t>
                  </w:r>
                </w:p>
              </w:tc>
              <w:tc>
                <w:tcPr>
                  <w:tcW w:w="942" w:type="dxa"/>
                  <w:noWrap w:val="0"/>
                  <w:vAlign w:val="center"/>
                </w:tcPr>
                <w:p w14:paraId="4C0EB1A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Times New Roman" w:hAnsi="Times New Roman" w:eastAsia="宋体" w:cs="Times New Roman"/>
                      <w:b w:val="0"/>
                      <w:bCs w:val="0"/>
                      <w:snapToGrid/>
                      <w:color w:val="auto"/>
                      <w:spacing w:val="0"/>
                      <w:kern w:val="0"/>
                      <w:position w:val="0"/>
                      <w:sz w:val="21"/>
                      <w:szCs w:val="21"/>
                      <w:lang w:val="en-US" w:eastAsia="zh-CN"/>
                    </w:rPr>
                  </w:pPr>
                  <w:r>
                    <w:rPr>
                      <w:rFonts w:hint="eastAsia" w:ascii="Times New Roman" w:hAnsi="Times New Roman" w:eastAsia="宋体" w:cs="Times New Roman"/>
                      <w:b w:val="0"/>
                      <w:bCs w:val="0"/>
                      <w:snapToGrid/>
                      <w:color w:val="auto"/>
                      <w:spacing w:val="0"/>
                      <w:kern w:val="0"/>
                      <w:position w:val="0"/>
                      <w:sz w:val="21"/>
                      <w:szCs w:val="21"/>
                      <w:lang w:val="en-US" w:eastAsia="zh-CN"/>
                    </w:rPr>
                    <w:t>t/a</w:t>
                  </w:r>
                </w:p>
              </w:tc>
              <w:tc>
                <w:tcPr>
                  <w:tcW w:w="1507" w:type="dxa"/>
                  <w:noWrap w:val="0"/>
                  <w:vAlign w:val="center"/>
                </w:tcPr>
                <w:p w14:paraId="3895B273">
                  <w:pPr>
                    <w:keepNext w:val="0"/>
                    <w:keepLines w:val="0"/>
                    <w:pageBreakBefore w:val="0"/>
                    <w:kinsoku/>
                    <w:wordWrap/>
                    <w:overflowPunct/>
                    <w:topLinePunct w:val="0"/>
                    <w:autoSpaceDE/>
                    <w:autoSpaceDN/>
                    <w:bidi w:val="0"/>
                    <w:adjustRightInd w:val="0"/>
                    <w:snapToGrid w:val="0"/>
                    <w:spacing w:line="240" w:lineRule="auto"/>
                    <w:ind w:right="0" w:rightChars="0"/>
                    <w:jc w:val="center"/>
                    <w:rPr>
                      <w:rFonts w:hint="eastAsia" w:ascii="Times New Roman" w:hAnsi="Times New Roman" w:eastAsia="宋体" w:cs="Times New Roman"/>
                      <w:b w:val="0"/>
                      <w:bCs w:val="0"/>
                      <w:snapToGrid/>
                      <w:color w:val="auto"/>
                      <w:spacing w:val="0"/>
                      <w:kern w:val="0"/>
                      <w:position w:val="0"/>
                      <w:sz w:val="21"/>
                      <w:szCs w:val="21"/>
                      <w:lang w:val="en-US" w:eastAsia="zh-CN"/>
                    </w:rPr>
                  </w:pPr>
                  <w:r>
                    <w:rPr>
                      <w:rFonts w:hint="default" w:ascii="Times New Roman" w:hAnsi="Times New Roman" w:eastAsia="宋体" w:cs="Times New Roman"/>
                      <w:color w:val="auto"/>
                      <w:kern w:val="2"/>
                      <w:sz w:val="21"/>
                      <w:szCs w:val="21"/>
                      <w:highlight w:val="none"/>
                      <w:lang w:val="en-US" w:eastAsia="zh-CN" w:bidi="ar-SA"/>
                    </w:rPr>
                    <w:t>25kg/袋装</w:t>
                  </w:r>
                </w:p>
              </w:tc>
              <w:tc>
                <w:tcPr>
                  <w:tcW w:w="1119" w:type="dxa"/>
                  <w:shd w:val="clear" w:color="auto" w:fill="auto"/>
                  <w:noWrap w:val="0"/>
                  <w:vAlign w:val="center"/>
                </w:tcPr>
                <w:p w14:paraId="61D532E9">
                  <w:pPr>
                    <w:spacing w:before="72" w:beforeLines="30"/>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1.4</w:t>
                  </w:r>
                </w:p>
              </w:tc>
              <w:tc>
                <w:tcPr>
                  <w:tcW w:w="1118" w:type="dxa"/>
                  <w:noWrap w:val="0"/>
                  <w:vAlign w:val="center"/>
                </w:tcPr>
                <w:p w14:paraId="726D55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华文中宋"/>
                      <w:snapToGrid/>
                      <w:color w:val="auto"/>
                      <w:spacing w:val="0"/>
                      <w:kern w:val="0"/>
                      <w:position w:val="0"/>
                      <w:szCs w:val="24"/>
                      <w:lang w:val="en-US" w:eastAsia="zh-CN"/>
                    </w:rPr>
                  </w:pPr>
                  <w:r>
                    <w:rPr>
                      <w:rFonts w:hint="eastAsia" w:eastAsia="华文中宋"/>
                      <w:snapToGrid/>
                      <w:color w:val="auto"/>
                      <w:spacing w:val="0"/>
                      <w:kern w:val="0"/>
                      <w:position w:val="0"/>
                      <w:szCs w:val="24"/>
                      <w:lang w:val="en-US" w:eastAsia="zh-CN"/>
                    </w:rPr>
                    <w:t>2.8</w:t>
                  </w:r>
                </w:p>
              </w:tc>
              <w:tc>
                <w:tcPr>
                  <w:tcW w:w="1249" w:type="dxa"/>
                  <w:shd w:val="clear" w:color="auto" w:fill="auto"/>
                  <w:noWrap w:val="0"/>
                  <w:vAlign w:val="center"/>
                </w:tcPr>
                <w:p w14:paraId="0046EA80">
                  <w:pPr>
                    <w:spacing w:before="72" w:beforeLines="30"/>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+1.4</w:t>
                  </w:r>
                </w:p>
              </w:tc>
              <w:tc>
                <w:tcPr>
                  <w:tcW w:w="988" w:type="dxa"/>
                  <w:noWrap w:val="0"/>
                  <w:vAlign w:val="center"/>
                </w:tcPr>
                <w:p w14:paraId="2429CFCC">
                  <w:pPr>
                    <w:adjustRightInd w:val="0"/>
                    <w:snapToGrid w:val="0"/>
                    <w:spacing w:line="240" w:lineRule="auto"/>
                    <w:jc w:val="center"/>
                    <w:rPr>
                      <w:rFonts w:hint="eastAsia" w:ascii="宋体" w:hAnsi="宋体" w:eastAsia="宋体" w:cs="宋体"/>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color w:val="auto"/>
                      <w:sz w:val="21"/>
                      <w:szCs w:val="21"/>
                      <w:highlight w:val="none"/>
                      <w:lang w:val="en-US" w:eastAsia="zh-CN"/>
                    </w:rPr>
                    <w:t>外购</w:t>
                  </w:r>
                </w:p>
              </w:tc>
            </w:tr>
            <w:tr w14:paraId="68ABA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1" w:type="dxa"/>
                  <w:shd w:val="clear" w:color="auto" w:fill="auto"/>
                  <w:noWrap w:val="0"/>
                  <w:vAlign w:val="center"/>
                </w:tcPr>
                <w:p w14:paraId="04B38BE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eastAsia="zh-CN"/>
                    </w:rPr>
                    <w:t>塑粉</w:t>
                  </w:r>
                </w:p>
              </w:tc>
              <w:tc>
                <w:tcPr>
                  <w:tcW w:w="942" w:type="dxa"/>
                  <w:noWrap w:val="0"/>
                  <w:vAlign w:val="center"/>
                </w:tcPr>
                <w:p w14:paraId="2E4768A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Times New Roman" w:hAnsi="Times New Roman" w:eastAsia="宋体" w:cs="Times New Roman"/>
                      <w:b w:val="0"/>
                      <w:bCs w:val="0"/>
                      <w:snapToGrid/>
                      <w:color w:val="auto"/>
                      <w:spacing w:val="0"/>
                      <w:kern w:val="0"/>
                      <w:position w:val="0"/>
                      <w:sz w:val="21"/>
                      <w:szCs w:val="21"/>
                      <w:lang w:val="en-US" w:eastAsia="zh-CN"/>
                    </w:rPr>
                  </w:pPr>
                  <w:r>
                    <w:rPr>
                      <w:rFonts w:hint="eastAsia" w:ascii="Times New Roman" w:hAnsi="Times New Roman" w:eastAsia="宋体" w:cs="Times New Roman"/>
                      <w:b w:val="0"/>
                      <w:bCs w:val="0"/>
                      <w:snapToGrid/>
                      <w:color w:val="auto"/>
                      <w:spacing w:val="0"/>
                      <w:kern w:val="0"/>
                      <w:position w:val="0"/>
                      <w:sz w:val="21"/>
                      <w:szCs w:val="21"/>
                      <w:lang w:val="en-US" w:eastAsia="zh-CN"/>
                    </w:rPr>
                    <w:t>t/a</w:t>
                  </w:r>
                </w:p>
              </w:tc>
              <w:tc>
                <w:tcPr>
                  <w:tcW w:w="1507" w:type="dxa"/>
                  <w:noWrap w:val="0"/>
                  <w:vAlign w:val="center"/>
                </w:tcPr>
                <w:p w14:paraId="797BFC60">
                  <w:pPr>
                    <w:keepNext w:val="0"/>
                    <w:keepLines w:val="0"/>
                    <w:pageBreakBefore w:val="0"/>
                    <w:kinsoku/>
                    <w:wordWrap/>
                    <w:overflowPunct/>
                    <w:topLinePunct w:val="0"/>
                    <w:autoSpaceDE/>
                    <w:autoSpaceDN/>
                    <w:bidi w:val="0"/>
                    <w:adjustRightInd w:val="0"/>
                    <w:snapToGrid w:val="0"/>
                    <w:spacing w:line="240" w:lineRule="auto"/>
                    <w:ind w:right="0" w:rightChars="0"/>
                    <w:jc w:val="center"/>
                    <w:rPr>
                      <w:rFonts w:hint="eastAsia" w:ascii="Times New Roman" w:hAnsi="Times New Roman" w:eastAsia="宋体" w:cs="Times New Roman"/>
                      <w:b w:val="0"/>
                      <w:bCs w:val="0"/>
                      <w:snapToGrid/>
                      <w:color w:val="auto"/>
                      <w:spacing w:val="0"/>
                      <w:kern w:val="0"/>
                      <w:position w:val="0"/>
                      <w:sz w:val="21"/>
                      <w:szCs w:val="21"/>
                      <w:lang w:val="en-US" w:eastAsia="zh-CN"/>
                    </w:rPr>
                  </w:pPr>
                  <w:r>
                    <w:rPr>
                      <w:rFonts w:hint="default" w:ascii="Times New Roman" w:hAnsi="Times New Roman" w:eastAsia="宋体" w:cs="Times New Roman"/>
                      <w:color w:val="auto"/>
                      <w:kern w:val="2"/>
                      <w:sz w:val="21"/>
                      <w:szCs w:val="21"/>
                      <w:highlight w:val="none"/>
                      <w:lang w:val="en-US" w:eastAsia="zh-CN" w:bidi="ar-SA"/>
                    </w:rPr>
                    <w:t>25kg/袋装</w:t>
                  </w:r>
                </w:p>
              </w:tc>
              <w:tc>
                <w:tcPr>
                  <w:tcW w:w="1119" w:type="dxa"/>
                  <w:shd w:val="clear" w:color="auto" w:fill="auto"/>
                  <w:noWrap w:val="0"/>
                  <w:vAlign w:val="center"/>
                </w:tcPr>
                <w:p w14:paraId="49DF786B">
                  <w:pPr>
                    <w:spacing w:before="72" w:beforeLines="30"/>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w:t>
                  </w:r>
                </w:p>
              </w:tc>
              <w:tc>
                <w:tcPr>
                  <w:tcW w:w="1118" w:type="dxa"/>
                  <w:noWrap w:val="0"/>
                  <w:vAlign w:val="center"/>
                </w:tcPr>
                <w:p w14:paraId="434C31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华文中宋"/>
                      <w:snapToGrid/>
                      <w:color w:val="auto"/>
                      <w:spacing w:val="0"/>
                      <w:kern w:val="0"/>
                      <w:position w:val="0"/>
                      <w:szCs w:val="24"/>
                      <w:lang w:val="en-US" w:eastAsia="zh-CN"/>
                    </w:rPr>
                  </w:pPr>
                  <w:r>
                    <w:rPr>
                      <w:rFonts w:hint="eastAsia" w:eastAsia="华文中宋"/>
                      <w:snapToGrid/>
                      <w:color w:val="auto"/>
                      <w:spacing w:val="0"/>
                      <w:kern w:val="0"/>
                      <w:position w:val="0"/>
                      <w:szCs w:val="24"/>
                      <w:lang w:val="en-US" w:eastAsia="zh-CN"/>
                    </w:rPr>
                    <w:t>2</w:t>
                  </w:r>
                </w:p>
              </w:tc>
              <w:tc>
                <w:tcPr>
                  <w:tcW w:w="1249" w:type="dxa"/>
                  <w:shd w:val="clear" w:color="auto" w:fill="auto"/>
                  <w:noWrap w:val="0"/>
                  <w:vAlign w:val="center"/>
                </w:tcPr>
                <w:p w14:paraId="4A95B89E">
                  <w:pPr>
                    <w:spacing w:before="72" w:beforeLines="30"/>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w:t>
                  </w:r>
                </w:p>
              </w:tc>
              <w:tc>
                <w:tcPr>
                  <w:tcW w:w="988" w:type="dxa"/>
                  <w:noWrap w:val="0"/>
                  <w:vAlign w:val="center"/>
                </w:tcPr>
                <w:p w14:paraId="4561A6DD">
                  <w:pPr>
                    <w:adjustRightInd w:val="0"/>
                    <w:snapToGrid w:val="0"/>
                    <w:spacing w:line="240" w:lineRule="auto"/>
                    <w:jc w:val="center"/>
                    <w:rPr>
                      <w:rFonts w:hint="eastAsia" w:ascii="宋体" w:hAnsi="宋体" w:eastAsia="宋体" w:cs="宋体"/>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color w:val="auto"/>
                      <w:sz w:val="21"/>
                      <w:szCs w:val="21"/>
                      <w:highlight w:val="none"/>
                      <w:lang w:val="en-US" w:eastAsia="zh-CN"/>
                    </w:rPr>
                    <w:t>外购</w:t>
                  </w:r>
                </w:p>
              </w:tc>
            </w:tr>
            <w:tr w14:paraId="4DFE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1" w:type="dxa"/>
                  <w:shd w:val="clear" w:color="auto" w:fill="auto"/>
                  <w:noWrap w:val="0"/>
                  <w:vAlign w:val="center"/>
                </w:tcPr>
                <w:p w14:paraId="63C141B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color w:val="auto"/>
                      <w:sz w:val="21"/>
                      <w:szCs w:val="21"/>
                      <w:lang w:eastAsia="zh-CN"/>
                    </w:rPr>
                  </w:pPr>
                  <w:r>
                    <w:rPr>
                      <w:rFonts w:hint="eastAsia"/>
                      <w:color w:val="auto"/>
                      <w:sz w:val="21"/>
                      <w:szCs w:val="21"/>
                      <w:lang w:eastAsia="zh-CN"/>
                    </w:rPr>
                    <w:t>包转材料</w:t>
                  </w:r>
                </w:p>
              </w:tc>
              <w:tc>
                <w:tcPr>
                  <w:tcW w:w="942" w:type="dxa"/>
                  <w:noWrap w:val="0"/>
                  <w:vAlign w:val="center"/>
                </w:tcPr>
                <w:p w14:paraId="1C3EB54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Times New Roman" w:hAnsi="Times New Roman" w:eastAsia="宋体" w:cs="Times New Roman"/>
                      <w:b w:val="0"/>
                      <w:bCs w:val="0"/>
                      <w:snapToGrid/>
                      <w:color w:val="auto"/>
                      <w:spacing w:val="0"/>
                      <w:kern w:val="0"/>
                      <w:position w:val="0"/>
                      <w:sz w:val="21"/>
                      <w:szCs w:val="21"/>
                      <w:lang w:val="en-US" w:eastAsia="zh-CN"/>
                    </w:rPr>
                  </w:pPr>
                  <w:r>
                    <w:rPr>
                      <w:rFonts w:hint="eastAsia" w:ascii="Times New Roman" w:hAnsi="Times New Roman" w:eastAsia="宋体" w:cs="Times New Roman"/>
                      <w:b w:val="0"/>
                      <w:bCs w:val="0"/>
                      <w:snapToGrid/>
                      <w:color w:val="auto"/>
                      <w:spacing w:val="0"/>
                      <w:kern w:val="0"/>
                      <w:position w:val="0"/>
                      <w:sz w:val="21"/>
                      <w:szCs w:val="21"/>
                      <w:lang w:val="en-US" w:eastAsia="zh-CN"/>
                    </w:rPr>
                    <w:t>t/a</w:t>
                  </w:r>
                </w:p>
              </w:tc>
              <w:tc>
                <w:tcPr>
                  <w:tcW w:w="1507" w:type="dxa"/>
                  <w:noWrap w:val="0"/>
                  <w:vAlign w:val="center"/>
                </w:tcPr>
                <w:p w14:paraId="6F0FBCC3">
                  <w:pPr>
                    <w:keepNext w:val="0"/>
                    <w:keepLines w:val="0"/>
                    <w:pageBreakBefore w:val="0"/>
                    <w:kinsoku/>
                    <w:wordWrap/>
                    <w:overflowPunct/>
                    <w:topLinePunct w:val="0"/>
                    <w:autoSpaceDE/>
                    <w:autoSpaceDN/>
                    <w:bidi w:val="0"/>
                    <w:adjustRightInd w:val="0"/>
                    <w:snapToGrid w:val="0"/>
                    <w:spacing w:line="240" w:lineRule="auto"/>
                    <w:ind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1119" w:type="dxa"/>
                  <w:shd w:val="clear" w:color="auto" w:fill="auto"/>
                  <w:noWrap w:val="0"/>
                  <w:vAlign w:val="center"/>
                </w:tcPr>
                <w:p w14:paraId="4DBEC43A">
                  <w:pPr>
                    <w:spacing w:before="72" w:beforeLines="30"/>
                    <w:jc w:val="center"/>
                    <w:rPr>
                      <w:rFonts w:hint="default"/>
                      <w:color w:val="auto"/>
                      <w:szCs w:val="21"/>
                      <w:lang w:val="en-US" w:eastAsia="zh-CN"/>
                    </w:rPr>
                  </w:pPr>
                  <w:r>
                    <w:rPr>
                      <w:rFonts w:hint="eastAsia"/>
                      <w:color w:val="auto"/>
                      <w:szCs w:val="21"/>
                      <w:lang w:val="en-US" w:eastAsia="zh-CN"/>
                    </w:rPr>
                    <w:t>0.5</w:t>
                  </w:r>
                </w:p>
              </w:tc>
              <w:tc>
                <w:tcPr>
                  <w:tcW w:w="1118" w:type="dxa"/>
                  <w:noWrap w:val="0"/>
                  <w:vAlign w:val="center"/>
                </w:tcPr>
                <w:p w14:paraId="51B607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华文中宋"/>
                      <w:snapToGrid/>
                      <w:color w:val="auto"/>
                      <w:spacing w:val="0"/>
                      <w:kern w:val="0"/>
                      <w:position w:val="0"/>
                      <w:szCs w:val="24"/>
                      <w:lang w:val="en-US" w:eastAsia="zh-CN"/>
                    </w:rPr>
                  </w:pPr>
                  <w:r>
                    <w:rPr>
                      <w:rFonts w:hint="eastAsia" w:eastAsia="华文中宋"/>
                      <w:snapToGrid/>
                      <w:color w:val="auto"/>
                      <w:spacing w:val="0"/>
                      <w:kern w:val="0"/>
                      <w:position w:val="0"/>
                      <w:szCs w:val="24"/>
                      <w:lang w:val="en-US" w:eastAsia="zh-CN"/>
                    </w:rPr>
                    <w:t>1</w:t>
                  </w:r>
                </w:p>
              </w:tc>
              <w:tc>
                <w:tcPr>
                  <w:tcW w:w="1249" w:type="dxa"/>
                  <w:shd w:val="clear" w:color="auto" w:fill="auto"/>
                  <w:noWrap w:val="0"/>
                  <w:vAlign w:val="center"/>
                </w:tcPr>
                <w:p w14:paraId="735B17CE">
                  <w:pPr>
                    <w:spacing w:before="72" w:beforeLines="30"/>
                    <w:jc w:val="center"/>
                    <w:rPr>
                      <w:rFonts w:hint="default"/>
                      <w:color w:val="auto"/>
                      <w:szCs w:val="21"/>
                      <w:lang w:val="en-US" w:eastAsia="zh-CN"/>
                    </w:rPr>
                  </w:pPr>
                  <w:r>
                    <w:rPr>
                      <w:rFonts w:hint="eastAsia"/>
                      <w:color w:val="auto"/>
                      <w:szCs w:val="21"/>
                      <w:lang w:val="en-US" w:eastAsia="zh-CN"/>
                    </w:rPr>
                    <w:t>+0.5</w:t>
                  </w:r>
                </w:p>
              </w:tc>
              <w:tc>
                <w:tcPr>
                  <w:tcW w:w="988" w:type="dxa"/>
                  <w:noWrap w:val="0"/>
                  <w:vAlign w:val="center"/>
                </w:tcPr>
                <w:p w14:paraId="74115EF0">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外购</w:t>
                  </w:r>
                </w:p>
              </w:tc>
            </w:tr>
            <w:tr w14:paraId="7D9F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1" w:type="dxa"/>
                  <w:shd w:val="clear" w:color="auto" w:fill="auto"/>
                  <w:noWrap w:val="0"/>
                  <w:vAlign w:val="center"/>
                </w:tcPr>
                <w:p w14:paraId="4053A1A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eastAsia="zh-CN"/>
                    </w:rPr>
                    <w:t>液氨</w:t>
                  </w:r>
                </w:p>
              </w:tc>
              <w:tc>
                <w:tcPr>
                  <w:tcW w:w="942" w:type="dxa"/>
                  <w:noWrap w:val="0"/>
                  <w:vAlign w:val="center"/>
                </w:tcPr>
                <w:p w14:paraId="3EC23B1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Times New Roman" w:hAnsi="Times New Roman" w:eastAsia="宋体" w:cs="Times New Roman"/>
                      <w:b w:val="0"/>
                      <w:bCs w:val="0"/>
                      <w:snapToGrid/>
                      <w:color w:val="auto"/>
                      <w:spacing w:val="0"/>
                      <w:kern w:val="0"/>
                      <w:position w:val="0"/>
                      <w:sz w:val="21"/>
                      <w:szCs w:val="21"/>
                      <w:lang w:val="en-US" w:eastAsia="zh-CN"/>
                    </w:rPr>
                  </w:pPr>
                  <w:r>
                    <w:rPr>
                      <w:rFonts w:hint="eastAsia" w:ascii="Times New Roman" w:hAnsi="Times New Roman" w:eastAsia="宋体" w:cs="Times New Roman"/>
                      <w:b w:val="0"/>
                      <w:bCs w:val="0"/>
                      <w:snapToGrid/>
                      <w:color w:val="auto"/>
                      <w:spacing w:val="0"/>
                      <w:kern w:val="0"/>
                      <w:position w:val="0"/>
                      <w:sz w:val="21"/>
                      <w:szCs w:val="21"/>
                      <w:lang w:val="en-US" w:eastAsia="zh-CN"/>
                    </w:rPr>
                    <w:t>t/a</w:t>
                  </w:r>
                </w:p>
              </w:tc>
              <w:tc>
                <w:tcPr>
                  <w:tcW w:w="1507" w:type="dxa"/>
                  <w:noWrap w:val="0"/>
                  <w:vAlign w:val="center"/>
                </w:tcPr>
                <w:p w14:paraId="003B7EA1">
                  <w:pPr>
                    <w:keepNext w:val="0"/>
                    <w:keepLines w:val="0"/>
                    <w:pageBreakBefore w:val="0"/>
                    <w:kinsoku/>
                    <w:wordWrap/>
                    <w:overflowPunct/>
                    <w:topLinePunct w:val="0"/>
                    <w:autoSpaceDE/>
                    <w:autoSpaceDN/>
                    <w:bidi w:val="0"/>
                    <w:adjustRightInd w:val="0"/>
                    <w:snapToGrid w:val="0"/>
                    <w:spacing w:line="240" w:lineRule="auto"/>
                    <w:ind w:right="0" w:rightChars="0"/>
                    <w:jc w:val="center"/>
                    <w:rPr>
                      <w:rFonts w:hint="eastAsia" w:ascii="Times New Roman" w:hAnsi="Times New Roman" w:eastAsia="宋体" w:cs="Times New Roman"/>
                      <w:b w:val="0"/>
                      <w:bCs w:val="0"/>
                      <w:snapToGrid/>
                      <w:color w:val="auto"/>
                      <w:spacing w:val="0"/>
                      <w:kern w:val="0"/>
                      <w:position w:val="0"/>
                      <w:sz w:val="21"/>
                      <w:szCs w:val="21"/>
                      <w:lang w:val="en-US" w:eastAsia="zh-CN"/>
                    </w:rPr>
                  </w:pPr>
                  <w:r>
                    <w:rPr>
                      <w:rFonts w:hint="eastAsia" w:cs="Times New Roman"/>
                      <w:b w:val="0"/>
                      <w:bCs w:val="0"/>
                      <w:snapToGrid/>
                      <w:color w:val="auto"/>
                      <w:spacing w:val="0"/>
                      <w:kern w:val="0"/>
                      <w:position w:val="0"/>
                      <w:sz w:val="21"/>
                      <w:szCs w:val="21"/>
                      <w:lang w:val="en-US" w:eastAsia="zh-CN"/>
                    </w:rPr>
                    <w:t>1m</w:t>
                  </w:r>
                  <w:r>
                    <w:rPr>
                      <w:rFonts w:hint="eastAsia" w:cs="Times New Roman"/>
                      <w:b w:val="0"/>
                      <w:bCs w:val="0"/>
                      <w:snapToGrid/>
                      <w:color w:val="auto"/>
                      <w:spacing w:val="0"/>
                      <w:kern w:val="0"/>
                      <w:position w:val="0"/>
                      <w:sz w:val="21"/>
                      <w:szCs w:val="21"/>
                      <w:vertAlign w:val="superscript"/>
                      <w:lang w:val="en-US" w:eastAsia="zh-CN"/>
                    </w:rPr>
                    <w:t>3</w:t>
                  </w:r>
                  <w:r>
                    <w:rPr>
                      <w:rFonts w:hint="eastAsia" w:cs="Times New Roman"/>
                      <w:b w:val="0"/>
                      <w:bCs w:val="0"/>
                      <w:snapToGrid/>
                      <w:color w:val="auto"/>
                      <w:spacing w:val="0"/>
                      <w:kern w:val="0"/>
                      <w:position w:val="0"/>
                      <w:sz w:val="21"/>
                      <w:szCs w:val="21"/>
                      <w:lang w:val="en-US" w:eastAsia="zh-CN"/>
                    </w:rPr>
                    <w:t>储罐</w:t>
                  </w:r>
                </w:p>
              </w:tc>
              <w:tc>
                <w:tcPr>
                  <w:tcW w:w="1119" w:type="dxa"/>
                  <w:shd w:val="clear" w:color="auto" w:fill="auto"/>
                  <w:noWrap w:val="0"/>
                  <w:vAlign w:val="center"/>
                </w:tcPr>
                <w:p w14:paraId="6B31F408">
                  <w:pPr>
                    <w:spacing w:before="72" w:beforeLines="30"/>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2.4</w:t>
                  </w:r>
                </w:p>
              </w:tc>
              <w:tc>
                <w:tcPr>
                  <w:tcW w:w="1118" w:type="dxa"/>
                  <w:noWrap w:val="0"/>
                  <w:vAlign w:val="center"/>
                </w:tcPr>
                <w:p w14:paraId="6F31C5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华文中宋"/>
                      <w:snapToGrid/>
                      <w:color w:val="auto"/>
                      <w:spacing w:val="0"/>
                      <w:kern w:val="0"/>
                      <w:position w:val="0"/>
                      <w:szCs w:val="24"/>
                      <w:lang w:val="en-US" w:eastAsia="zh-CN"/>
                    </w:rPr>
                  </w:pPr>
                  <w:r>
                    <w:rPr>
                      <w:rFonts w:hint="eastAsia" w:eastAsia="华文中宋"/>
                      <w:snapToGrid/>
                      <w:color w:val="auto"/>
                      <w:spacing w:val="0"/>
                      <w:kern w:val="0"/>
                      <w:position w:val="0"/>
                      <w:szCs w:val="24"/>
                      <w:lang w:val="en-US" w:eastAsia="zh-CN"/>
                    </w:rPr>
                    <w:t>4.8</w:t>
                  </w:r>
                </w:p>
              </w:tc>
              <w:tc>
                <w:tcPr>
                  <w:tcW w:w="1249" w:type="dxa"/>
                  <w:shd w:val="clear" w:color="auto" w:fill="auto"/>
                  <w:noWrap w:val="0"/>
                  <w:vAlign w:val="center"/>
                </w:tcPr>
                <w:p w14:paraId="5F2DC48F">
                  <w:pPr>
                    <w:spacing w:before="72" w:beforeLines="30"/>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+2.4</w:t>
                  </w:r>
                </w:p>
              </w:tc>
              <w:tc>
                <w:tcPr>
                  <w:tcW w:w="988" w:type="dxa"/>
                  <w:noWrap w:val="0"/>
                  <w:vAlign w:val="center"/>
                </w:tcPr>
                <w:p w14:paraId="1DBCFCB4">
                  <w:pPr>
                    <w:adjustRightInd w:val="0"/>
                    <w:snapToGrid w:val="0"/>
                    <w:spacing w:line="240" w:lineRule="auto"/>
                    <w:jc w:val="center"/>
                    <w:rPr>
                      <w:rFonts w:hint="eastAsia" w:ascii="宋体" w:hAnsi="宋体" w:eastAsia="宋体" w:cs="宋体"/>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color w:val="auto"/>
                      <w:sz w:val="21"/>
                      <w:szCs w:val="21"/>
                      <w:highlight w:val="none"/>
                      <w:lang w:val="en-US" w:eastAsia="zh-CN"/>
                    </w:rPr>
                    <w:t>外购</w:t>
                  </w:r>
                </w:p>
              </w:tc>
            </w:tr>
            <w:tr w14:paraId="397E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1" w:type="dxa"/>
                  <w:shd w:val="clear" w:color="auto" w:fill="auto"/>
                  <w:noWrap w:val="0"/>
                  <w:vAlign w:val="center"/>
                </w:tcPr>
                <w:p w14:paraId="50A033C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eastAsia="zh-CN"/>
                    </w:rPr>
                    <w:t>氮气</w:t>
                  </w:r>
                </w:p>
              </w:tc>
              <w:tc>
                <w:tcPr>
                  <w:tcW w:w="942" w:type="dxa"/>
                  <w:noWrap w:val="0"/>
                  <w:vAlign w:val="center"/>
                </w:tcPr>
                <w:p w14:paraId="7E3EBED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Times New Roman" w:hAnsi="Times New Roman" w:eastAsia="宋体" w:cs="Times New Roman"/>
                      <w:b w:val="0"/>
                      <w:bCs w:val="0"/>
                      <w:snapToGrid/>
                      <w:color w:val="auto"/>
                      <w:spacing w:val="0"/>
                      <w:kern w:val="0"/>
                      <w:position w:val="0"/>
                      <w:sz w:val="21"/>
                      <w:szCs w:val="21"/>
                      <w:lang w:val="en-US" w:eastAsia="zh-CN"/>
                    </w:rPr>
                  </w:pPr>
                  <w:r>
                    <w:rPr>
                      <w:rFonts w:hint="eastAsia" w:ascii="Times New Roman" w:hAnsi="Times New Roman" w:eastAsia="宋体" w:cs="Times New Roman"/>
                      <w:b w:val="0"/>
                      <w:bCs w:val="0"/>
                      <w:snapToGrid/>
                      <w:color w:val="auto"/>
                      <w:spacing w:val="0"/>
                      <w:kern w:val="0"/>
                      <w:position w:val="0"/>
                      <w:sz w:val="21"/>
                      <w:szCs w:val="21"/>
                      <w:lang w:val="en-US" w:eastAsia="zh-CN"/>
                    </w:rPr>
                    <w:t>t/a</w:t>
                  </w:r>
                </w:p>
              </w:tc>
              <w:tc>
                <w:tcPr>
                  <w:tcW w:w="1507" w:type="dxa"/>
                  <w:noWrap w:val="0"/>
                  <w:vAlign w:val="center"/>
                </w:tcPr>
                <w:p w14:paraId="69526688">
                  <w:pPr>
                    <w:keepNext w:val="0"/>
                    <w:keepLines w:val="0"/>
                    <w:pageBreakBefore w:val="0"/>
                    <w:kinsoku/>
                    <w:wordWrap/>
                    <w:overflowPunct/>
                    <w:topLinePunct w:val="0"/>
                    <w:autoSpaceDE/>
                    <w:autoSpaceDN/>
                    <w:bidi w:val="0"/>
                    <w:adjustRightInd w:val="0"/>
                    <w:snapToGrid w:val="0"/>
                    <w:spacing w:line="240" w:lineRule="auto"/>
                    <w:ind w:right="0" w:rightChars="0"/>
                    <w:jc w:val="center"/>
                    <w:rPr>
                      <w:rFonts w:hint="eastAsia" w:ascii="Times New Roman" w:hAnsi="Times New Roman" w:eastAsia="宋体" w:cs="Times New Roman"/>
                      <w:b w:val="0"/>
                      <w:bCs w:val="0"/>
                      <w:snapToGrid/>
                      <w:color w:val="auto"/>
                      <w:spacing w:val="0"/>
                      <w:kern w:val="0"/>
                      <w:position w:val="0"/>
                      <w:sz w:val="21"/>
                      <w:szCs w:val="21"/>
                      <w:lang w:val="en-US" w:eastAsia="zh-CN"/>
                    </w:rPr>
                  </w:pPr>
                  <w:r>
                    <w:rPr>
                      <w:rFonts w:hint="eastAsia" w:cs="Times New Roman"/>
                      <w:color w:val="auto"/>
                      <w:kern w:val="2"/>
                      <w:sz w:val="21"/>
                      <w:szCs w:val="21"/>
                      <w:highlight w:val="none"/>
                      <w:lang w:val="en-US" w:eastAsia="zh-CN" w:bidi="ar-SA"/>
                    </w:rPr>
                    <w:t>50</w:t>
                  </w:r>
                  <w:r>
                    <w:rPr>
                      <w:rFonts w:hint="default" w:ascii="Times New Roman" w:hAnsi="Times New Roman" w:eastAsia="宋体" w:cs="Times New Roman"/>
                      <w:color w:val="auto"/>
                      <w:kern w:val="2"/>
                      <w:sz w:val="21"/>
                      <w:szCs w:val="21"/>
                      <w:highlight w:val="none"/>
                      <w:lang w:val="en-US" w:eastAsia="zh-CN" w:bidi="ar-SA"/>
                    </w:rPr>
                    <w:t>kg/</w:t>
                  </w:r>
                  <w:r>
                    <w:rPr>
                      <w:rFonts w:hint="eastAsia" w:cs="Times New Roman"/>
                      <w:color w:val="auto"/>
                      <w:kern w:val="2"/>
                      <w:sz w:val="21"/>
                      <w:szCs w:val="21"/>
                      <w:highlight w:val="none"/>
                      <w:lang w:val="en-US" w:eastAsia="zh-CN" w:bidi="ar-SA"/>
                    </w:rPr>
                    <w:t>瓶</w:t>
                  </w:r>
                </w:p>
              </w:tc>
              <w:tc>
                <w:tcPr>
                  <w:tcW w:w="1119" w:type="dxa"/>
                  <w:shd w:val="clear" w:color="auto" w:fill="auto"/>
                  <w:noWrap w:val="0"/>
                  <w:vAlign w:val="center"/>
                </w:tcPr>
                <w:p w14:paraId="3668D46B">
                  <w:pPr>
                    <w:spacing w:before="72" w:beforeLines="30"/>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0.2</w:t>
                  </w:r>
                </w:p>
              </w:tc>
              <w:tc>
                <w:tcPr>
                  <w:tcW w:w="1118" w:type="dxa"/>
                  <w:noWrap w:val="0"/>
                  <w:vAlign w:val="center"/>
                </w:tcPr>
                <w:p w14:paraId="090ABF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华文中宋"/>
                      <w:snapToGrid/>
                      <w:color w:val="auto"/>
                      <w:spacing w:val="0"/>
                      <w:kern w:val="0"/>
                      <w:position w:val="0"/>
                      <w:szCs w:val="24"/>
                      <w:lang w:val="en-US" w:eastAsia="zh-CN"/>
                    </w:rPr>
                  </w:pPr>
                  <w:r>
                    <w:rPr>
                      <w:rFonts w:hint="eastAsia" w:eastAsia="华文中宋"/>
                      <w:snapToGrid/>
                      <w:color w:val="auto"/>
                      <w:spacing w:val="0"/>
                      <w:kern w:val="0"/>
                      <w:position w:val="0"/>
                      <w:szCs w:val="24"/>
                      <w:lang w:val="en-US" w:eastAsia="zh-CN"/>
                    </w:rPr>
                    <w:t>0.4</w:t>
                  </w:r>
                </w:p>
              </w:tc>
              <w:tc>
                <w:tcPr>
                  <w:tcW w:w="1249" w:type="dxa"/>
                  <w:shd w:val="clear" w:color="auto" w:fill="auto"/>
                  <w:noWrap w:val="0"/>
                  <w:vAlign w:val="center"/>
                </w:tcPr>
                <w:p w14:paraId="0D89AB0A">
                  <w:pPr>
                    <w:spacing w:before="72" w:beforeLines="30"/>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+0.2</w:t>
                  </w:r>
                </w:p>
              </w:tc>
              <w:tc>
                <w:tcPr>
                  <w:tcW w:w="988" w:type="dxa"/>
                  <w:noWrap w:val="0"/>
                  <w:vAlign w:val="center"/>
                </w:tcPr>
                <w:p w14:paraId="50114390">
                  <w:pPr>
                    <w:adjustRightInd w:val="0"/>
                    <w:snapToGrid w:val="0"/>
                    <w:spacing w:line="240" w:lineRule="auto"/>
                    <w:jc w:val="center"/>
                    <w:rPr>
                      <w:rFonts w:hint="eastAsia" w:ascii="宋体" w:hAnsi="宋体" w:eastAsia="宋体" w:cs="宋体"/>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color w:val="auto"/>
                      <w:sz w:val="21"/>
                      <w:szCs w:val="21"/>
                      <w:highlight w:val="none"/>
                      <w:lang w:val="en-US" w:eastAsia="zh-CN"/>
                    </w:rPr>
                    <w:t>外购</w:t>
                  </w:r>
                </w:p>
              </w:tc>
            </w:tr>
            <w:tr w14:paraId="3025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1" w:type="dxa"/>
                  <w:shd w:val="clear" w:color="auto" w:fill="auto"/>
                  <w:noWrap w:val="0"/>
                  <w:vAlign w:val="center"/>
                </w:tcPr>
                <w:p w14:paraId="7843D94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eastAsia="zh-CN"/>
                    </w:rPr>
                    <w:t>机油</w:t>
                  </w:r>
                </w:p>
              </w:tc>
              <w:tc>
                <w:tcPr>
                  <w:tcW w:w="942" w:type="dxa"/>
                  <w:noWrap w:val="0"/>
                  <w:vAlign w:val="center"/>
                </w:tcPr>
                <w:p w14:paraId="1E68B85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Times New Roman" w:hAnsi="Times New Roman" w:eastAsia="宋体" w:cs="Times New Roman"/>
                      <w:b w:val="0"/>
                      <w:bCs w:val="0"/>
                      <w:snapToGrid/>
                      <w:color w:val="auto"/>
                      <w:spacing w:val="0"/>
                      <w:kern w:val="0"/>
                      <w:position w:val="0"/>
                      <w:sz w:val="21"/>
                      <w:szCs w:val="21"/>
                      <w:lang w:val="en-US" w:eastAsia="zh-CN"/>
                    </w:rPr>
                  </w:pPr>
                  <w:r>
                    <w:rPr>
                      <w:rFonts w:hint="eastAsia" w:ascii="Times New Roman" w:hAnsi="Times New Roman" w:eastAsia="宋体" w:cs="Times New Roman"/>
                      <w:b w:val="0"/>
                      <w:bCs w:val="0"/>
                      <w:snapToGrid/>
                      <w:color w:val="auto"/>
                      <w:spacing w:val="0"/>
                      <w:kern w:val="0"/>
                      <w:position w:val="0"/>
                      <w:sz w:val="21"/>
                      <w:szCs w:val="21"/>
                      <w:lang w:val="en-US" w:eastAsia="zh-CN"/>
                    </w:rPr>
                    <w:t>t/a</w:t>
                  </w:r>
                </w:p>
              </w:tc>
              <w:tc>
                <w:tcPr>
                  <w:tcW w:w="1507" w:type="dxa"/>
                  <w:noWrap w:val="0"/>
                  <w:vAlign w:val="center"/>
                </w:tcPr>
                <w:p w14:paraId="45464305">
                  <w:pPr>
                    <w:keepNext w:val="0"/>
                    <w:keepLines w:val="0"/>
                    <w:pageBreakBefore w:val="0"/>
                    <w:kinsoku/>
                    <w:wordWrap/>
                    <w:overflowPunct/>
                    <w:topLinePunct w:val="0"/>
                    <w:autoSpaceDE/>
                    <w:autoSpaceDN/>
                    <w:bidi w:val="0"/>
                    <w:adjustRightInd w:val="0"/>
                    <w:snapToGrid w:val="0"/>
                    <w:spacing w:line="240" w:lineRule="auto"/>
                    <w:ind w:right="0" w:rightChars="0"/>
                    <w:jc w:val="center"/>
                    <w:rPr>
                      <w:rFonts w:hint="eastAsia" w:ascii="Times New Roman" w:hAnsi="Times New Roman" w:eastAsia="宋体" w:cs="Times New Roman"/>
                      <w:b w:val="0"/>
                      <w:bCs w:val="0"/>
                      <w:snapToGrid/>
                      <w:color w:val="auto"/>
                      <w:spacing w:val="0"/>
                      <w:kern w:val="0"/>
                      <w:position w:val="0"/>
                      <w:sz w:val="21"/>
                      <w:szCs w:val="21"/>
                      <w:lang w:val="en-US" w:eastAsia="zh-CN"/>
                    </w:rPr>
                  </w:pPr>
                  <w:r>
                    <w:rPr>
                      <w:rFonts w:hint="default" w:ascii="Times New Roman" w:hAnsi="Times New Roman" w:eastAsia="宋体" w:cs="Times New Roman"/>
                      <w:color w:val="auto"/>
                      <w:kern w:val="2"/>
                      <w:sz w:val="21"/>
                      <w:szCs w:val="21"/>
                      <w:highlight w:val="none"/>
                      <w:lang w:val="en-US" w:eastAsia="zh-CN" w:bidi="ar-SA"/>
                    </w:rPr>
                    <w:t>25kg/</w:t>
                  </w:r>
                  <w:r>
                    <w:rPr>
                      <w:rFonts w:hint="eastAsia" w:cs="Times New Roman"/>
                      <w:color w:val="auto"/>
                      <w:kern w:val="2"/>
                      <w:sz w:val="21"/>
                      <w:szCs w:val="21"/>
                      <w:highlight w:val="none"/>
                      <w:lang w:val="en-US" w:eastAsia="zh-CN" w:bidi="ar-SA"/>
                    </w:rPr>
                    <w:t>桶</w:t>
                  </w:r>
                </w:p>
              </w:tc>
              <w:tc>
                <w:tcPr>
                  <w:tcW w:w="1119" w:type="dxa"/>
                  <w:shd w:val="clear" w:color="auto" w:fill="auto"/>
                  <w:noWrap w:val="0"/>
                  <w:vAlign w:val="center"/>
                </w:tcPr>
                <w:p w14:paraId="38CF731A">
                  <w:pPr>
                    <w:spacing w:before="72" w:beforeLines="30"/>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w:t>
                  </w:r>
                </w:p>
              </w:tc>
              <w:tc>
                <w:tcPr>
                  <w:tcW w:w="1118" w:type="dxa"/>
                  <w:noWrap w:val="0"/>
                  <w:vAlign w:val="center"/>
                </w:tcPr>
                <w:p w14:paraId="512014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华文中宋"/>
                      <w:snapToGrid/>
                      <w:color w:val="auto"/>
                      <w:spacing w:val="0"/>
                      <w:kern w:val="0"/>
                      <w:position w:val="0"/>
                      <w:szCs w:val="24"/>
                      <w:lang w:val="en-US" w:eastAsia="zh-CN"/>
                    </w:rPr>
                  </w:pPr>
                  <w:r>
                    <w:rPr>
                      <w:rFonts w:hint="eastAsia" w:eastAsia="华文中宋"/>
                      <w:snapToGrid/>
                      <w:color w:val="auto"/>
                      <w:spacing w:val="0"/>
                      <w:kern w:val="0"/>
                      <w:position w:val="0"/>
                      <w:szCs w:val="24"/>
                      <w:lang w:val="en-US" w:eastAsia="zh-CN"/>
                    </w:rPr>
                    <w:t>4</w:t>
                  </w:r>
                </w:p>
              </w:tc>
              <w:tc>
                <w:tcPr>
                  <w:tcW w:w="1249" w:type="dxa"/>
                  <w:shd w:val="clear" w:color="auto" w:fill="auto"/>
                  <w:noWrap w:val="0"/>
                  <w:vAlign w:val="center"/>
                </w:tcPr>
                <w:p w14:paraId="50CE8331">
                  <w:pPr>
                    <w:spacing w:before="72" w:beforeLines="30"/>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w:t>
                  </w:r>
                </w:p>
              </w:tc>
              <w:tc>
                <w:tcPr>
                  <w:tcW w:w="988" w:type="dxa"/>
                  <w:noWrap w:val="0"/>
                  <w:vAlign w:val="center"/>
                </w:tcPr>
                <w:p w14:paraId="2BAC274A">
                  <w:pPr>
                    <w:adjustRightInd w:val="0"/>
                    <w:snapToGrid w:val="0"/>
                    <w:spacing w:line="240" w:lineRule="auto"/>
                    <w:jc w:val="center"/>
                    <w:rPr>
                      <w:rFonts w:hint="eastAsia" w:ascii="宋体" w:hAnsi="宋体" w:eastAsia="宋体" w:cs="宋体"/>
                      <w:b w:val="0"/>
                      <w:bCs w:val="0"/>
                      <w:snapToGrid/>
                      <w:color w:val="auto"/>
                      <w:spacing w:val="0"/>
                      <w:kern w:val="0"/>
                      <w:position w:val="0"/>
                      <w:sz w:val="21"/>
                      <w:szCs w:val="21"/>
                      <w:vertAlign w:val="baseline"/>
                      <w:lang w:val="en-US" w:eastAsia="zh-CN"/>
                    </w:rPr>
                  </w:pPr>
                  <w:r>
                    <w:rPr>
                      <w:rFonts w:hint="default" w:ascii="Times New Roman" w:hAnsi="Times New Roman" w:eastAsia="宋体" w:cs="Times New Roman"/>
                      <w:color w:val="auto"/>
                      <w:sz w:val="21"/>
                      <w:szCs w:val="21"/>
                      <w:highlight w:val="none"/>
                      <w:lang w:val="en-US" w:eastAsia="zh-CN"/>
                    </w:rPr>
                    <w:t>外购</w:t>
                  </w:r>
                </w:p>
              </w:tc>
            </w:tr>
            <w:tr w14:paraId="4AA49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4" w:type="dxa"/>
                  <w:gridSpan w:val="7"/>
                  <w:shd w:val="clear" w:color="auto" w:fill="auto"/>
                  <w:noWrap w:val="0"/>
                  <w:vAlign w:val="center"/>
                </w:tcPr>
                <w:p w14:paraId="25457F14">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olor w:val="auto"/>
                      <w:lang w:val="en-US" w:eastAsia="zh-CN"/>
                    </w:rPr>
                    <w:t>资源、能源消耗</w:t>
                  </w:r>
                </w:p>
              </w:tc>
            </w:tr>
            <w:tr w14:paraId="5CC4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1" w:type="dxa"/>
                  <w:noWrap w:val="0"/>
                  <w:vAlign w:val="center"/>
                </w:tcPr>
                <w:p w14:paraId="03462EB3">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水</w:t>
                  </w:r>
                </w:p>
              </w:tc>
              <w:tc>
                <w:tcPr>
                  <w:tcW w:w="942" w:type="dxa"/>
                  <w:noWrap w:val="0"/>
                  <w:vAlign w:val="center"/>
                </w:tcPr>
                <w:p w14:paraId="33FAEF5C">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t/a</w:t>
                  </w:r>
                </w:p>
              </w:tc>
              <w:tc>
                <w:tcPr>
                  <w:tcW w:w="1507" w:type="dxa"/>
                  <w:noWrap w:val="0"/>
                  <w:vAlign w:val="center"/>
                </w:tcPr>
                <w:p w14:paraId="74EFBC8E">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1119" w:type="dxa"/>
                  <w:noWrap w:val="0"/>
                  <w:vAlign w:val="center"/>
                </w:tcPr>
                <w:p w14:paraId="30B793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1575</w:t>
                  </w:r>
                </w:p>
              </w:tc>
              <w:tc>
                <w:tcPr>
                  <w:tcW w:w="1118" w:type="dxa"/>
                  <w:noWrap w:val="0"/>
                  <w:vAlign w:val="center"/>
                </w:tcPr>
                <w:p w14:paraId="2D0BCE79">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2085</w:t>
                  </w:r>
                </w:p>
              </w:tc>
              <w:tc>
                <w:tcPr>
                  <w:tcW w:w="1249" w:type="dxa"/>
                  <w:noWrap w:val="0"/>
                  <w:vAlign w:val="center"/>
                </w:tcPr>
                <w:p w14:paraId="5B910930">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+510</w:t>
                  </w:r>
                </w:p>
              </w:tc>
              <w:tc>
                <w:tcPr>
                  <w:tcW w:w="988" w:type="dxa"/>
                  <w:noWrap w:val="0"/>
                  <w:vAlign w:val="center"/>
                </w:tcPr>
                <w:p w14:paraId="7475B73B">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snapToGrid/>
                      <w:color w:val="auto"/>
                      <w:spacing w:val="0"/>
                      <w:kern w:val="0"/>
                      <w:position w:val="0"/>
                      <w:sz w:val="21"/>
                      <w:szCs w:val="21"/>
                    </w:rPr>
                  </w:pPr>
                  <w:r>
                    <w:rPr>
                      <w:rFonts w:hint="eastAsia" w:ascii="Times New Roman" w:hAnsi="Times New Roman" w:eastAsia="宋体" w:cs="Times New Roman"/>
                      <w:snapToGrid/>
                      <w:color w:val="auto"/>
                      <w:spacing w:val="0"/>
                      <w:kern w:val="0"/>
                      <w:position w:val="0"/>
                      <w:sz w:val="21"/>
                      <w:szCs w:val="21"/>
                      <w:vertAlign w:val="baseline"/>
                      <w:lang w:eastAsia="zh-CN"/>
                    </w:rPr>
                    <w:t>市政供水</w:t>
                  </w:r>
                  <w:r>
                    <w:rPr>
                      <w:rFonts w:hint="default" w:ascii="Times New Roman" w:hAnsi="Times New Roman" w:eastAsia="宋体" w:cs="Times New Roman"/>
                      <w:snapToGrid/>
                      <w:color w:val="auto"/>
                      <w:spacing w:val="0"/>
                      <w:kern w:val="0"/>
                      <w:position w:val="0"/>
                      <w:sz w:val="21"/>
                      <w:szCs w:val="21"/>
                      <w:vertAlign w:val="baseline"/>
                      <w:lang w:eastAsia="zh-CN"/>
                    </w:rPr>
                    <w:t>管网</w:t>
                  </w:r>
                </w:p>
              </w:tc>
            </w:tr>
            <w:tr w14:paraId="739D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1" w:type="dxa"/>
                  <w:noWrap w:val="0"/>
                  <w:vAlign w:val="center"/>
                </w:tcPr>
                <w:p w14:paraId="5368FFA0">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电</w:t>
                  </w:r>
                </w:p>
              </w:tc>
              <w:tc>
                <w:tcPr>
                  <w:tcW w:w="942" w:type="dxa"/>
                  <w:noWrap w:val="0"/>
                  <w:vAlign w:val="center"/>
                </w:tcPr>
                <w:p w14:paraId="20D96333">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lang w:eastAsia="zh-CN"/>
                    </w:rPr>
                    <w:t>万</w:t>
                  </w:r>
                  <w:r>
                    <w:rPr>
                      <w:rFonts w:hint="default" w:ascii="Times New Roman" w:hAnsi="Times New Roman" w:eastAsia="宋体" w:cs="Times New Roman"/>
                      <w:snapToGrid/>
                      <w:color w:val="auto"/>
                      <w:spacing w:val="0"/>
                      <w:kern w:val="0"/>
                      <w:position w:val="0"/>
                      <w:sz w:val="21"/>
                      <w:szCs w:val="21"/>
                    </w:rPr>
                    <w:t>kW</w:t>
                  </w:r>
                  <w:r>
                    <w:rPr>
                      <w:rFonts w:hint="default" w:ascii="Times New Roman" w:hAnsi="Times New Roman" w:eastAsia="宋体" w:cs="Times New Roman"/>
                      <w:snapToGrid/>
                      <w:color w:val="auto"/>
                      <w:spacing w:val="0"/>
                      <w:kern w:val="0"/>
                      <w:position w:val="0"/>
                      <w:sz w:val="21"/>
                      <w:szCs w:val="21"/>
                      <w:lang w:val="en-US" w:eastAsia="zh-CN"/>
                    </w:rPr>
                    <w:t>·</w:t>
                  </w:r>
                  <w:r>
                    <w:rPr>
                      <w:rFonts w:hint="default" w:ascii="Times New Roman" w:hAnsi="Times New Roman" w:eastAsia="宋体" w:cs="Times New Roman"/>
                      <w:snapToGrid/>
                      <w:color w:val="auto"/>
                      <w:spacing w:val="0"/>
                      <w:kern w:val="0"/>
                      <w:position w:val="0"/>
                      <w:sz w:val="21"/>
                      <w:szCs w:val="21"/>
                    </w:rPr>
                    <w:t>h/a</w:t>
                  </w:r>
                </w:p>
              </w:tc>
              <w:tc>
                <w:tcPr>
                  <w:tcW w:w="1507" w:type="dxa"/>
                  <w:noWrap w:val="0"/>
                  <w:vAlign w:val="center"/>
                </w:tcPr>
                <w:p w14:paraId="1EBD65C9">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1119" w:type="dxa"/>
                  <w:noWrap w:val="0"/>
                  <w:vAlign w:val="center"/>
                </w:tcPr>
                <w:p w14:paraId="163532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60</w:t>
                  </w:r>
                </w:p>
              </w:tc>
              <w:tc>
                <w:tcPr>
                  <w:tcW w:w="1118" w:type="dxa"/>
                  <w:noWrap w:val="0"/>
                  <w:vAlign w:val="center"/>
                </w:tcPr>
                <w:p w14:paraId="7352AB07">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120</w:t>
                  </w:r>
                </w:p>
              </w:tc>
              <w:tc>
                <w:tcPr>
                  <w:tcW w:w="1249" w:type="dxa"/>
                  <w:noWrap w:val="0"/>
                  <w:vAlign w:val="center"/>
                </w:tcPr>
                <w:p w14:paraId="02451095">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+60</w:t>
                  </w:r>
                </w:p>
              </w:tc>
              <w:tc>
                <w:tcPr>
                  <w:tcW w:w="988" w:type="dxa"/>
                  <w:noWrap w:val="0"/>
                  <w:vAlign w:val="center"/>
                </w:tcPr>
                <w:p w14:paraId="3C1A79A5">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rPr>
                    <w:t>市政</w:t>
                  </w:r>
                  <w:r>
                    <w:rPr>
                      <w:rFonts w:hint="eastAsia" w:ascii="Times New Roman" w:hAnsi="Times New Roman" w:eastAsia="宋体" w:cs="Times New Roman"/>
                      <w:snapToGrid/>
                      <w:color w:val="auto"/>
                      <w:spacing w:val="0"/>
                      <w:kern w:val="0"/>
                      <w:position w:val="0"/>
                      <w:sz w:val="21"/>
                      <w:szCs w:val="21"/>
                      <w:lang w:eastAsia="zh-CN"/>
                    </w:rPr>
                    <w:t>供电管网</w:t>
                  </w:r>
                </w:p>
              </w:tc>
            </w:tr>
          </w:tbl>
          <w:p w14:paraId="7AD1397C">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2" w:firstLineChars="200"/>
              <w:textAlignment w:val="auto"/>
              <w:rPr>
                <w:rFonts w:hint="eastAsia"/>
                <w:b/>
                <w:bCs/>
                <w:snapToGrid/>
                <w:color w:val="auto"/>
                <w:spacing w:val="0"/>
                <w:kern w:val="0"/>
                <w:position w:val="0"/>
                <w:sz w:val="24"/>
                <w:szCs w:val="24"/>
                <w:lang w:val="en-US" w:eastAsia="zh-CN"/>
              </w:rPr>
            </w:pPr>
            <w:r>
              <w:rPr>
                <w:rFonts w:hint="eastAsia"/>
                <w:b/>
                <w:bCs/>
                <w:snapToGrid/>
                <w:color w:val="auto"/>
                <w:spacing w:val="0"/>
                <w:kern w:val="0"/>
                <w:position w:val="0"/>
                <w:sz w:val="24"/>
                <w:szCs w:val="24"/>
                <w:lang w:val="en-US" w:eastAsia="zh-CN"/>
              </w:rPr>
              <w:t>原辅材料理化性质：</w:t>
            </w:r>
          </w:p>
          <w:p w14:paraId="57302FB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b w:val="0"/>
                <w:bCs w:val="0"/>
                <w:snapToGrid/>
                <w:color w:val="auto"/>
                <w:spacing w:val="0"/>
                <w:kern w:val="0"/>
                <w:position w:val="0"/>
                <w:sz w:val="24"/>
                <w:szCs w:val="24"/>
                <w:lang w:val="en-US" w:eastAsia="zh-CN"/>
              </w:rPr>
            </w:pPr>
            <w:r>
              <w:rPr>
                <w:rFonts w:hint="eastAsia" w:ascii="宋体" w:hAnsi="宋体" w:eastAsia="宋体" w:cs="宋体"/>
                <w:b w:val="0"/>
                <w:bCs w:val="0"/>
                <w:snapToGrid/>
                <w:color w:val="auto"/>
                <w:spacing w:val="0"/>
                <w:kern w:val="0"/>
                <w:position w:val="0"/>
                <w:sz w:val="24"/>
                <w:szCs w:val="24"/>
                <w:lang w:val="en-US" w:eastAsia="zh-CN"/>
              </w:rPr>
              <w:t>①</w:t>
            </w:r>
            <w:r>
              <w:rPr>
                <w:rFonts w:hint="eastAsia"/>
                <w:b w:val="0"/>
                <w:bCs w:val="0"/>
                <w:snapToGrid/>
                <w:color w:val="auto"/>
                <w:spacing w:val="0"/>
                <w:kern w:val="0"/>
                <w:position w:val="0"/>
                <w:sz w:val="24"/>
                <w:szCs w:val="24"/>
                <w:lang w:val="en-US" w:eastAsia="zh-CN"/>
              </w:rPr>
              <w:t>高密度聚乙烯</w:t>
            </w:r>
          </w:p>
          <w:p w14:paraId="3053BBE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b w:val="0"/>
                <w:bCs w:val="0"/>
                <w:snapToGrid/>
                <w:color w:val="auto"/>
                <w:spacing w:val="0"/>
                <w:kern w:val="0"/>
                <w:position w:val="0"/>
                <w:sz w:val="24"/>
                <w:szCs w:val="24"/>
                <w:lang w:val="en-US" w:eastAsia="zh-CN"/>
              </w:rPr>
            </w:pPr>
            <w:r>
              <w:rPr>
                <w:rFonts w:hint="eastAsia"/>
                <w:b w:val="0"/>
                <w:bCs w:val="0"/>
                <w:snapToGrid/>
                <w:color w:val="auto"/>
                <w:spacing w:val="0"/>
                <w:kern w:val="0"/>
                <w:position w:val="0"/>
                <w:sz w:val="24"/>
                <w:szCs w:val="24"/>
                <w:lang w:val="en-US" w:eastAsia="zh-CN"/>
              </w:rPr>
              <w:t>高密度聚乙烯（HDPE）又称低压聚乙烯，是一种结晶度高、非极性面呈一定程度的半透明状。PE具有优良的耐大多数生活和工业用化学品的特性。</w:t>
            </w:r>
          </w:p>
          <w:p w14:paraId="6AEBD37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b w:val="0"/>
                <w:bCs w:val="0"/>
                <w:snapToGrid/>
                <w:color w:val="auto"/>
                <w:spacing w:val="0"/>
                <w:kern w:val="0"/>
                <w:position w:val="0"/>
                <w:sz w:val="24"/>
                <w:szCs w:val="24"/>
                <w:lang w:val="en-US" w:eastAsia="zh-CN"/>
              </w:rPr>
            </w:pPr>
            <w:r>
              <w:rPr>
                <w:rFonts w:hint="eastAsia"/>
                <w:b w:val="0"/>
                <w:bCs w:val="0"/>
                <w:snapToGrid/>
                <w:color w:val="auto"/>
                <w:spacing w:val="0"/>
                <w:kern w:val="0"/>
                <w:position w:val="0"/>
                <w:sz w:val="24"/>
                <w:szCs w:val="24"/>
                <w:lang w:val="en-US" w:eastAsia="zh-CN"/>
              </w:rPr>
              <w:t>HDPE是一种结晶度高、非极性的热塑性树脂。高密度聚乙烯是白色粉末颗粒状产品，无毒、无味，密度在0.940~0.976 g/cm</w:t>
            </w:r>
            <w:r>
              <w:rPr>
                <w:rFonts w:hint="eastAsia"/>
                <w:b w:val="0"/>
                <w:bCs w:val="0"/>
                <w:snapToGrid/>
                <w:color w:val="auto"/>
                <w:spacing w:val="0"/>
                <w:kern w:val="0"/>
                <w:position w:val="0"/>
                <w:sz w:val="24"/>
                <w:szCs w:val="24"/>
                <w:vertAlign w:val="superscript"/>
                <w:lang w:val="en-US" w:eastAsia="zh-CN"/>
              </w:rPr>
              <w:t>3</w:t>
            </w:r>
            <w:r>
              <w:rPr>
                <w:rFonts w:hint="eastAsia"/>
                <w:b w:val="0"/>
                <w:bCs w:val="0"/>
                <w:snapToGrid/>
                <w:color w:val="auto"/>
                <w:spacing w:val="0"/>
                <w:kern w:val="0"/>
                <w:position w:val="0"/>
                <w:sz w:val="24"/>
                <w:szCs w:val="24"/>
                <w:lang w:val="en-US" w:eastAsia="zh-CN"/>
              </w:rPr>
              <w:t>范围内；结晶度为80%~90%，软化点为125~135℃，使用温度可达100℃；熔化温度120~160℃，对于分子较大的材料，建议熔化温度范围在200~250℃之间。它具有良好的耐热性和耐寒性，化学稳定性好，还具有较高的刚性和韧性，机械强度好。介电性能，耐环境应力开裂性亦较好。硬度、拉伸强度和蠕变性优于低密度聚乙烯;耐磨性、电绝缘性、韧性及耐寒性均较好，但与低密度绝缘性比较略差些；化学稳定性好，在室温条件下，不溶于任何有机溶剂，耐酸、碱和各种盐类的腐蚀。</w:t>
            </w:r>
          </w:p>
          <w:p w14:paraId="7C0BDD2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b w:val="0"/>
                <w:bCs w:val="0"/>
                <w:snapToGrid/>
                <w:color w:val="auto"/>
                <w:spacing w:val="0"/>
                <w:kern w:val="0"/>
                <w:position w:val="0"/>
                <w:sz w:val="24"/>
                <w:szCs w:val="24"/>
                <w:lang w:val="en-US" w:eastAsia="zh-CN"/>
              </w:rPr>
            </w:pPr>
            <w:r>
              <w:rPr>
                <w:rFonts w:hint="default" w:ascii="Times New Roman" w:hAnsi="Times New Roman" w:eastAsia="宋体" w:cs="Times New Roman"/>
                <w:b w:val="0"/>
                <w:bCs w:val="0"/>
                <w:snapToGrid/>
                <w:color w:val="auto"/>
                <w:spacing w:val="0"/>
                <w:kern w:val="0"/>
                <w:position w:val="0"/>
                <w:sz w:val="24"/>
                <w:szCs w:val="24"/>
                <w:lang w:val="en-US" w:eastAsia="zh-CN"/>
              </w:rPr>
              <w:t>②石蜡</w:t>
            </w:r>
          </w:p>
          <w:p w14:paraId="5503552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b w:val="0"/>
                <w:bCs w:val="0"/>
                <w:snapToGrid/>
                <w:color w:val="auto"/>
                <w:spacing w:val="0"/>
                <w:kern w:val="0"/>
                <w:position w:val="0"/>
                <w:sz w:val="24"/>
                <w:szCs w:val="24"/>
                <w:lang w:val="en-US" w:eastAsia="zh-CN"/>
              </w:rPr>
            </w:pPr>
            <w:r>
              <w:rPr>
                <w:rFonts w:hint="default" w:ascii="Times New Roman" w:hAnsi="Times New Roman" w:eastAsia="宋体" w:cs="Times New Roman"/>
                <w:b w:val="0"/>
                <w:bCs w:val="0"/>
                <w:snapToGrid/>
                <w:color w:val="auto"/>
                <w:spacing w:val="0"/>
                <w:kern w:val="0"/>
                <w:position w:val="0"/>
                <w:sz w:val="24"/>
                <w:szCs w:val="24"/>
                <w:lang w:val="en-US" w:eastAsia="zh-CN"/>
              </w:rPr>
              <w:t>石蜡又称</w:t>
            </w:r>
            <w:r>
              <w:rPr>
                <w:rFonts w:hint="default" w:ascii="Times New Roman" w:hAnsi="Times New Roman" w:cs="Times New Roman"/>
                <w:b w:val="0"/>
                <w:bCs w:val="0"/>
                <w:snapToGrid/>
                <w:color w:val="auto"/>
                <w:spacing w:val="0"/>
                <w:kern w:val="0"/>
                <w:position w:val="0"/>
                <w:sz w:val="24"/>
                <w:szCs w:val="24"/>
                <w:lang w:val="en-US" w:eastAsia="zh-CN"/>
              </w:rPr>
              <w:t>晶</w:t>
            </w:r>
            <w:r>
              <w:rPr>
                <w:rFonts w:hint="default" w:ascii="Times New Roman" w:hAnsi="Times New Roman" w:eastAsia="宋体" w:cs="Times New Roman"/>
                <w:b w:val="0"/>
                <w:bCs w:val="0"/>
                <w:snapToGrid/>
                <w:color w:val="auto"/>
                <w:spacing w:val="0"/>
                <w:kern w:val="0"/>
                <w:position w:val="0"/>
                <w:sz w:val="24"/>
                <w:szCs w:val="24"/>
                <w:lang w:val="en-US" w:eastAsia="zh-CN"/>
              </w:rPr>
              <w:t>形蜡，是碳原子数约为18~30的烃类混合物，是矿物蜡的一种。其主要组分为直链烷烃</w:t>
            </w:r>
            <w:r>
              <w:rPr>
                <w:rFonts w:hint="eastAsia" w:ascii="Times New Roman" w:hAnsi="Times New Roman" w:cs="Times New Roman"/>
                <w:b w:val="0"/>
                <w:bCs w:val="0"/>
                <w:snapToGrid/>
                <w:color w:val="auto"/>
                <w:spacing w:val="0"/>
                <w:kern w:val="0"/>
                <w:position w:val="0"/>
                <w:sz w:val="24"/>
                <w:szCs w:val="24"/>
                <w:lang w:val="en-US" w:eastAsia="zh-CN"/>
              </w:rPr>
              <w:t>（</w:t>
            </w:r>
            <w:r>
              <w:rPr>
                <w:rFonts w:hint="default" w:ascii="Times New Roman" w:hAnsi="Times New Roman" w:eastAsia="宋体" w:cs="Times New Roman"/>
                <w:b w:val="0"/>
                <w:bCs w:val="0"/>
                <w:snapToGrid/>
                <w:color w:val="auto"/>
                <w:spacing w:val="0"/>
                <w:kern w:val="0"/>
                <w:position w:val="0"/>
                <w:sz w:val="24"/>
                <w:szCs w:val="24"/>
                <w:lang w:val="en-US" w:eastAsia="zh-CN"/>
              </w:rPr>
              <w:t>约为80%~95%</w:t>
            </w:r>
            <w:r>
              <w:rPr>
                <w:rFonts w:hint="eastAsia" w:ascii="Times New Roman" w:hAnsi="Times New Roman" w:cs="Times New Roman"/>
                <w:b w:val="0"/>
                <w:bCs w:val="0"/>
                <w:snapToGrid/>
                <w:color w:val="auto"/>
                <w:spacing w:val="0"/>
                <w:kern w:val="0"/>
                <w:position w:val="0"/>
                <w:sz w:val="24"/>
                <w:szCs w:val="24"/>
                <w:lang w:val="en-US" w:eastAsia="zh-CN"/>
              </w:rPr>
              <w:t>）</w:t>
            </w:r>
            <w:r>
              <w:rPr>
                <w:rFonts w:hint="default" w:ascii="Times New Roman" w:hAnsi="Times New Roman" w:eastAsia="宋体" w:cs="Times New Roman"/>
                <w:b w:val="0"/>
                <w:bCs w:val="0"/>
                <w:snapToGrid/>
                <w:color w:val="auto"/>
                <w:spacing w:val="0"/>
                <w:kern w:val="0"/>
                <w:position w:val="0"/>
                <w:sz w:val="24"/>
                <w:szCs w:val="24"/>
                <w:lang w:val="en-US" w:eastAsia="zh-CN"/>
              </w:rPr>
              <w:t>，还有少量带个别支链的烷烃和带长侧链的单环环烷烃</w:t>
            </w:r>
            <w:r>
              <w:rPr>
                <w:rFonts w:hint="eastAsia" w:ascii="Times New Roman" w:hAnsi="Times New Roman" w:cs="Times New Roman"/>
                <w:b w:val="0"/>
                <w:bCs w:val="0"/>
                <w:snapToGrid/>
                <w:color w:val="auto"/>
                <w:spacing w:val="0"/>
                <w:kern w:val="0"/>
                <w:position w:val="0"/>
                <w:sz w:val="24"/>
                <w:szCs w:val="24"/>
                <w:lang w:val="en-US" w:eastAsia="zh-CN"/>
              </w:rPr>
              <w:t>（</w:t>
            </w:r>
            <w:r>
              <w:rPr>
                <w:rFonts w:hint="default" w:ascii="Times New Roman" w:hAnsi="Times New Roman" w:eastAsia="宋体" w:cs="Times New Roman"/>
                <w:b w:val="0"/>
                <w:bCs w:val="0"/>
                <w:snapToGrid/>
                <w:color w:val="auto"/>
                <w:spacing w:val="0"/>
                <w:kern w:val="0"/>
                <w:position w:val="0"/>
                <w:sz w:val="24"/>
                <w:szCs w:val="24"/>
                <w:lang w:val="en-US" w:eastAsia="zh-CN"/>
              </w:rPr>
              <w:t>两者合计含量20%以下</w:t>
            </w:r>
            <w:r>
              <w:rPr>
                <w:rFonts w:hint="eastAsia" w:ascii="Times New Roman" w:hAnsi="Times New Roman" w:cs="Times New Roman"/>
                <w:b w:val="0"/>
                <w:bCs w:val="0"/>
                <w:snapToGrid/>
                <w:color w:val="auto"/>
                <w:spacing w:val="0"/>
                <w:kern w:val="0"/>
                <w:position w:val="0"/>
                <w:sz w:val="24"/>
                <w:szCs w:val="24"/>
                <w:lang w:val="en-US" w:eastAsia="zh-CN"/>
              </w:rPr>
              <w:t>）</w:t>
            </w:r>
            <w:r>
              <w:rPr>
                <w:rFonts w:hint="default" w:ascii="Times New Roman" w:hAnsi="Times New Roman" w:eastAsia="宋体" w:cs="Times New Roman"/>
                <w:b w:val="0"/>
                <w:bCs w:val="0"/>
                <w:snapToGrid/>
                <w:color w:val="auto"/>
                <w:spacing w:val="0"/>
                <w:kern w:val="0"/>
                <w:position w:val="0"/>
                <w:sz w:val="24"/>
                <w:szCs w:val="24"/>
                <w:lang w:val="en-US" w:eastAsia="zh-CN"/>
              </w:rPr>
              <w:t>。它是从原油蒸馏所得的润滑油馏分经溶剂精制、溶剂脱蜡或经蜡冷冻结</w:t>
            </w:r>
            <w:r>
              <w:rPr>
                <w:rFonts w:hint="eastAsia" w:ascii="Times New Roman" w:hAnsi="Times New Roman" w:cs="Times New Roman"/>
                <w:b w:val="0"/>
                <w:bCs w:val="0"/>
                <w:snapToGrid/>
                <w:color w:val="auto"/>
                <w:spacing w:val="0"/>
                <w:kern w:val="0"/>
                <w:position w:val="0"/>
                <w:sz w:val="24"/>
                <w:szCs w:val="24"/>
                <w:lang w:val="en-US" w:eastAsia="zh-CN"/>
              </w:rPr>
              <w:t>晶</w:t>
            </w:r>
            <w:r>
              <w:rPr>
                <w:rFonts w:hint="default" w:ascii="Times New Roman" w:hAnsi="Times New Roman" w:eastAsia="宋体" w:cs="Times New Roman"/>
                <w:b w:val="0"/>
                <w:bCs w:val="0"/>
                <w:snapToGrid/>
                <w:color w:val="auto"/>
                <w:spacing w:val="0"/>
                <w:kern w:val="0"/>
                <w:position w:val="0"/>
                <w:sz w:val="24"/>
                <w:szCs w:val="24"/>
                <w:lang w:val="en-US" w:eastAsia="zh-CN"/>
              </w:rPr>
              <w:t>、压榨脱蜡制得</w:t>
            </w:r>
            <w:r>
              <w:rPr>
                <w:rFonts w:hint="eastAsia" w:ascii="Times New Roman" w:hAnsi="Times New Roman" w:cs="Times New Roman"/>
                <w:b w:val="0"/>
                <w:bCs w:val="0"/>
                <w:snapToGrid/>
                <w:color w:val="auto"/>
                <w:spacing w:val="0"/>
                <w:kern w:val="0"/>
                <w:position w:val="0"/>
                <w:sz w:val="24"/>
                <w:szCs w:val="24"/>
                <w:lang w:val="en-US" w:eastAsia="zh-CN"/>
              </w:rPr>
              <w:t>蜡膏</w:t>
            </w:r>
            <w:r>
              <w:rPr>
                <w:rFonts w:hint="default" w:ascii="Times New Roman" w:hAnsi="Times New Roman" w:eastAsia="宋体" w:cs="Times New Roman"/>
                <w:b w:val="0"/>
                <w:bCs w:val="0"/>
                <w:snapToGrid/>
                <w:color w:val="auto"/>
                <w:spacing w:val="0"/>
                <w:kern w:val="0"/>
                <w:position w:val="0"/>
                <w:sz w:val="24"/>
                <w:szCs w:val="24"/>
                <w:lang w:val="en-US" w:eastAsia="zh-CN"/>
              </w:rPr>
              <w:t>，再经溶剂脱油、精制而得的片状或针状结</w:t>
            </w:r>
            <w:r>
              <w:rPr>
                <w:rFonts w:hint="eastAsia" w:ascii="Times New Roman" w:hAnsi="Times New Roman" w:cs="Times New Roman"/>
                <w:b w:val="0"/>
                <w:bCs w:val="0"/>
                <w:snapToGrid/>
                <w:color w:val="auto"/>
                <w:spacing w:val="0"/>
                <w:kern w:val="0"/>
                <w:position w:val="0"/>
                <w:sz w:val="24"/>
                <w:szCs w:val="24"/>
                <w:lang w:val="en-US" w:eastAsia="zh-CN"/>
              </w:rPr>
              <w:t>晶</w:t>
            </w:r>
            <w:r>
              <w:rPr>
                <w:rFonts w:hint="default" w:ascii="Times New Roman" w:hAnsi="Times New Roman" w:eastAsia="宋体" w:cs="Times New Roman"/>
                <w:b w:val="0"/>
                <w:bCs w:val="0"/>
                <w:snapToGrid/>
                <w:color w:val="auto"/>
                <w:spacing w:val="0"/>
                <w:kern w:val="0"/>
                <w:position w:val="0"/>
                <w:sz w:val="24"/>
                <w:szCs w:val="24"/>
                <w:lang w:val="en-US" w:eastAsia="zh-CN"/>
              </w:rPr>
              <w:t>。</w:t>
            </w:r>
          </w:p>
          <w:p w14:paraId="2C8A2CF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b w:val="0"/>
                <w:bCs w:val="0"/>
                <w:snapToGrid/>
                <w:color w:val="auto"/>
                <w:spacing w:val="0"/>
                <w:kern w:val="0"/>
                <w:position w:val="0"/>
                <w:sz w:val="24"/>
                <w:szCs w:val="24"/>
                <w:lang w:val="en-US" w:eastAsia="zh-CN"/>
              </w:rPr>
            </w:pPr>
            <w:r>
              <w:rPr>
                <w:rFonts w:hint="default" w:ascii="Times New Roman" w:hAnsi="Times New Roman" w:eastAsia="宋体" w:cs="Times New Roman"/>
                <w:b w:val="0"/>
                <w:bCs w:val="0"/>
                <w:snapToGrid/>
                <w:color w:val="auto"/>
                <w:spacing w:val="0"/>
                <w:kern w:val="0"/>
                <w:position w:val="0"/>
                <w:sz w:val="24"/>
                <w:szCs w:val="24"/>
                <w:lang w:val="en-US" w:eastAsia="zh-CN"/>
              </w:rPr>
              <w:t>物理性质</w:t>
            </w:r>
            <w:r>
              <w:rPr>
                <w:rFonts w:hint="eastAsia" w:ascii="Times New Roman" w:hAnsi="Times New Roman" w:cs="Times New Roman"/>
                <w:b w:val="0"/>
                <w:bCs w:val="0"/>
                <w:snapToGrid/>
                <w:color w:val="auto"/>
                <w:spacing w:val="0"/>
                <w:kern w:val="0"/>
                <w:position w:val="0"/>
                <w:sz w:val="24"/>
                <w:szCs w:val="24"/>
                <w:lang w:val="en-US" w:eastAsia="zh-CN"/>
              </w:rPr>
              <w:t>：</w:t>
            </w:r>
            <w:r>
              <w:rPr>
                <w:rFonts w:hint="default" w:ascii="Times New Roman" w:hAnsi="Times New Roman" w:eastAsia="宋体" w:cs="Times New Roman"/>
                <w:b w:val="0"/>
                <w:bCs w:val="0"/>
                <w:snapToGrid/>
                <w:color w:val="auto"/>
                <w:spacing w:val="0"/>
                <w:kern w:val="0"/>
                <w:position w:val="0"/>
                <w:sz w:val="24"/>
                <w:szCs w:val="24"/>
                <w:lang w:val="en-US" w:eastAsia="zh-CN"/>
              </w:rPr>
              <w:t>石蜡通常是白色、无色无味的蜡状固体，熔点在47℃-64℃，密度约0.9g/cm</w:t>
            </w:r>
            <w:r>
              <w:rPr>
                <w:rFonts w:hint="eastAsia" w:ascii="Times New Roman" w:hAnsi="Times New Roman" w:cs="Times New Roman"/>
                <w:b w:val="0"/>
                <w:bCs w:val="0"/>
                <w:snapToGrid/>
                <w:color w:val="auto"/>
                <w:spacing w:val="0"/>
                <w:kern w:val="0"/>
                <w:position w:val="0"/>
                <w:sz w:val="24"/>
                <w:szCs w:val="24"/>
                <w:vertAlign w:val="superscript"/>
                <w:lang w:val="en-US" w:eastAsia="zh-CN"/>
              </w:rPr>
              <w:t>3</w:t>
            </w:r>
            <w:r>
              <w:rPr>
                <w:rFonts w:hint="default" w:ascii="Times New Roman" w:hAnsi="Times New Roman" w:eastAsia="宋体" w:cs="Times New Roman"/>
                <w:b w:val="0"/>
                <w:bCs w:val="0"/>
                <w:snapToGrid/>
                <w:color w:val="auto"/>
                <w:spacing w:val="0"/>
                <w:kern w:val="0"/>
                <w:position w:val="0"/>
                <w:sz w:val="24"/>
                <w:szCs w:val="24"/>
                <w:lang w:val="en-US" w:eastAsia="zh-CN"/>
              </w:rPr>
              <w:t>。纯石蜡是很好的绝缘体，其电阻率为1013-1017欧姆·米，比除某些塑料</w:t>
            </w:r>
            <w:r>
              <w:rPr>
                <w:rFonts w:hint="eastAsia" w:cs="Times New Roman"/>
                <w:b w:val="0"/>
                <w:bCs w:val="0"/>
                <w:snapToGrid/>
                <w:color w:val="auto"/>
                <w:spacing w:val="0"/>
                <w:kern w:val="0"/>
                <w:position w:val="0"/>
                <w:sz w:val="24"/>
                <w:szCs w:val="24"/>
                <w:lang w:val="en-US" w:eastAsia="zh-CN"/>
              </w:rPr>
              <w:t>（</w:t>
            </w:r>
            <w:r>
              <w:rPr>
                <w:rFonts w:hint="default" w:ascii="Times New Roman" w:hAnsi="Times New Roman" w:eastAsia="宋体" w:cs="Times New Roman"/>
                <w:b w:val="0"/>
                <w:bCs w:val="0"/>
                <w:snapToGrid/>
                <w:color w:val="auto"/>
                <w:spacing w:val="0"/>
                <w:kern w:val="0"/>
                <w:position w:val="0"/>
                <w:sz w:val="24"/>
                <w:szCs w:val="24"/>
                <w:lang w:val="en-US" w:eastAsia="zh-CN"/>
              </w:rPr>
              <w:t>尤其是特富龙</w:t>
            </w:r>
            <w:r>
              <w:rPr>
                <w:rFonts w:hint="eastAsia" w:cs="Times New Roman"/>
                <w:b w:val="0"/>
                <w:bCs w:val="0"/>
                <w:snapToGrid/>
                <w:color w:val="auto"/>
                <w:spacing w:val="0"/>
                <w:kern w:val="0"/>
                <w:position w:val="0"/>
                <w:sz w:val="24"/>
                <w:szCs w:val="24"/>
                <w:lang w:val="en-US" w:eastAsia="zh-CN"/>
              </w:rPr>
              <w:t>）</w:t>
            </w:r>
            <w:r>
              <w:rPr>
                <w:rFonts w:hint="default" w:ascii="Times New Roman" w:hAnsi="Times New Roman" w:eastAsia="宋体" w:cs="Times New Roman"/>
                <w:b w:val="0"/>
                <w:bCs w:val="0"/>
                <w:snapToGrid/>
                <w:color w:val="auto"/>
                <w:spacing w:val="0"/>
                <w:kern w:val="0"/>
                <w:position w:val="0"/>
                <w:sz w:val="24"/>
                <w:szCs w:val="24"/>
                <w:lang w:val="en-US" w:eastAsia="zh-CN"/>
              </w:rPr>
              <w:t>外的大多数材料都要高。石蜡也是很好的储热材料</w:t>
            </w:r>
            <w:r>
              <w:rPr>
                <w:rFonts w:hint="eastAsia" w:cs="Times New Roman"/>
                <w:b w:val="0"/>
                <w:bCs w:val="0"/>
                <w:snapToGrid/>
                <w:color w:val="auto"/>
                <w:spacing w:val="0"/>
                <w:kern w:val="0"/>
                <w:position w:val="0"/>
                <w:sz w:val="24"/>
                <w:szCs w:val="24"/>
                <w:lang w:val="en-US" w:eastAsia="zh-CN"/>
              </w:rPr>
              <w:t>，</w:t>
            </w:r>
            <w:r>
              <w:rPr>
                <w:rFonts w:hint="default" w:ascii="Times New Roman" w:hAnsi="Times New Roman" w:eastAsia="宋体" w:cs="Times New Roman"/>
                <w:b w:val="0"/>
                <w:bCs w:val="0"/>
                <w:snapToGrid/>
                <w:color w:val="auto"/>
                <w:spacing w:val="0"/>
                <w:kern w:val="0"/>
                <w:position w:val="0"/>
                <w:sz w:val="24"/>
                <w:szCs w:val="24"/>
                <w:lang w:val="en-US" w:eastAsia="zh-CN"/>
              </w:rPr>
              <w:t>其比热容为2.14-2.9J/g.K</w:t>
            </w:r>
            <w:r>
              <w:rPr>
                <w:rFonts w:hint="eastAsia" w:cs="Times New Roman"/>
                <w:b w:val="0"/>
                <w:bCs w:val="0"/>
                <w:snapToGrid/>
                <w:color w:val="auto"/>
                <w:spacing w:val="0"/>
                <w:kern w:val="0"/>
                <w:position w:val="0"/>
                <w:sz w:val="24"/>
                <w:szCs w:val="24"/>
                <w:lang w:val="en-US" w:eastAsia="zh-CN"/>
              </w:rPr>
              <w:t>，</w:t>
            </w:r>
            <w:r>
              <w:rPr>
                <w:rFonts w:hint="default" w:ascii="Times New Roman" w:hAnsi="Times New Roman" w:eastAsia="宋体" w:cs="Times New Roman"/>
                <w:b w:val="0"/>
                <w:bCs w:val="0"/>
                <w:snapToGrid/>
                <w:color w:val="auto"/>
                <w:spacing w:val="0"/>
                <w:kern w:val="0"/>
                <w:position w:val="0"/>
                <w:sz w:val="24"/>
                <w:szCs w:val="24"/>
                <w:lang w:val="en-US" w:eastAsia="zh-CN"/>
              </w:rPr>
              <w:t>熔化热为200-220J/g。石蜡是蜡烛的主要成分。</w:t>
            </w:r>
          </w:p>
          <w:p w14:paraId="1C4DBF5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b w:val="0"/>
                <w:bCs w:val="0"/>
                <w:snapToGrid/>
                <w:color w:val="auto"/>
                <w:spacing w:val="0"/>
                <w:kern w:val="0"/>
                <w:position w:val="0"/>
                <w:sz w:val="24"/>
                <w:szCs w:val="24"/>
                <w:lang w:val="en-US" w:eastAsia="zh-CN"/>
              </w:rPr>
            </w:pPr>
            <w:r>
              <w:rPr>
                <w:rFonts w:hint="default" w:ascii="Times New Roman" w:hAnsi="Times New Roman" w:eastAsia="宋体" w:cs="Times New Roman"/>
                <w:b w:val="0"/>
                <w:bCs w:val="0"/>
                <w:snapToGrid/>
                <w:color w:val="auto"/>
                <w:spacing w:val="0"/>
                <w:kern w:val="0"/>
                <w:position w:val="0"/>
                <w:sz w:val="24"/>
                <w:szCs w:val="24"/>
                <w:lang w:val="en-US" w:eastAsia="zh-CN"/>
              </w:rPr>
              <w:t>化学性质</w:t>
            </w:r>
            <w:r>
              <w:rPr>
                <w:rFonts w:hint="eastAsia" w:cs="Times New Roman"/>
                <w:b w:val="0"/>
                <w:bCs w:val="0"/>
                <w:snapToGrid/>
                <w:color w:val="auto"/>
                <w:spacing w:val="0"/>
                <w:kern w:val="0"/>
                <w:position w:val="0"/>
                <w:sz w:val="24"/>
                <w:szCs w:val="24"/>
                <w:lang w:val="en-US" w:eastAsia="zh-CN"/>
              </w:rPr>
              <w:t>：</w:t>
            </w:r>
            <w:r>
              <w:rPr>
                <w:rFonts w:hint="default" w:ascii="Times New Roman" w:hAnsi="Times New Roman" w:eastAsia="宋体" w:cs="Times New Roman"/>
                <w:b w:val="0"/>
                <w:bCs w:val="0"/>
                <w:snapToGrid/>
                <w:color w:val="auto"/>
                <w:spacing w:val="0"/>
                <w:kern w:val="0"/>
                <w:position w:val="0"/>
                <w:sz w:val="24"/>
                <w:szCs w:val="24"/>
                <w:lang w:val="en-US" w:eastAsia="zh-CN"/>
              </w:rPr>
              <w:t>石蜡不溶于水，但可溶于醚、苯和某些酯中。石蜡不与常见的化学试剂反应，但可以燃烧。</w:t>
            </w:r>
          </w:p>
          <w:p w14:paraId="04F7F68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b w:val="0"/>
                <w:bCs w:val="0"/>
                <w:snapToGrid/>
                <w:color w:val="auto"/>
                <w:spacing w:val="0"/>
                <w:kern w:val="0"/>
                <w:position w:val="0"/>
                <w:sz w:val="24"/>
                <w:szCs w:val="24"/>
                <w:lang w:val="en-US" w:eastAsia="zh-CN"/>
              </w:rPr>
            </w:pPr>
            <w:r>
              <w:rPr>
                <w:rFonts w:hint="default" w:ascii="Times New Roman" w:hAnsi="Times New Roman" w:eastAsia="宋体" w:cs="Times New Roman"/>
                <w:b w:val="0"/>
                <w:bCs w:val="0"/>
                <w:snapToGrid/>
                <w:color w:val="auto"/>
                <w:spacing w:val="0"/>
                <w:kern w:val="0"/>
                <w:position w:val="0"/>
                <w:sz w:val="24"/>
                <w:szCs w:val="24"/>
                <w:lang w:val="en-US" w:eastAsia="zh-CN"/>
              </w:rPr>
              <w:t>液体石蜡是从原油分馏所得到的无色无味的混合物。液体石蜡的主要成分为 C16-C20正构烷烃。它可以分成轻质矿物油及一般矿物油两种</w:t>
            </w:r>
            <w:r>
              <w:rPr>
                <w:rFonts w:hint="eastAsia" w:cs="Times New Roman"/>
                <w:b w:val="0"/>
                <w:bCs w:val="0"/>
                <w:snapToGrid/>
                <w:color w:val="auto"/>
                <w:spacing w:val="0"/>
                <w:kern w:val="0"/>
                <w:position w:val="0"/>
                <w:sz w:val="24"/>
                <w:szCs w:val="24"/>
                <w:lang w:val="en-US" w:eastAsia="zh-CN"/>
              </w:rPr>
              <w:t>，</w:t>
            </w:r>
            <w:r>
              <w:rPr>
                <w:rFonts w:hint="default" w:ascii="Times New Roman" w:hAnsi="Times New Roman" w:eastAsia="宋体" w:cs="Times New Roman"/>
                <w:b w:val="0"/>
                <w:bCs w:val="0"/>
                <w:snapToGrid/>
                <w:color w:val="auto"/>
                <w:spacing w:val="0"/>
                <w:kern w:val="0"/>
                <w:position w:val="0"/>
                <w:sz w:val="24"/>
                <w:szCs w:val="24"/>
                <w:lang w:val="en-US" w:eastAsia="zh-CN"/>
              </w:rPr>
              <w:t>而轻质矿物油的比重及黏稠度较低。</w:t>
            </w:r>
          </w:p>
          <w:p w14:paraId="51E0C82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b w:val="0"/>
                <w:bCs w:val="0"/>
                <w:snapToGrid/>
                <w:color w:val="auto"/>
                <w:spacing w:val="0"/>
                <w:kern w:val="0"/>
                <w:position w:val="0"/>
                <w:sz w:val="24"/>
                <w:szCs w:val="24"/>
                <w:lang w:val="en-US" w:eastAsia="zh-CN"/>
              </w:rPr>
            </w:pPr>
            <w:r>
              <w:rPr>
                <w:rFonts w:hint="default" w:ascii="Times New Roman" w:hAnsi="Times New Roman" w:eastAsia="宋体" w:cs="Times New Roman"/>
                <w:b w:val="0"/>
                <w:bCs w:val="0"/>
                <w:snapToGrid/>
                <w:color w:val="auto"/>
                <w:spacing w:val="0"/>
                <w:kern w:val="0"/>
                <w:position w:val="0"/>
                <w:sz w:val="24"/>
                <w:szCs w:val="24"/>
                <w:lang w:val="en-US" w:eastAsia="zh-CN"/>
              </w:rPr>
              <w:t>液体石蜡性状为无色透明油状液体，在日光下观察不显荧光。室温下无嗅无味，加热后略有石油臭。</w:t>
            </w:r>
          </w:p>
          <w:p w14:paraId="547A739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Times New Roman"/>
                <w:b w:val="0"/>
                <w:bCs w:val="0"/>
                <w:snapToGrid/>
                <w:color w:val="auto"/>
                <w:spacing w:val="0"/>
                <w:kern w:val="0"/>
                <w:position w:val="0"/>
                <w:sz w:val="24"/>
                <w:szCs w:val="24"/>
                <w:lang w:val="en-US" w:eastAsia="zh-CN"/>
              </w:rPr>
            </w:pPr>
            <w:r>
              <w:rPr>
                <w:rFonts w:hint="default" w:ascii="Times New Roman" w:hAnsi="Times New Roman" w:eastAsia="宋体" w:cs="Times New Roman"/>
                <w:b w:val="0"/>
                <w:bCs w:val="0"/>
                <w:snapToGrid/>
                <w:color w:val="auto"/>
                <w:spacing w:val="0"/>
                <w:kern w:val="0"/>
                <w:position w:val="0"/>
                <w:sz w:val="24"/>
                <w:szCs w:val="24"/>
                <w:lang w:val="en-US" w:eastAsia="zh-CN"/>
              </w:rPr>
              <w:t>密度</w:t>
            </w:r>
            <w:r>
              <w:rPr>
                <w:rFonts w:hint="eastAsia" w:cs="Times New Roman"/>
                <w:b w:val="0"/>
                <w:bCs w:val="0"/>
                <w:snapToGrid/>
                <w:color w:val="auto"/>
                <w:spacing w:val="0"/>
                <w:kern w:val="0"/>
                <w:position w:val="0"/>
                <w:sz w:val="24"/>
                <w:szCs w:val="24"/>
                <w:lang w:val="en-US" w:eastAsia="zh-CN"/>
              </w:rPr>
              <w:t>（</w:t>
            </w:r>
            <w:r>
              <w:rPr>
                <w:rFonts w:hint="default" w:ascii="Times New Roman" w:hAnsi="Times New Roman" w:eastAsia="宋体" w:cs="Times New Roman"/>
                <w:b w:val="0"/>
                <w:bCs w:val="0"/>
                <w:snapToGrid/>
                <w:color w:val="auto"/>
                <w:spacing w:val="0"/>
                <w:kern w:val="0"/>
                <w:position w:val="0"/>
                <w:sz w:val="24"/>
                <w:szCs w:val="24"/>
                <w:lang w:val="en-US" w:eastAsia="zh-CN"/>
              </w:rPr>
              <w:t>比重</w:t>
            </w:r>
            <w:r>
              <w:rPr>
                <w:rFonts w:hint="eastAsia" w:cs="Times New Roman"/>
                <w:b w:val="0"/>
                <w:bCs w:val="0"/>
                <w:snapToGrid/>
                <w:color w:val="auto"/>
                <w:spacing w:val="0"/>
                <w:kern w:val="0"/>
                <w:position w:val="0"/>
                <w:sz w:val="24"/>
                <w:szCs w:val="24"/>
                <w:lang w:val="en-US" w:eastAsia="zh-CN"/>
              </w:rPr>
              <w:t>）：</w:t>
            </w:r>
            <w:r>
              <w:rPr>
                <w:rFonts w:hint="default" w:ascii="Times New Roman" w:hAnsi="Times New Roman" w:eastAsia="宋体" w:cs="Times New Roman"/>
                <w:b w:val="0"/>
                <w:bCs w:val="0"/>
                <w:snapToGrid/>
                <w:color w:val="auto"/>
                <w:spacing w:val="0"/>
                <w:kern w:val="0"/>
                <w:position w:val="0"/>
                <w:sz w:val="24"/>
                <w:szCs w:val="24"/>
                <w:lang w:val="en-US" w:eastAsia="zh-CN"/>
              </w:rPr>
              <w:t>0.86-0.905</w:t>
            </w:r>
            <w:r>
              <w:rPr>
                <w:rFonts w:hint="eastAsia" w:cs="Times New Roman"/>
                <w:b w:val="0"/>
                <w:bCs w:val="0"/>
                <w:snapToGrid/>
                <w:color w:val="auto"/>
                <w:spacing w:val="0"/>
                <w:kern w:val="0"/>
                <w:position w:val="0"/>
                <w:sz w:val="24"/>
                <w:szCs w:val="24"/>
                <w:lang w:val="en-US" w:eastAsia="zh-CN"/>
              </w:rPr>
              <w:t>（</w:t>
            </w:r>
            <w:r>
              <w:rPr>
                <w:rFonts w:hint="default" w:ascii="Times New Roman" w:hAnsi="Times New Roman" w:eastAsia="宋体" w:cs="Times New Roman"/>
                <w:b w:val="0"/>
                <w:bCs w:val="0"/>
                <w:snapToGrid/>
                <w:color w:val="auto"/>
                <w:spacing w:val="0"/>
                <w:kern w:val="0"/>
                <w:position w:val="0"/>
                <w:sz w:val="24"/>
                <w:szCs w:val="24"/>
                <w:lang w:val="en-US" w:eastAsia="zh-CN"/>
              </w:rPr>
              <w:t>25度</w:t>
            </w:r>
            <w:r>
              <w:rPr>
                <w:rFonts w:hint="eastAsia" w:cs="Times New Roman"/>
                <w:b w:val="0"/>
                <w:bCs w:val="0"/>
                <w:snapToGrid/>
                <w:color w:val="auto"/>
                <w:spacing w:val="0"/>
                <w:kern w:val="0"/>
                <w:position w:val="0"/>
                <w:sz w:val="24"/>
                <w:szCs w:val="24"/>
                <w:lang w:val="en-US" w:eastAsia="zh-CN"/>
              </w:rPr>
              <w:t>）。</w:t>
            </w:r>
          </w:p>
          <w:p w14:paraId="21B8359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b w:val="0"/>
                <w:bCs w:val="0"/>
                <w:snapToGrid/>
                <w:color w:val="auto"/>
                <w:spacing w:val="0"/>
                <w:kern w:val="0"/>
                <w:position w:val="0"/>
                <w:sz w:val="24"/>
                <w:szCs w:val="24"/>
                <w:lang w:val="en-US" w:eastAsia="zh-CN"/>
              </w:rPr>
            </w:pPr>
            <w:r>
              <w:rPr>
                <w:rFonts w:hint="default" w:ascii="Times New Roman" w:hAnsi="Times New Roman" w:eastAsia="宋体" w:cs="Times New Roman"/>
                <w:b w:val="0"/>
                <w:bCs w:val="0"/>
                <w:snapToGrid/>
                <w:color w:val="auto"/>
                <w:spacing w:val="0"/>
                <w:kern w:val="0"/>
                <w:position w:val="0"/>
                <w:sz w:val="24"/>
                <w:szCs w:val="24"/>
                <w:lang w:val="en-US" w:eastAsia="zh-CN"/>
              </w:rPr>
              <w:t>不溶于水、甘油、</w:t>
            </w:r>
            <w:r>
              <w:rPr>
                <w:rFonts w:hint="eastAsia" w:cs="Times New Roman"/>
                <w:b w:val="0"/>
                <w:bCs w:val="0"/>
                <w:snapToGrid/>
                <w:color w:val="auto"/>
                <w:spacing w:val="0"/>
                <w:kern w:val="0"/>
                <w:position w:val="0"/>
                <w:sz w:val="24"/>
                <w:szCs w:val="24"/>
                <w:lang w:val="en-US" w:eastAsia="zh-CN"/>
              </w:rPr>
              <w:t>冷</w:t>
            </w:r>
            <w:r>
              <w:rPr>
                <w:rFonts w:hint="default" w:ascii="Times New Roman" w:hAnsi="Times New Roman" w:eastAsia="宋体" w:cs="Times New Roman"/>
                <w:b w:val="0"/>
                <w:bCs w:val="0"/>
                <w:snapToGrid/>
                <w:color w:val="auto"/>
                <w:spacing w:val="0"/>
                <w:kern w:val="0"/>
                <w:position w:val="0"/>
                <w:sz w:val="24"/>
                <w:szCs w:val="24"/>
                <w:lang w:val="en-US" w:eastAsia="zh-CN"/>
              </w:rPr>
              <w:t>乙醇。溶于</w:t>
            </w:r>
            <w:r>
              <w:rPr>
                <w:rFonts w:hint="eastAsia" w:cs="Times New Roman"/>
                <w:b w:val="0"/>
                <w:bCs w:val="0"/>
                <w:snapToGrid/>
                <w:color w:val="auto"/>
                <w:spacing w:val="0"/>
                <w:kern w:val="0"/>
                <w:position w:val="0"/>
                <w:sz w:val="24"/>
                <w:szCs w:val="24"/>
                <w:lang w:val="en-US" w:eastAsia="zh-CN"/>
              </w:rPr>
              <w:t>苯</w:t>
            </w:r>
            <w:r>
              <w:rPr>
                <w:rFonts w:hint="default" w:ascii="Times New Roman" w:hAnsi="Times New Roman" w:eastAsia="宋体" w:cs="Times New Roman"/>
                <w:b w:val="0"/>
                <w:bCs w:val="0"/>
                <w:snapToGrid/>
                <w:color w:val="auto"/>
                <w:spacing w:val="0"/>
                <w:kern w:val="0"/>
                <w:position w:val="0"/>
                <w:sz w:val="24"/>
                <w:szCs w:val="24"/>
                <w:lang w:val="en-US" w:eastAsia="zh-CN"/>
              </w:rPr>
              <w:t>、乙醚、氯仿、二硫化碳、热乙醇。与除蓖麻油外大多数脂肪油能任意混合，樟脑、薄荷脑及大多数天然或人造麝香均能被溶解。</w:t>
            </w:r>
          </w:p>
          <w:p w14:paraId="2F58F27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③</w:t>
            </w:r>
            <w:r>
              <w:rPr>
                <w:rFonts w:hint="default" w:ascii="Times New Roman" w:hAnsi="Times New Roman" w:cs="Times New Roman"/>
                <w:b w:val="0"/>
                <w:bCs w:val="0"/>
                <w:color w:val="auto"/>
                <w:sz w:val="24"/>
                <w:szCs w:val="24"/>
                <w:lang w:val="en-US" w:eastAsia="zh-CN"/>
              </w:rPr>
              <w:t>塑粉</w:t>
            </w:r>
          </w:p>
          <w:p w14:paraId="3A3D376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b w:val="0"/>
                <w:bCs w:val="0"/>
                <w:snapToGrid/>
                <w:color w:val="auto"/>
                <w:spacing w:val="0"/>
                <w:kern w:val="0"/>
                <w:position w:val="0"/>
                <w:sz w:val="24"/>
                <w:szCs w:val="24"/>
                <w:vertAlign w:val="baseline"/>
                <w:lang w:val="en-US" w:eastAsia="zh-CN"/>
              </w:rPr>
            </w:pPr>
            <w:r>
              <w:rPr>
                <w:rFonts w:hint="eastAsia"/>
                <w:b w:val="0"/>
                <w:bCs w:val="0"/>
                <w:snapToGrid/>
                <w:color w:val="auto"/>
                <w:spacing w:val="0"/>
                <w:kern w:val="0"/>
                <w:position w:val="0"/>
                <w:sz w:val="24"/>
                <w:szCs w:val="24"/>
                <w:vertAlign w:val="baseline"/>
                <w:lang w:val="en-US" w:eastAsia="zh-CN"/>
              </w:rPr>
              <w:t>热固性粉末涂料（塑粉）指的是一种新型的不含溶剂100%固体粉末状涂料。由热固性树脂、固化剂、颜料、填料和助剂等组成。涂装施工则需要静电喷涂和烘烤成膜。具有无溶剂、无污染、可回收、环保、节能源和资源、减轻劳动强度和涂膜机械强度高等特点。</w:t>
            </w:r>
          </w:p>
          <w:p w14:paraId="681692D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b w:val="0"/>
                <w:bCs w:val="0"/>
                <w:snapToGrid/>
                <w:color w:val="auto"/>
                <w:spacing w:val="0"/>
                <w:kern w:val="0"/>
                <w:position w:val="0"/>
                <w:sz w:val="24"/>
                <w:szCs w:val="24"/>
                <w:lang w:val="en-US" w:eastAsia="zh-CN"/>
              </w:rPr>
            </w:pPr>
            <w:r>
              <w:rPr>
                <w:rFonts w:hint="eastAsia" w:ascii="宋体" w:hAnsi="宋体" w:eastAsia="宋体" w:cs="宋体"/>
                <w:b w:val="0"/>
                <w:bCs w:val="0"/>
                <w:snapToGrid/>
                <w:color w:val="auto"/>
                <w:spacing w:val="0"/>
                <w:kern w:val="0"/>
                <w:position w:val="0"/>
                <w:sz w:val="24"/>
                <w:szCs w:val="24"/>
                <w:lang w:val="en-US" w:eastAsia="zh-CN"/>
              </w:rPr>
              <w:t>④</w:t>
            </w:r>
            <w:r>
              <w:rPr>
                <w:rFonts w:hint="default" w:ascii="Times New Roman" w:hAnsi="Times New Roman" w:eastAsia="宋体" w:cs="Times New Roman"/>
                <w:b w:val="0"/>
                <w:bCs w:val="0"/>
                <w:snapToGrid/>
                <w:color w:val="auto"/>
                <w:spacing w:val="0"/>
                <w:kern w:val="0"/>
                <w:position w:val="0"/>
                <w:sz w:val="24"/>
                <w:szCs w:val="24"/>
                <w:lang w:val="en-US" w:eastAsia="zh-CN"/>
              </w:rPr>
              <w:t>液氨</w:t>
            </w:r>
          </w:p>
          <w:p w14:paraId="1A868B4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b w:val="0"/>
                <w:bCs w:val="0"/>
                <w:snapToGrid/>
                <w:color w:val="auto"/>
                <w:spacing w:val="0"/>
                <w:kern w:val="0"/>
                <w:position w:val="0"/>
                <w:sz w:val="24"/>
                <w:szCs w:val="24"/>
                <w:lang w:val="en-US" w:eastAsia="zh-CN"/>
              </w:rPr>
            </w:pPr>
            <w:r>
              <w:rPr>
                <w:rFonts w:hint="default" w:ascii="Times New Roman" w:hAnsi="Times New Roman" w:eastAsia="宋体" w:cs="Times New Roman"/>
                <w:b w:val="0"/>
                <w:bCs w:val="0"/>
                <w:snapToGrid/>
                <w:color w:val="auto"/>
                <w:spacing w:val="0"/>
                <w:kern w:val="0"/>
                <w:position w:val="0"/>
                <w:sz w:val="24"/>
                <w:szCs w:val="24"/>
                <w:lang w:val="en-US" w:eastAsia="zh-CN"/>
              </w:rPr>
              <w:t>液氨，又称为无水氨，是一种无色液体，有强烈刺激性气味。氨作为一种重要的化工原料，为运输及储存便利，通常将气态的氨气通过加压或冷却得到液态。氨易溶于水，溶于水后形成铵根离子NH</w:t>
            </w:r>
            <w:r>
              <w:rPr>
                <w:rFonts w:hint="default" w:ascii="Times New Roman" w:hAnsi="Times New Roman" w:eastAsia="宋体" w:cs="Times New Roman"/>
                <w:b w:val="0"/>
                <w:bCs w:val="0"/>
                <w:snapToGrid/>
                <w:color w:val="auto"/>
                <w:spacing w:val="0"/>
                <w:kern w:val="0"/>
                <w:position w:val="0"/>
                <w:sz w:val="24"/>
                <w:szCs w:val="24"/>
                <w:vertAlign w:val="subscript"/>
                <w:lang w:val="en-US" w:eastAsia="zh-CN"/>
              </w:rPr>
              <w:t>4</w:t>
            </w:r>
            <w:r>
              <w:rPr>
                <w:rFonts w:hint="default" w:ascii="Times New Roman" w:hAnsi="Times New Roman" w:eastAsia="宋体" w:cs="Times New Roman"/>
                <w:b w:val="0"/>
                <w:bCs w:val="0"/>
                <w:snapToGrid/>
                <w:color w:val="auto"/>
                <w:spacing w:val="0"/>
                <w:kern w:val="0"/>
                <w:position w:val="0"/>
                <w:sz w:val="24"/>
                <w:szCs w:val="24"/>
                <w:vertAlign w:val="superscript"/>
                <w:lang w:val="en-US" w:eastAsia="zh-CN"/>
              </w:rPr>
              <w:t>+</w:t>
            </w:r>
            <w:r>
              <w:rPr>
                <w:rFonts w:hint="default" w:ascii="Times New Roman" w:hAnsi="Times New Roman" w:eastAsia="宋体" w:cs="Times New Roman"/>
                <w:b w:val="0"/>
                <w:bCs w:val="0"/>
                <w:snapToGrid/>
                <w:color w:val="auto"/>
                <w:spacing w:val="0"/>
                <w:kern w:val="0"/>
                <w:position w:val="0"/>
                <w:sz w:val="24"/>
                <w:szCs w:val="24"/>
                <w:lang w:val="en-US" w:eastAsia="zh-CN"/>
              </w:rPr>
              <w:t>、氢氧根离子OH</w:t>
            </w:r>
            <w:r>
              <w:rPr>
                <w:rFonts w:hint="default" w:ascii="Times New Roman" w:hAnsi="Times New Roman" w:eastAsia="宋体" w:cs="Times New Roman"/>
                <w:b w:val="0"/>
                <w:bCs w:val="0"/>
                <w:snapToGrid/>
                <w:color w:val="auto"/>
                <w:spacing w:val="0"/>
                <w:kern w:val="0"/>
                <w:position w:val="0"/>
                <w:sz w:val="24"/>
                <w:szCs w:val="24"/>
                <w:vertAlign w:val="superscript"/>
                <w:lang w:val="en-US" w:eastAsia="zh-CN"/>
              </w:rPr>
              <w:t>-</w:t>
            </w:r>
            <w:r>
              <w:rPr>
                <w:rFonts w:hint="default" w:ascii="Times New Roman" w:hAnsi="Times New Roman" w:eastAsia="宋体" w:cs="Times New Roman"/>
                <w:b w:val="0"/>
                <w:bCs w:val="0"/>
                <w:snapToGrid/>
                <w:color w:val="auto"/>
                <w:spacing w:val="0"/>
                <w:kern w:val="0"/>
                <w:position w:val="0"/>
                <w:sz w:val="24"/>
                <w:szCs w:val="24"/>
                <w:lang w:val="en-US" w:eastAsia="zh-CN"/>
              </w:rPr>
              <w:t>，呈碱性的碱性溶液。液氨多储于耐压钢瓶或钢槽中，且不能与乙醛、丙烯醛、硼等物质共存。液氨在工业上应用广泛，具有腐蚀性且容易挥发，所以其化学事故发生率很高。</w:t>
            </w:r>
          </w:p>
          <w:p w14:paraId="2D3BE78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Times New Roman"/>
                <w:b w:val="0"/>
                <w:bCs w:val="0"/>
                <w:snapToGrid/>
                <w:color w:val="auto"/>
                <w:spacing w:val="0"/>
                <w:kern w:val="0"/>
                <w:position w:val="0"/>
                <w:sz w:val="24"/>
                <w:szCs w:val="24"/>
                <w:lang w:val="en-US" w:eastAsia="zh-CN"/>
              </w:rPr>
            </w:pPr>
            <w:r>
              <w:rPr>
                <w:rFonts w:hint="default" w:ascii="Times New Roman" w:hAnsi="Times New Roman" w:eastAsia="宋体" w:cs="Times New Roman"/>
                <w:b w:val="0"/>
                <w:bCs w:val="0"/>
                <w:snapToGrid/>
                <w:color w:val="auto"/>
                <w:spacing w:val="0"/>
                <w:kern w:val="0"/>
                <w:position w:val="0"/>
                <w:sz w:val="24"/>
                <w:szCs w:val="24"/>
                <w:lang w:val="en-US" w:eastAsia="zh-CN"/>
              </w:rPr>
              <w:t>理化性质</w:t>
            </w:r>
            <w:r>
              <w:rPr>
                <w:rFonts w:hint="eastAsia" w:cs="Times New Roman"/>
                <w:b w:val="0"/>
                <w:bCs w:val="0"/>
                <w:snapToGrid/>
                <w:color w:val="auto"/>
                <w:spacing w:val="0"/>
                <w:kern w:val="0"/>
                <w:position w:val="0"/>
                <w:sz w:val="24"/>
                <w:szCs w:val="24"/>
                <w:lang w:val="en-US" w:eastAsia="zh-CN"/>
              </w:rPr>
              <w:t>：分子式：NH</w:t>
            </w:r>
            <w:r>
              <w:rPr>
                <w:rFonts w:hint="eastAsia" w:cs="Times New Roman"/>
                <w:b w:val="0"/>
                <w:bCs w:val="0"/>
                <w:snapToGrid/>
                <w:color w:val="auto"/>
                <w:spacing w:val="0"/>
                <w:kern w:val="0"/>
                <w:position w:val="0"/>
                <w:sz w:val="24"/>
                <w:szCs w:val="24"/>
                <w:vertAlign w:val="subscript"/>
                <w:lang w:val="en-US" w:eastAsia="zh-CN"/>
              </w:rPr>
              <w:t>3</w:t>
            </w:r>
          </w:p>
          <w:p w14:paraId="0714F271">
            <w:pPr>
              <w:keepNext w:val="0"/>
              <w:keepLines w:val="0"/>
              <w:pageBreakBefore w:val="0"/>
              <w:widowControl w:val="0"/>
              <w:kinsoku/>
              <w:wordWrap/>
              <w:overflowPunct/>
              <w:topLinePunct w:val="0"/>
              <w:autoSpaceDE/>
              <w:autoSpaceDN/>
              <w:bidi w:val="0"/>
              <w:adjustRightInd/>
              <w:snapToGrid w:val="0"/>
              <w:spacing w:line="360" w:lineRule="auto"/>
              <w:ind w:firstLine="1680" w:firstLineChars="700"/>
              <w:textAlignment w:val="auto"/>
              <w:rPr>
                <w:rFonts w:hint="eastAsia" w:cs="Times New Roman"/>
                <w:b w:val="0"/>
                <w:bCs w:val="0"/>
                <w:snapToGrid/>
                <w:color w:val="auto"/>
                <w:spacing w:val="0"/>
                <w:kern w:val="0"/>
                <w:position w:val="0"/>
                <w:sz w:val="24"/>
                <w:szCs w:val="24"/>
                <w:lang w:val="en-US" w:eastAsia="zh-CN"/>
              </w:rPr>
            </w:pPr>
            <w:r>
              <w:rPr>
                <w:rFonts w:hint="eastAsia" w:cs="Times New Roman"/>
                <w:b w:val="0"/>
                <w:bCs w:val="0"/>
                <w:snapToGrid/>
                <w:color w:val="auto"/>
                <w:spacing w:val="0"/>
                <w:kern w:val="0"/>
                <w:position w:val="0"/>
                <w:sz w:val="24"/>
                <w:szCs w:val="24"/>
                <w:lang w:val="en-US" w:eastAsia="zh-CN"/>
              </w:rPr>
              <w:t>分子量：17.04</w:t>
            </w:r>
          </w:p>
          <w:p w14:paraId="2A9F95A7">
            <w:pPr>
              <w:keepNext w:val="0"/>
              <w:keepLines w:val="0"/>
              <w:pageBreakBefore w:val="0"/>
              <w:widowControl w:val="0"/>
              <w:kinsoku/>
              <w:wordWrap/>
              <w:overflowPunct/>
              <w:topLinePunct w:val="0"/>
              <w:autoSpaceDE/>
              <w:autoSpaceDN/>
              <w:bidi w:val="0"/>
              <w:adjustRightInd/>
              <w:snapToGrid w:val="0"/>
              <w:spacing w:line="360" w:lineRule="auto"/>
              <w:ind w:firstLine="1680" w:firstLineChars="700"/>
              <w:textAlignment w:val="auto"/>
              <w:rPr>
                <w:rFonts w:hint="eastAsia" w:cs="Times New Roman"/>
                <w:b w:val="0"/>
                <w:bCs w:val="0"/>
                <w:snapToGrid/>
                <w:color w:val="auto"/>
                <w:spacing w:val="0"/>
                <w:kern w:val="0"/>
                <w:position w:val="0"/>
                <w:sz w:val="24"/>
                <w:szCs w:val="24"/>
                <w:lang w:val="en-US" w:eastAsia="zh-CN"/>
              </w:rPr>
            </w:pPr>
            <w:r>
              <w:rPr>
                <w:rFonts w:hint="eastAsia" w:cs="Times New Roman"/>
                <w:b w:val="0"/>
                <w:bCs w:val="0"/>
                <w:snapToGrid/>
                <w:color w:val="auto"/>
                <w:spacing w:val="0"/>
                <w:kern w:val="0"/>
                <w:position w:val="0"/>
                <w:sz w:val="24"/>
                <w:szCs w:val="24"/>
                <w:lang w:val="en-US" w:eastAsia="zh-CN"/>
              </w:rPr>
              <w:t>气氨相对密度（空气=1）：0.59</w:t>
            </w:r>
          </w:p>
          <w:p w14:paraId="03CBB528">
            <w:pPr>
              <w:keepNext w:val="0"/>
              <w:keepLines w:val="0"/>
              <w:pageBreakBefore w:val="0"/>
              <w:widowControl w:val="0"/>
              <w:kinsoku/>
              <w:wordWrap/>
              <w:overflowPunct/>
              <w:topLinePunct w:val="0"/>
              <w:autoSpaceDE/>
              <w:autoSpaceDN/>
              <w:bidi w:val="0"/>
              <w:adjustRightInd/>
              <w:snapToGrid w:val="0"/>
              <w:spacing w:line="360" w:lineRule="auto"/>
              <w:ind w:firstLine="1680" w:firstLineChars="700"/>
              <w:textAlignment w:val="auto"/>
              <w:rPr>
                <w:rFonts w:hint="eastAsia" w:cs="Times New Roman"/>
                <w:b w:val="0"/>
                <w:bCs w:val="0"/>
                <w:snapToGrid/>
                <w:color w:val="auto"/>
                <w:spacing w:val="0"/>
                <w:kern w:val="0"/>
                <w:position w:val="0"/>
                <w:sz w:val="24"/>
                <w:szCs w:val="24"/>
                <w:lang w:val="en-US" w:eastAsia="zh-CN"/>
              </w:rPr>
            </w:pPr>
            <w:r>
              <w:rPr>
                <w:rFonts w:hint="eastAsia" w:cs="Times New Roman"/>
                <w:b w:val="0"/>
                <w:bCs w:val="0"/>
                <w:snapToGrid/>
                <w:color w:val="auto"/>
                <w:spacing w:val="0"/>
                <w:kern w:val="0"/>
                <w:position w:val="0"/>
                <w:sz w:val="24"/>
                <w:szCs w:val="24"/>
                <w:lang w:val="en-US" w:eastAsia="zh-CN"/>
              </w:rPr>
              <w:t>液氨相对密度（水=1）：0.602824（25℃）</w:t>
            </w:r>
          </w:p>
          <w:p w14:paraId="4726CDDD">
            <w:pPr>
              <w:keepNext w:val="0"/>
              <w:keepLines w:val="0"/>
              <w:pageBreakBefore w:val="0"/>
              <w:widowControl w:val="0"/>
              <w:kinsoku/>
              <w:wordWrap/>
              <w:overflowPunct/>
              <w:topLinePunct w:val="0"/>
              <w:autoSpaceDE/>
              <w:autoSpaceDN/>
              <w:bidi w:val="0"/>
              <w:adjustRightInd/>
              <w:snapToGrid w:val="0"/>
              <w:spacing w:line="360" w:lineRule="auto"/>
              <w:ind w:firstLine="1680" w:firstLineChars="700"/>
              <w:textAlignment w:val="auto"/>
              <w:rPr>
                <w:rFonts w:hint="eastAsia" w:cs="Times New Roman"/>
                <w:b w:val="0"/>
                <w:bCs w:val="0"/>
                <w:snapToGrid/>
                <w:color w:val="auto"/>
                <w:spacing w:val="0"/>
                <w:kern w:val="0"/>
                <w:position w:val="0"/>
                <w:sz w:val="24"/>
                <w:szCs w:val="24"/>
                <w:lang w:val="en-US" w:eastAsia="zh-CN"/>
              </w:rPr>
            </w:pPr>
            <w:r>
              <w:rPr>
                <w:rFonts w:hint="eastAsia" w:cs="Times New Roman"/>
                <w:b w:val="0"/>
                <w:bCs w:val="0"/>
                <w:snapToGrid/>
                <w:color w:val="auto"/>
                <w:spacing w:val="0"/>
                <w:kern w:val="0"/>
                <w:position w:val="0"/>
                <w:sz w:val="24"/>
                <w:szCs w:val="24"/>
                <w:lang w:val="en-US" w:eastAsia="zh-CN"/>
              </w:rPr>
              <w:t>熔点（℃）：-77.7，沸点（℃）：-33.42</w:t>
            </w:r>
          </w:p>
          <w:p w14:paraId="73AD0F42">
            <w:pPr>
              <w:keepNext w:val="0"/>
              <w:keepLines w:val="0"/>
              <w:pageBreakBefore w:val="0"/>
              <w:widowControl w:val="0"/>
              <w:kinsoku/>
              <w:wordWrap/>
              <w:overflowPunct/>
              <w:topLinePunct w:val="0"/>
              <w:autoSpaceDE/>
              <w:autoSpaceDN/>
              <w:bidi w:val="0"/>
              <w:adjustRightInd/>
              <w:snapToGrid w:val="0"/>
              <w:spacing w:line="360" w:lineRule="auto"/>
              <w:ind w:firstLine="1680" w:firstLineChars="700"/>
              <w:textAlignment w:val="auto"/>
              <w:rPr>
                <w:rFonts w:hint="eastAsia" w:cs="Times New Roman"/>
                <w:b w:val="0"/>
                <w:bCs w:val="0"/>
                <w:snapToGrid/>
                <w:color w:val="auto"/>
                <w:spacing w:val="0"/>
                <w:kern w:val="0"/>
                <w:position w:val="0"/>
                <w:sz w:val="24"/>
                <w:szCs w:val="24"/>
                <w:lang w:val="en-US" w:eastAsia="zh-CN"/>
              </w:rPr>
            </w:pPr>
            <w:r>
              <w:rPr>
                <w:rFonts w:hint="eastAsia" w:cs="Times New Roman"/>
                <w:b w:val="0"/>
                <w:bCs w:val="0"/>
                <w:snapToGrid/>
                <w:color w:val="auto"/>
                <w:spacing w:val="0"/>
                <w:kern w:val="0"/>
                <w:position w:val="0"/>
                <w:sz w:val="24"/>
                <w:szCs w:val="24"/>
                <w:lang w:val="en-US" w:eastAsia="zh-CN"/>
              </w:rPr>
              <w:t>水溶液pH值：11.7</w:t>
            </w:r>
          </w:p>
          <w:p w14:paraId="0B2B74C8">
            <w:pPr>
              <w:keepNext w:val="0"/>
              <w:keepLines w:val="0"/>
              <w:pageBreakBefore w:val="0"/>
              <w:widowControl w:val="0"/>
              <w:kinsoku/>
              <w:wordWrap/>
              <w:overflowPunct/>
              <w:topLinePunct w:val="0"/>
              <w:autoSpaceDE/>
              <w:autoSpaceDN/>
              <w:bidi w:val="0"/>
              <w:adjustRightInd/>
              <w:snapToGrid w:val="0"/>
              <w:spacing w:line="360" w:lineRule="auto"/>
              <w:ind w:firstLine="1680" w:firstLineChars="700"/>
              <w:textAlignment w:val="auto"/>
              <w:rPr>
                <w:rFonts w:hint="eastAsia" w:cs="Times New Roman"/>
                <w:b w:val="0"/>
                <w:bCs w:val="0"/>
                <w:snapToGrid/>
                <w:color w:val="auto"/>
                <w:spacing w:val="0"/>
                <w:kern w:val="0"/>
                <w:position w:val="0"/>
                <w:sz w:val="24"/>
                <w:szCs w:val="24"/>
                <w:lang w:val="en-US" w:eastAsia="zh-CN"/>
              </w:rPr>
            </w:pPr>
            <w:r>
              <w:rPr>
                <w:rFonts w:hint="eastAsia" w:cs="Times New Roman"/>
                <w:b w:val="0"/>
                <w:bCs w:val="0"/>
                <w:snapToGrid/>
                <w:color w:val="auto"/>
                <w:spacing w:val="0"/>
                <w:kern w:val="0"/>
                <w:position w:val="0"/>
                <w:sz w:val="24"/>
                <w:szCs w:val="24"/>
                <w:lang w:val="en-US" w:eastAsia="zh-CN"/>
              </w:rPr>
              <w:t>自燃点：651.11℃</w:t>
            </w:r>
          </w:p>
          <w:p w14:paraId="014C9204">
            <w:pPr>
              <w:keepNext w:val="0"/>
              <w:keepLines w:val="0"/>
              <w:pageBreakBefore w:val="0"/>
              <w:widowControl w:val="0"/>
              <w:kinsoku/>
              <w:wordWrap/>
              <w:overflowPunct/>
              <w:topLinePunct w:val="0"/>
              <w:autoSpaceDE/>
              <w:autoSpaceDN/>
              <w:bidi w:val="0"/>
              <w:adjustRightInd/>
              <w:snapToGrid w:val="0"/>
              <w:spacing w:line="360" w:lineRule="auto"/>
              <w:ind w:firstLine="1680" w:firstLineChars="700"/>
              <w:textAlignment w:val="auto"/>
              <w:rPr>
                <w:rFonts w:hint="eastAsia" w:cs="Times New Roman"/>
                <w:b w:val="0"/>
                <w:bCs w:val="0"/>
                <w:snapToGrid/>
                <w:color w:val="auto"/>
                <w:spacing w:val="0"/>
                <w:kern w:val="0"/>
                <w:position w:val="0"/>
                <w:sz w:val="24"/>
                <w:szCs w:val="24"/>
                <w:lang w:val="en-US" w:eastAsia="zh-CN"/>
              </w:rPr>
            </w:pPr>
            <w:r>
              <w:rPr>
                <w:rFonts w:hint="eastAsia" w:cs="Times New Roman"/>
                <w:b w:val="0"/>
                <w:bCs w:val="0"/>
                <w:snapToGrid/>
                <w:color w:val="auto"/>
                <w:spacing w:val="0"/>
                <w:kern w:val="0"/>
                <w:position w:val="0"/>
                <w:sz w:val="24"/>
                <w:szCs w:val="24"/>
                <w:lang w:val="en-US" w:eastAsia="zh-CN"/>
              </w:rPr>
              <w:t>CAS 编号：7664-41-7</w:t>
            </w:r>
          </w:p>
          <w:p w14:paraId="47A45F49">
            <w:pPr>
              <w:keepNext w:val="0"/>
              <w:keepLines w:val="0"/>
              <w:pageBreakBefore w:val="0"/>
              <w:widowControl w:val="0"/>
              <w:kinsoku/>
              <w:wordWrap/>
              <w:overflowPunct/>
              <w:topLinePunct w:val="0"/>
              <w:autoSpaceDE/>
              <w:autoSpaceDN/>
              <w:bidi w:val="0"/>
              <w:adjustRightInd/>
              <w:snapToGrid w:val="0"/>
              <w:spacing w:line="360" w:lineRule="auto"/>
              <w:ind w:firstLine="1680" w:firstLineChars="700"/>
              <w:textAlignment w:val="auto"/>
              <w:rPr>
                <w:rFonts w:hint="eastAsia" w:cs="Times New Roman"/>
                <w:b w:val="0"/>
                <w:bCs w:val="0"/>
                <w:snapToGrid/>
                <w:color w:val="auto"/>
                <w:spacing w:val="0"/>
                <w:kern w:val="0"/>
                <w:position w:val="0"/>
                <w:sz w:val="24"/>
                <w:szCs w:val="24"/>
                <w:lang w:val="en-US" w:eastAsia="zh-CN"/>
              </w:rPr>
            </w:pPr>
            <w:r>
              <w:rPr>
                <w:rFonts w:hint="eastAsia" w:cs="Times New Roman"/>
                <w:b w:val="0"/>
                <w:bCs w:val="0"/>
                <w:snapToGrid/>
                <w:color w:val="auto"/>
                <w:spacing w:val="0"/>
                <w:kern w:val="0"/>
                <w:position w:val="0"/>
                <w:sz w:val="24"/>
                <w:szCs w:val="24"/>
                <w:lang w:val="en-US" w:eastAsia="zh-CN"/>
              </w:rPr>
              <w:t>爆炸极限：16%~25%</w:t>
            </w:r>
          </w:p>
          <w:p w14:paraId="67859FF2">
            <w:pPr>
              <w:keepNext w:val="0"/>
              <w:keepLines w:val="0"/>
              <w:pageBreakBefore w:val="0"/>
              <w:widowControl w:val="0"/>
              <w:kinsoku/>
              <w:wordWrap/>
              <w:overflowPunct/>
              <w:topLinePunct w:val="0"/>
              <w:autoSpaceDE/>
              <w:autoSpaceDN/>
              <w:bidi w:val="0"/>
              <w:adjustRightInd/>
              <w:snapToGrid w:val="0"/>
              <w:spacing w:line="360" w:lineRule="auto"/>
              <w:ind w:firstLine="1680" w:firstLineChars="700"/>
              <w:textAlignment w:val="auto"/>
              <w:rPr>
                <w:rFonts w:hint="eastAsia" w:ascii="宋体" w:hAnsi="宋体" w:eastAsia="宋体" w:cs="宋体"/>
                <w:b w:val="0"/>
                <w:bCs w:val="0"/>
                <w:snapToGrid/>
                <w:color w:val="auto"/>
                <w:spacing w:val="0"/>
                <w:kern w:val="0"/>
                <w:position w:val="0"/>
                <w:sz w:val="24"/>
                <w:szCs w:val="24"/>
                <w:lang w:val="en-US" w:eastAsia="zh-CN"/>
              </w:rPr>
            </w:pPr>
            <w:r>
              <w:rPr>
                <w:rFonts w:hint="eastAsia" w:cs="Times New Roman"/>
                <w:b w:val="0"/>
                <w:bCs w:val="0"/>
                <w:snapToGrid/>
                <w:color w:val="auto"/>
                <w:spacing w:val="0"/>
                <w:kern w:val="0"/>
                <w:position w:val="0"/>
                <w:sz w:val="24"/>
                <w:szCs w:val="24"/>
                <w:lang w:val="en-US" w:eastAsia="zh-CN"/>
              </w:rPr>
              <w:t>比热 kJ（kg</w:t>
            </w:r>
            <w:r>
              <w:rPr>
                <w:rFonts w:hint="default" w:ascii="Times New Roman" w:hAnsi="Times New Roman" w:eastAsia="宋体" w:cs="Times New Roman"/>
                <w:b w:val="0"/>
                <w:bCs w:val="0"/>
                <w:snapToGrid/>
                <w:color w:val="auto"/>
                <w:spacing w:val="0"/>
                <w:kern w:val="0"/>
                <w:position w:val="0"/>
                <w:sz w:val="24"/>
                <w:szCs w:val="24"/>
                <w:lang w:val="en-US" w:eastAsia="zh-CN"/>
              </w:rPr>
              <w:t>·</w:t>
            </w:r>
            <w:r>
              <w:rPr>
                <w:rFonts w:hint="eastAsia" w:cs="Times New Roman"/>
                <w:b w:val="0"/>
                <w:bCs w:val="0"/>
                <w:snapToGrid/>
                <w:color w:val="auto"/>
                <w:spacing w:val="0"/>
                <w:kern w:val="0"/>
                <w:position w:val="0"/>
                <w:sz w:val="24"/>
                <w:szCs w:val="24"/>
                <w:lang w:val="en-US" w:eastAsia="zh-CN"/>
              </w:rPr>
              <w:t>K）：氨（液体）4.609、氨（气体）2.179</w:t>
            </w:r>
          </w:p>
          <w:p w14:paraId="38D5317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b w:val="0"/>
                <w:bCs w:val="0"/>
                <w:snapToGrid/>
                <w:color w:val="auto"/>
                <w:spacing w:val="0"/>
                <w:kern w:val="0"/>
                <w:position w:val="0"/>
                <w:sz w:val="24"/>
                <w:szCs w:val="24"/>
                <w:lang w:val="en-US" w:eastAsia="zh-CN"/>
              </w:rPr>
            </w:pPr>
            <w:r>
              <w:rPr>
                <w:rFonts w:hint="eastAsia" w:ascii="宋体" w:hAnsi="宋体" w:eastAsia="宋体" w:cs="宋体"/>
                <w:b w:val="0"/>
                <w:bCs w:val="0"/>
                <w:snapToGrid/>
                <w:color w:val="auto"/>
                <w:spacing w:val="0"/>
                <w:kern w:val="0"/>
                <w:position w:val="0"/>
                <w:sz w:val="24"/>
                <w:szCs w:val="24"/>
                <w:lang w:val="en-US" w:eastAsia="zh-CN"/>
              </w:rPr>
              <w:t>⑤</w:t>
            </w:r>
            <w:r>
              <w:rPr>
                <w:rFonts w:hint="eastAsia"/>
                <w:b w:val="0"/>
                <w:bCs w:val="0"/>
                <w:snapToGrid/>
                <w:color w:val="auto"/>
                <w:spacing w:val="0"/>
                <w:kern w:val="0"/>
                <w:position w:val="0"/>
                <w:sz w:val="24"/>
                <w:szCs w:val="24"/>
                <w:lang w:val="en-US" w:eastAsia="zh-CN"/>
              </w:rPr>
              <w:t>氮气</w:t>
            </w:r>
          </w:p>
          <w:p w14:paraId="7D1AAFD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b w:val="0"/>
                <w:bCs w:val="0"/>
                <w:snapToGrid/>
                <w:color w:val="auto"/>
                <w:spacing w:val="0"/>
                <w:kern w:val="0"/>
                <w:position w:val="0"/>
                <w:sz w:val="24"/>
                <w:szCs w:val="24"/>
                <w:lang w:val="en-US" w:eastAsia="zh-CN"/>
              </w:rPr>
            </w:pPr>
            <w:r>
              <w:rPr>
                <w:rFonts w:hint="eastAsia"/>
                <w:b w:val="0"/>
                <w:bCs w:val="0"/>
                <w:snapToGrid/>
                <w:color w:val="auto"/>
                <w:spacing w:val="0"/>
                <w:kern w:val="0"/>
                <w:position w:val="0"/>
                <w:sz w:val="24"/>
                <w:szCs w:val="24"/>
                <w:lang w:val="en-US" w:eastAsia="zh-CN"/>
              </w:rPr>
              <w:t>氮气，化学式为N</w:t>
            </w:r>
            <w:r>
              <w:rPr>
                <w:rFonts w:hint="eastAsia"/>
                <w:b w:val="0"/>
                <w:bCs w:val="0"/>
                <w:snapToGrid/>
                <w:color w:val="auto"/>
                <w:spacing w:val="0"/>
                <w:kern w:val="0"/>
                <w:position w:val="0"/>
                <w:sz w:val="24"/>
                <w:szCs w:val="24"/>
                <w:vertAlign w:val="subscript"/>
                <w:lang w:val="en-US" w:eastAsia="zh-CN"/>
              </w:rPr>
              <w:t>2</w:t>
            </w:r>
            <w:r>
              <w:rPr>
                <w:rFonts w:hint="eastAsia"/>
                <w:b w:val="0"/>
                <w:bCs w:val="0"/>
                <w:snapToGrid/>
                <w:color w:val="auto"/>
                <w:spacing w:val="0"/>
                <w:kern w:val="0"/>
                <w:position w:val="0"/>
                <w:sz w:val="24"/>
                <w:szCs w:val="24"/>
                <w:lang w:val="en-US" w:eastAsia="zh-CN"/>
              </w:rPr>
              <w:t>，通常状况下是一种无色无味的气体，而且一般氮气比空气密度小。氮气占大气总量的78.08%（体积分数），是空气的主要成份之一。在标准大气压下，氮气冷却至-195.8℃时，变成无色的液体，冷却至-209.8℃时，液态氨变成雪状的固体。氮气的化学性质不活泼，常温下很难跟其他物质发生反应，所以常被用来制作防腐剂。但在高温、高能量条件下可与某些物质发生化学变化，用来制取对人类有用的新物质。</w:t>
            </w:r>
          </w:p>
          <w:p w14:paraId="4A193BB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b w:val="0"/>
                <w:bCs/>
                <w:color w:val="auto"/>
                <w:kern w:val="0"/>
                <w:sz w:val="24"/>
                <w:lang w:eastAsia="zh-CN"/>
              </w:rPr>
            </w:pPr>
            <w:r>
              <w:rPr>
                <w:rFonts w:hint="eastAsia" w:ascii="宋体" w:hAnsi="宋体" w:eastAsia="宋体" w:cs="宋体"/>
                <w:b w:val="0"/>
                <w:bCs/>
                <w:color w:val="auto"/>
                <w:kern w:val="0"/>
                <w:sz w:val="24"/>
              </w:rPr>
              <w:t>⑥</w:t>
            </w:r>
            <w:r>
              <w:rPr>
                <w:rFonts w:hint="eastAsia" w:ascii="宋体" w:hAnsi="宋体" w:eastAsia="宋体" w:cs="宋体"/>
                <w:b w:val="0"/>
                <w:bCs/>
                <w:color w:val="auto"/>
                <w:kern w:val="0"/>
                <w:sz w:val="24"/>
                <w:lang w:eastAsia="zh-CN"/>
              </w:rPr>
              <w:t>机油</w:t>
            </w:r>
          </w:p>
          <w:p w14:paraId="00BEB57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b w:val="0"/>
                <w:bCs w:val="0"/>
                <w:snapToGrid/>
                <w:color w:val="auto"/>
                <w:spacing w:val="0"/>
                <w:kern w:val="0"/>
                <w:position w:val="0"/>
                <w:sz w:val="24"/>
                <w:szCs w:val="24"/>
                <w:lang w:val="en-US" w:eastAsia="zh-CN"/>
              </w:rPr>
            </w:pPr>
            <w:r>
              <w:rPr>
                <w:rFonts w:hint="eastAsia" w:ascii="宋体" w:hAnsi="宋体" w:eastAsia="宋体" w:cs="宋体"/>
                <w:b w:val="0"/>
                <w:bCs/>
                <w:color w:val="auto"/>
                <w:kern w:val="0"/>
                <w:sz w:val="24"/>
                <w:lang w:eastAsia="zh-CN"/>
              </w:rPr>
              <w:t>机油</w:t>
            </w:r>
            <w:r>
              <w:rPr>
                <w:bCs/>
                <w:color w:val="auto"/>
                <w:kern w:val="0"/>
                <w:sz w:val="24"/>
              </w:rPr>
              <w:t>含硫量低（小于1.0%），含残碳量低（小于1.0%重量），水及沉淀物少（小于1.0%体积），由基础油和添加剂两部分组成。</w:t>
            </w:r>
            <w:r>
              <w:rPr>
                <w:rFonts w:hint="eastAsia"/>
                <w:bCs/>
                <w:color w:val="auto"/>
                <w:kern w:val="0"/>
                <w:sz w:val="24"/>
              </w:rPr>
              <w:t>机油</w:t>
            </w:r>
            <w:r>
              <w:rPr>
                <w:bCs/>
                <w:color w:val="auto"/>
                <w:kern w:val="0"/>
                <w:sz w:val="24"/>
              </w:rPr>
              <w:t>基础油主要分矿物基础油及合成基础油两大类。矿物基础油其组成为一般为烷烃、环烷烃、芳烃、环烷基芳烃以后含氧、含氮、含硫有机化合物烷烃、环烷烃、芳烃、环烷基芳烃以后含氧、含氮、含硫有机化合物和胶质、沥青质等非烃类化合物。闪</w:t>
            </w:r>
            <w:r>
              <w:rPr>
                <w:rFonts w:hint="eastAsia"/>
                <w:bCs/>
                <w:color w:val="auto"/>
                <w:kern w:val="0"/>
                <w:sz w:val="24"/>
              </w:rPr>
              <w:t>点</w:t>
            </w:r>
            <w:r>
              <w:rPr>
                <w:bCs/>
                <w:color w:val="auto"/>
                <w:kern w:val="0"/>
                <w:sz w:val="24"/>
              </w:rPr>
              <w:t>&gt;60℃，密度约为0.91×10</w:t>
            </w:r>
            <w:r>
              <w:rPr>
                <w:bCs/>
                <w:color w:val="auto"/>
                <w:kern w:val="0"/>
                <w:sz w:val="24"/>
                <w:vertAlign w:val="superscript"/>
              </w:rPr>
              <w:t>3</w:t>
            </w:r>
            <w:r>
              <w:rPr>
                <w:bCs/>
                <w:color w:val="auto"/>
                <w:kern w:val="0"/>
                <w:sz w:val="24"/>
              </w:rPr>
              <w:t>kg/m</w:t>
            </w:r>
            <w:r>
              <w:rPr>
                <w:bCs/>
                <w:color w:val="auto"/>
                <w:kern w:val="0"/>
                <w:sz w:val="24"/>
                <w:vertAlign w:val="superscript"/>
              </w:rPr>
              <w:t>3</w:t>
            </w:r>
            <w:r>
              <w:rPr>
                <w:bCs/>
                <w:color w:val="auto"/>
                <w:kern w:val="0"/>
                <w:sz w:val="24"/>
              </w:rPr>
              <w:t>。</w:t>
            </w:r>
          </w:p>
          <w:p w14:paraId="6DD67D63">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5、水平衡分析</w:t>
            </w:r>
          </w:p>
          <w:p w14:paraId="1CDD84DF">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color w:val="auto"/>
                <w:sz w:val="24"/>
                <w:szCs w:val="24"/>
                <w:highlight w:val="none"/>
              </w:rPr>
              <w:t>本项目营运期</w:t>
            </w:r>
            <w:r>
              <w:rPr>
                <w:rFonts w:hint="eastAsia" w:cs="Times New Roman"/>
                <w:color w:val="auto"/>
                <w:sz w:val="24"/>
                <w:szCs w:val="24"/>
                <w:highlight w:val="none"/>
                <w:lang w:eastAsia="zh-CN"/>
              </w:rPr>
              <w:t>用水</w:t>
            </w:r>
            <w:r>
              <w:rPr>
                <w:rFonts w:hint="default" w:ascii="Times New Roman" w:hAnsi="Times New Roman" w:eastAsia="宋体" w:cs="Times New Roman"/>
                <w:color w:val="auto"/>
                <w:sz w:val="24"/>
                <w:szCs w:val="24"/>
                <w:highlight w:val="none"/>
              </w:rPr>
              <w:t>主要为</w:t>
            </w:r>
            <w:r>
              <w:rPr>
                <w:rFonts w:hint="default" w:ascii="Times New Roman" w:hAnsi="Times New Roman" w:eastAsia="宋体" w:cs="Times New Roman"/>
                <w:color w:val="auto"/>
                <w:sz w:val="24"/>
                <w:szCs w:val="24"/>
                <w:highlight w:val="none"/>
                <w:lang w:eastAsia="zh-CN"/>
              </w:rPr>
              <w:t>生活</w:t>
            </w:r>
            <w:r>
              <w:rPr>
                <w:rFonts w:hint="eastAsia" w:cs="Times New Roman"/>
                <w:color w:val="auto"/>
                <w:sz w:val="24"/>
                <w:szCs w:val="24"/>
                <w:highlight w:val="none"/>
                <w:lang w:eastAsia="zh-CN"/>
              </w:rPr>
              <w:t>用</w:t>
            </w:r>
            <w:r>
              <w:rPr>
                <w:rFonts w:hint="default" w:ascii="Times New Roman" w:hAnsi="Times New Roman" w:eastAsia="宋体" w:cs="Times New Roman"/>
                <w:color w:val="auto"/>
                <w:sz w:val="24"/>
                <w:szCs w:val="24"/>
                <w:highlight w:val="none"/>
                <w:lang w:eastAsia="zh-CN"/>
              </w:rPr>
              <w:t>水、</w:t>
            </w:r>
            <w:r>
              <w:rPr>
                <w:rFonts w:hint="eastAsia" w:cs="Times New Roman"/>
                <w:color w:val="auto"/>
                <w:sz w:val="24"/>
                <w:szCs w:val="24"/>
                <w:highlight w:val="none"/>
                <w:lang w:eastAsia="zh-CN"/>
              </w:rPr>
              <w:t>循环冷却水，废水主要为</w:t>
            </w:r>
            <w:r>
              <w:rPr>
                <w:rFonts w:hint="default" w:ascii="Times New Roman" w:hAnsi="Times New Roman" w:eastAsia="宋体" w:cs="Times New Roman"/>
                <w:b w:val="0"/>
                <w:bCs w:val="0"/>
                <w:color w:val="auto"/>
                <w:sz w:val="24"/>
                <w:szCs w:val="24"/>
                <w:highlight w:val="none"/>
                <w:lang w:val="en-US" w:eastAsia="zh-CN"/>
              </w:rPr>
              <w:t>生活污水</w:t>
            </w:r>
            <w:r>
              <w:rPr>
                <w:rFonts w:hint="default" w:ascii="Times New Roman" w:hAnsi="Times New Roman" w:eastAsia="宋体" w:cs="Times New Roman"/>
                <w:color w:val="auto"/>
                <w:sz w:val="24"/>
                <w:szCs w:val="24"/>
                <w:highlight w:val="none"/>
                <w:lang w:eastAsia="zh-CN"/>
              </w:rPr>
              <w:t>。</w:t>
            </w:r>
          </w:p>
          <w:p w14:paraId="4AB02522">
            <w:pPr>
              <w:pStyle w:val="35"/>
              <w:keepNext w:val="0"/>
              <w:keepLines w:val="0"/>
              <w:pageBreakBefore w:val="0"/>
              <w:widowControl w:val="0"/>
              <w:tabs>
                <w:tab w:val="left" w:pos="2100"/>
              </w:tabs>
              <w:kinsoku/>
              <w:wordWrap/>
              <w:overflowPunct/>
              <w:topLinePunct w:val="0"/>
              <w:autoSpaceDE/>
              <w:autoSpaceDN/>
              <w:bidi w:val="0"/>
              <w:adjustRightInd w:val="0"/>
              <w:snapToGrid/>
              <w:spacing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 xml:space="preserve">① </w:t>
            </w:r>
            <w:r>
              <w:rPr>
                <w:rFonts w:hint="eastAsia" w:ascii="宋体" w:hAnsi="宋体" w:eastAsia="宋体" w:cs="宋体"/>
                <w:color w:val="auto"/>
                <w:sz w:val="24"/>
                <w:szCs w:val="24"/>
                <w:highlight w:val="none"/>
                <w:lang w:eastAsia="zh-CN"/>
              </w:rPr>
              <w:t>生活用水</w:t>
            </w:r>
          </w:p>
          <w:p w14:paraId="5D078995">
            <w:pPr>
              <w:pStyle w:val="35"/>
              <w:keepNext w:val="0"/>
              <w:keepLines w:val="0"/>
              <w:pageBreakBefore w:val="0"/>
              <w:widowControl w:val="0"/>
              <w:tabs>
                <w:tab w:val="left" w:pos="2100"/>
              </w:tabs>
              <w:kinsoku/>
              <w:wordWrap/>
              <w:overflowPunct/>
              <w:topLinePunct w:val="0"/>
              <w:autoSpaceDE/>
              <w:autoSpaceDN/>
              <w:bidi w:val="0"/>
              <w:adjustRightInd w:val="0"/>
              <w:snapToGrid/>
              <w:spacing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w:t>
            </w:r>
            <w:r>
              <w:rPr>
                <w:rFonts w:hint="eastAsia" w:ascii="Times New Roman" w:hAnsi="Times New Roman" w:eastAsia="宋体" w:cs="Times New Roman"/>
                <w:color w:val="auto"/>
                <w:sz w:val="24"/>
                <w:szCs w:val="24"/>
                <w:highlight w:val="none"/>
                <w:lang w:val="en-US" w:eastAsia="zh-CN"/>
              </w:rPr>
              <w:t>次扩建</w:t>
            </w:r>
            <w:r>
              <w:rPr>
                <w:rFonts w:hint="default" w:ascii="Times New Roman" w:hAnsi="Times New Roman" w:eastAsia="宋体" w:cs="Times New Roman"/>
                <w:color w:val="auto"/>
                <w:sz w:val="24"/>
                <w:szCs w:val="24"/>
                <w:highlight w:val="none"/>
                <w:lang w:val="en-US" w:eastAsia="zh-CN"/>
              </w:rPr>
              <w:t>项目职工定员</w:t>
            </w:r>
            <w:r>
              <w:rPr>
                <w:rFonts w:hint="eastAsia" w:ascii="Times New Roman" w:hAnsi="Times New Roman" w:eastAsia="宋体" w:cs="Times New Roman"/>
                <w:color w:val="auto"/>
                <w:sz w:val="24"/>
                <w:szCs w:val="24"/>
                <w:highlight w:val="none"/>
                <w:lang w:val="en-US" w:eastAsia="zh-CN"/>
              </w:rPr>
              <w:t>新增20</w:t>
            </w:r>
            <w:r>
              <w:rPr>
                <w:rFonts w:hint="default" w:ascii="Times New Roman" w:hAnsi="Times New Roman" w:eastAsia="宋体" w:cs="Times New Roman"/>
                <w:color w:val="auto"/>
                <w:sz w:val="24"/>
                <w:szCs w:val="24"/>
                <w:highlight w:val="none"/>
                <w:lang w:val="en-US" w:eastAsia="zh-CN"/>
              </w:rPr>
              <w:t>人，厂区不提供食宿。根据《宿州市城市行业用水定额》（DB 3413/T 0001-2020），职工生活用水按</w:t>
            </w:r>
            <w:r>
              <w:rPr>
                <w:rFonts w:hint="eastAsia"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0L/人·d，年工作300天，则项目用水量为</w:t>
            </w:r>
            <w:r>
              <w:rPr>
                <w:rFonts w:hint="eastAsia" w:ascii="Times New Roman" w:hAnsi="Times New Roman" w:eastAsia="宋体" w:cs="Times New Roman"/>
                <w:color w:val="auto"/>
                <w:sz w:val="24"/>
                <w:szCs w:val="24"/>
                <w:highlight w:val="none"/>
                <w:lang w:val="en-US" w:eastAsia="zh-CN"/>
              </w:rPr>
              <w:t>1.4</w:t>
            </w:r>
            <w:r>
              <w:rPr>
                <w:rFonts w:hint="default" w:ascii="Times New Roman" w:hAnsi="Times New Roman" w:eastAsia="宋体" w:cs="Times New Roman"/>
                <w:color w:val="auto"/>
                <w:sz w:val="24"/>
                <w:szCs w:val="24"/>
                <w:highlight w:val="none"/>
                <w:lang w:val="en-US" w:eastAsia="zh-CN"/>
              </w:rPr>
              <w:t>t/d，</w:t>
            </w:r>
            <w:r>
              <w:rPr>
                <w:rFonts w:hint="eastAsia" w:ascii="Times New Roman" w:hAnsi="Times New Roman" w:eastAsia="宋体" w:cs="Times New Roman"/>
                <w:color w:val="auto"/>
                <w:sz w:val="24"/>
                <w:szCs w:val="24"/>
                <w:highlight w:val="none"/>
                <w:lang w:val="en-US" w:eastAsia="zh-CN"/>
              </w:rPr>
              <w:t>420</w:t>
            </w:r>
            <w:r>
              <w:rPr>
                <w:rFonts w:hint="default" w:ascii="Times New Roman" w:hAnsi="Times New Roman" w:eastAsia="宋体" w:cs="Times New Roman"/>
                <w:color w:val="auto"/>
                <w:sz w:val="24"/>
                <w:szCs w:val="24"/>
                <w:highlight w:val="none"/>
                <w:lang w:val="en-US" w:eastAsia="zh-CN"/>
              </w:rPr>
              <w:t>t/a。废水产生量按照用水量的80%计算，则产生的生活污水量为</w:t>
            </w:r>
            <w:r>
              <w:rPr>
                <w:rFonts w:hint="eastAsia" w:ascii="Times New Roman" w:hAnsi="Times New Roman" w:eastAsia="宋体" w:cs="Times New Roman"/>
                <w:color w:val="auto"/>
                <w:sz w:val="24"/>
                <w:szCs w:val="24"/>
                <w:highlight w:val="none"/>
                <w:lang w:val="en-US" w:eastAsia="zh-CN"/>
              </w:rPr>
              <w:t>1.12</w:t>
            </w:r>
            <w:r>
              <w:rPr>
                <w:rFonts w:hint="default" w:ascii="Times New Roman" w:hAnsi="Times New Roman" w:eastAsia="宋体" w:cs="Times New Roman"/>
                <w:color w:val="auto"/>
                <w:sz w:val="24"/>
                <w:szCs w:val="24"/>
                <w:highlight w:val="none"/>
                <w:lang w:val="en-US" w:eastAsia="zh-CN"/>
              </w:rPr>
              <w:t>t/d，</w:t>
            </w:r>
            <w:r>
              <w:rPr>
                <w:rFonts w:hint="eastAsia" w:ascii="Times New Roman" w:hAnsi="Times New Roman" w:eastAsia="宋体" w:cs="Times New Roman"/>
                <w:color w:val="auto"/>
                <w:sz w:val="24"/>
                <w:szCs w:val="24"/>
                <w:highlight w:val="none"/>
                <w:lang w:val="en-US" w:eastAsia="zh-CN"/>
              </w:rPr>
              <w:t>336</w:t>
            </w:r>
            <w:r>
              <w:rPr>
                <w:rFonts w:hint="default" w:ascii="Times New Roman" w:hAnsi="Times New Roman" w:eastAsia="宋体" w:cs="Times New Roman"/>
                <w:color w:val="auto"/>
                <w:sz w:val="24"/>
                <w:szCs w:val="24"/>
                <w:highlight w:val="none"/>
                <w:lang w:val="en-US" w:eastAsia="zh-CN"/>
              </w:rPr>
              <w:t>t/a。废水主要污染物因子为COD、NH</w:t>
            </w:r>
            <w:r>
              <w:rPr>
                <w:rFonts w:hint="default" w:ascii="Times New Roman" w:hAnsi="Times New Roman" w:eastAsia="宋体" w:cs="Times New Roman"/>
                <w:color w:val="auto"/>
                <w:sz w:val="24"/>
                <w:szCs w:val="24"/>
                <w:highlight w:val="none"/>
                <w:vertAlign w:val="subscript"/>
                <w:lang w:val="en-US" w:eastAsia="zh-CN"/>
              </w:rPr>
              <w:t>3</w:t>
            </w:r>
            <w:r>
              <w:rPr>
                <w:rFonts w:hint="default" w:ascii="Times New Roman" w:hAnsi="Times New Roman" w:eastAsia="宋体" w:cs="Times New Roman"/>
                <w:color w:val="auto"/>
                <w:sz w:val="24"/>
                <w:szCs w:val="24"/>
                <w:highlight w:val="none"/>
                <w:lang w:val="en-US" w:eastAsia="zh-CN"/>
              </w:rPr>
              <w:t>-N、SS、BOD</w:t>
            </w:r>
            <w:r>
              <w:rPr>
                <w:rFonts w:hint="default" w:ascii="Times New Roman" w:hAnsi="Times New Roman" w:eastAsia="宋体" w:cs="Times New Roman"/>
                <w:color w:val="auto"/>
                <w:sz w:val="24"/>
                <w:szCs w:val="24"/>
                <w:highlight w:val="none"/>
                <w:vertAlign w:val="subscript"/>
                <w:lang w:val="en-US" w:eastAsia="zh-CN"/>
              </w:rPr>
              <w:t>5</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kern w:val="2"/>
                <w:sz w:val="24"/>
                <w:szCs w:val="24"/>
                <w:highlight w:val="none"/>
                <w:lang w:val="en-US" w:eastAsia="zh-CN" w:bidi="ar-SA"/>
              </w:rPr>
              <w:t>生活污水经化粪池处理，定期清掏用作厂区周围农田施肥，不外排。</w:t>
            </w:r>
          </w:p>
          <w:p w14:paraId="07851C3D">
            <w:pPr>
              <w:pStyle w:val="47"/>
              <w:keepNext w:val="0"/>
              <w:keepLines w:val="0"/>
              <w:pageBreakBefore w:val="0"/>
              <w:kinsoku/>
              <w:wordWrap/>
              <w:overflowPunct/>
              <w:topLinePunct w:val="0"/>
              <w:autoSpaceDE/>
              <w:autoSpaceDN/>
              <w:bidi w:val="0"/>
              <w:spacing w:line="360" w:lineRule="auto"/>
              <w:ind w:left="0" w:right="0" w:firstLine="480" w:firstLineChars="200"/>
              <w:textAlignment w:val="auto"/>
              <w:rPr>
                <w:rFonts w:hint="eastAsia" w:cs="Times New Roman"/>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val="en-US" w:eastAsia="zh-CN"/>
              </w:rPr>
              <w:t>②</w:t>
            </w:r>
            <w:r>
              <w:rPr>
                <w:rFonts w:hint="eastAsia" w:cs="Times New Roman"/>
                <w:color w:val="auto"/>
                <w:sz w:val="24"/>
                <w:szCs w:val="24"/>
                <w:highlight w:val="none"/>
                <w:lang w:eastAsia="zh-CN"/>
              </w:rPr>
              <w:t>循环冷却水</w:t>
            </w:r>
          </w:p>
          <w:p w14:paraId="1D432CAB">
            <w:pPr>
              <w:pStyle w:val="47"/>
              <w:keepNext w:val="0"/>
              <w:keepLines w:val="0"/>
              <w:pageBreakBefore w:val="0"/>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color w:val="auto"/>
                <w:spacing w:val="-4"/>
                <w:sz w:val="24"/>
                <w:szCs w:val="24"/>
                <w:highlight w:val="none"/>
                <w:lang w:eastAsia="zh-CN"/>
              </w:rPr>
            </w:pPr>
            <w:r>
              <w:rPr>
                <w:rFonts w:hint="default" w:ascii="Times New Roman" w:hAnsi="Times New Roman" w:cs="Times New Roman"/>
                <w:color w:val="auto"/>
                <w:sz w:val="24"/>
              </w:rPr>
              <w:t>项目运营期间涉及的生产用水为注塑</w:t>
            </w:r>
            <w:r>
              <w:rPr>
                <w:rFonts w:hint="eastAsia" w:ascii="Times New Roman" w:hAnsi="Times New Roman" w:cs="Times New Roman"/>
                <w:color w:val="auto"/>
                <w:sz w:val="24"/>
                <w:lang w:eastAsia="zh-CN"/>
              </w:rPr>
              <w:t>成型</w:t>
            </w:r>
            <w:r>
              <w:rPr>
                <w:rFonts w:hint="default" w:ascii="Times New Roman" w:hAnsi="Times New Roman" w:cs="Times New Roman"/>
                <w:color w:val="auto"/>
                <w:sz w:val="24"/>
              </w:rPr>
              <w:t>工序，注塑机因注塑过程中模具温度较高，需要使用水对其进行降温冷却。</w:t>
            </w:r>
            <w:r>
              <w:rPr>
                <w:rFonts w:hint="default" w:ascii="Times New Roman" w:hAnsi="Times New Roman" w:cs="Times New Roman"/>
                <w:color w:val="auto"/>
                <w:kern w:val="0"/>
                <w:sz w:val="24"/>
              </w:rPr>
              <w:t>采用冷却水直接冷却，</w:t>
            </w:r>
            <w:r>
              <w:rPr>
                <w:rFonts w:hint="default" w:ascii="Times New Roman" w:hAnsi="Times New Roman" w:cs="Times New Roman"/>
                <w:color w:val="auto"/>
                <w:sz w:val="24"/>
              </w:rPr>
              <w:t>冷却水为循环水，不外排，流入</w:t>
            </w:r>
            <w:r>
              <w:rPr>
                <w:rFonts w:hint="eastAsia" w:ascii="Times New Roman" w:hAnsi="Times New Roman" w:cs="Times New Roman"/>
                <w:color w:val="auto"/>
                <w:sz w:val="24"/>
                <w:lang w:eastAsia="zh-CN"/>
              </w:rPr>
              <w:t>循环水池</w:t>
            </w:r>
            <w:r>
              <w:rPr>
                <w:rFonts w:hint="default" w:ascii="Times New Roman" w:hAnsi="Times New Roman" w:cs="Times New Roman"/>
                <w:color w:val="auto"/>
                <w:sz w:val="24"/>
              </w:rPr>
              <w:t>自然冷却后循环使用。根据建设单位提供资料，本项目</w:t>
            </w:r>
            <w:r>
              <w:rPr>
                <w:rFonts w:hint="eastAsia" w:ascii="Times New Roman" w:hAnsi="Times New Roman" w:cs="Times New Roman"/>
                <w:color w:val="auto"/>
                <w:sz w:val="24"/>
                <w:lang w:eastAsia="zh-CN"/>
              </w:rPr>
              <w:t>循环水池规格为</w:t>
            </w:r>
            <w:r>
              <w:rPr>
                <w:rFonts w:hint="default" w:ascii="Times New Roman" w:hAnsi="Times New Roman" w:cs="Times New Roman"/>
                <w:color w:val="auto"/>
                <w:sz w:val="24"/>
                <w:lang w:val="en-US" w:eastAsia="zh-CN"/>
              </w:rPr>
              <w:t>3m*</w:t>
            </w:r>
            <w:r>
              <w:rPr>
                <w:rFonts w:hint="eastAsia" w:ascii="Times New Roman" w:hAnsi="Times New Roman" w:cs="Times New Roman"/>
                <w:color w:val="auto"/>
                <w:sz w:val="24"/>
                <w:lang w:val="en-US" w:eastAsia="zh-CN"/>
              </w:rPr>
              <w:t>1</w:t>
            </w:r>
            <w:r>
              <w:rPr>
                <w:rFonts w:hint="default" w:ascii="Times New Roman" w:hAnsi="Times New Roman" w:cs="Times New Roman"/>
                <w:color w:val="auto"/>
                <w:sz w:val="24"/>
                <w:lang w:val="en-US" w:eastAsia="zh-CN"/>
              </w:rPr>
              <w:t>m*</w:t>
            </w:r>
            <w:r>
              <w:rPr>
                <w:rFonts w:hint="eastAsia" w:ascii="Times New Roman" w:hAnsi="Times New Roman" w:cs="Times New Roman"/>
                <w:color w:val="auto"/>
                <w:sz w:val="24"/>
                <w:lang w:val="en-US" w:eastAsia="zh-CN"/>
              </w:rPr>
              <w:t>2</w:t>
            </w:r>
            <w:r>
              <w:rPr>
                <w:rFonts w:hint="default" w:ascii="Times New Roman" w:hAnsi="Times New Roman" w:cs="Times New Roman"/>
                <w:color w:val="auto"/>
                <w:sz w:val="24"/>
                <w:lang w:val="en-US" w:eastAsia="zh-CN"/>
              </w:rPr>
              <w:t>m</w:t>
            </w:r>
            <w:r>
              <w:rPr>
                <w:rFonts w:hint="eastAsia" w:ascii="Times New Roman" w:hAnsi="Times New Roman" w:cs="Times New Roman"/>
                <w:color w:val="auto"/>
                <w:sz w:val="24"/>
                <w:lang w:val="en-US" w:eastAsia="zh-CN"/>
              </w:rPr>
              <w:t>，循环水量约30t/d</w:t>
            </w:r>
            <w:r>
              <w:rPr>
                <w:rFonts w:hint="default" w:ascii="Times New Roman" w:hAnsi="Times New Roman" w:cs="Times New Roman"/>
                <w:color w:val="auto"/>
                <w:sz w:val="24"/>
              </w:rPr>
              <w:t>，在使用过程中，因蒸发等损失需补充新鲜水</w:t>
            </w:r>
            <w:r>
              <w:rPr>
                <w:rFonts w:hint="eastAsia" w:ascii="Times New Roman" w:hAnsi="Times New Roman" w:cs="Times New Roman"/>
                <w:color w:val="auto"/>
                <w:sz w:val="24"/>
                <w:lang w:val="en-US" w:eastAsia="zh-CN"/>
              </w:rPr>
              <w:t>0.3</w:t>
            </w:r>
            <w:r>
              <w:rPr>
                <w:rFonts w:hint="default" w:ascii="Times New Roman" w:hAnsi="Times New Roman" w:cs="Times New Roman"/>
                <w:color w:val="auto"/>
                <w:sz w:val="24"/>
              </w:rPr>
              <w:t>t/d，年补充新鲜水量</w:t>
            </w:r>
            <w:r>
              <w:rPr>
                <w:rFonts w:hint="eastAsia" w:ascii="Times New Roman" w:hAnsi="Times New Roman" w:cs="Times New Roman"/>
                <w:color w:val="auto"/>
                <w:sz w:val="24"/>
                <w:lang w:val="en-US" w:eastAsia="zh-CN"/>
              </w:rPr>
              <w:t>9</w:t>
            </w:r>
            <w:r>
              <w:rPr>
                <w:rFonts w:hint="default" w:ascii="Times New Roman" w:hAnsi="Times New Roman" w:cs="Times New Roman"/>
                <w:color w:val="auto"/>
                <w:sz w:val="24"/>
              </w:rPr>
              <w:t>t/a，无废水外排</w:t>
            </w:r>
            <w:r>
              <w:rPr>
                <w:rFonts w:hint="default" w:ascii="Times New Roman" w:hAnsi="Times New Roman" w:eastAsia="宋体" w:cs="Times New Roman"/>
                <w:color w:val="auto"/>
                <w:spacing w:val="-4"/>
                <w:sz w:val="24"/>
                <w:szCs w:val="24"/>
                <w:highlight w:val="none"/>
                <w:lang w:eastAsia="zh-CN"/>
              </w:rPr>
              <w:t>。</w:t>
            </w:r>
          </w:p>
          <w:p w14:paraId="72F2DE63">
            <w:pPr>
              <w:pStyle w:val="47"/>
              <w:keepNext w:val="0"/>
              <w:keepLines w:val="0"/>
              <w:pageBreakBefore w:val="0"/>
              <w:kinsoku/>
              <w:wordWrap/>
              <w:overflowPunct/>
              <w:topLinePunct w:val="0"/>
              <w:autoSpaceDE/>
              <w:autoSpaceDN/>
              <w:bidi w:val="0"/>
              <w:spacing w:line="360" w:lineRule="auto"/>
              <w:ind w:right="0"/>
              <w:jc w:val="center"/>
              <w:textAlignment w:val="auto"/>
              <w:rPr>
                <w:rFonts w:hint="default" w:cs="Times New Roman"/>
                <w:b/>
                <w:bCs/>
                <w:color w:val="auto"/>
                <w:kern w:val="2"/>
                <w:sz w:val="24"/>
                <w:szCs w:val="24"/>
                <w:highlight w:val="none"/>
                <w:lang w:val="en-US" w:eastAsia="zh-CN" w:bidi="ar-SA"/>
              </w:rPr>
            </w:pPr>
            <w:r>
              <w:rPr>
                <w:rFonts w:hint="default" w:ascii="Times New Roman" w:hAnsi="Times New Roman" w:eastAsia="宋体" w:cs="Times New Roman"/>
                <w:color w:val="auto"/>
                <w:spacing w:val="-4"/>
                <w:sz w:val="24"/>
                <w:szCs w:val="24"/>
                <w:highlight w:val="none"/>
                <w:lang w:val="en-US" w:eastAsia="zh-CN"/>
              </w:rPr>
              <w:object>
                <v:shape id="_x0000_i1025" o:spt="75" type="#_x0000_t75" style="height:147.75pt;width:414.75pt;" o:ole="t" filled="f" o:preferrelative="t" stroked="f" coordsize="21600,21600">
                  <v:path/>
                  <v:fill on="f" focussize="0,0"/>
                  <v:stroke on="f"/>
                  <v:imagedata r:id="rId8" o:title=""/>
                  <o:lock v:ext="edit" aspectratio="f"/>
                  <w10:wrap type="none"/>
                  <w10:anchorlock/>
                </v:shape>
                <o:OLEObject Type="Embed" ProgID="Visio.Drawing.11" ShapeID="_x0000_i1025" DrawAspect="Content" ObjectID="_1468075725" r:id="rId7">
                  <o:LockedField>false</o:LockedField>
                </o:OLEObject>
              </w:object>
            </w:r>
            <w:r>
              <w:rPr>
                <w:rFonts w:hint="eastAsia" w:ascii="Times New Roman" w:hAnsi="Times New Roman" w:cs="Times New Roman"/>
                <w:b/>
                <w:bCs/>
                <w:color w:val="auto"/>
                <w:kern w:val="2"/>
                <w:sz w:val="24"/>
                <w:szCs w:val="24"/>
                <w:highlight w:val="none"/>
                <w:lang w:val="en-US" w:eastAsia="zh-CN" w:bidi="ar-SA"/>
              </w:rPr>
              <w:t>图2.</w:t>
            </w:r>
            <w:r>
              <w:rPr>
                <w:rFonts w:hint="eastAsia" w:cs="Times New Roman"/>
                <w:b/>
                <w:bCs/>
                <w:color w:val="auto"/>
                <w:kern w:val="2"/>
                <w:sz w:val="24"/>
                <w:szCs w:val="24"/>
                <w:highlight w:val="none"/>
                <w:lang w:val="en-US" w:eastAsia="zh-CN" w:bidi="ar-SA"/>
              </w:rPr>
              <w:t>1</w:t>
            </w:r>
            <w:r>
              <w:rPr>
                <w:rFonts w:hint="eastAsia" w:ascii="Times New Roman" w:hAnsi="Times New Roman" w:cs="Times New Roman"/>
                <w:b/>
                <w:bCs/>
                <w:color w:val="auto"/>
                <w:kern w:val="2"/>
                <w:sz w:val="24"/>
                <w:szCs w:val="24"/>
                <w:highlight w:val="none"/>
                <w:lang w:val="en-US" w:eastAsia="zh-CN" w:bidi="ar-SA"/>
              </w:rPr>
              <w:t xml:space="preserve">  </w:t>
            </w:r>
            <w:r>
              <w:rPr>
                <w:rFonts w:hint="eastAsia" w:cs="Times New Roman"/>
                <w:b/>
                <w:bCs/>
                <w:color w:val="auto"/>
                <w:kern w:val="2"/>
                <w:sz w:val="24"/>
                <w:szCs w:val="24"/>
                <w:highlight w:val="none"/>
                <w:lang w:val="en-US" w:eastAsia="zh-CN" w:bidi="ar-SA"/>
              </w:rPr>
              <w:t>本</w:t>
            </w:r>
            <w:r>
              <w:rPr>
                <w:rFonts w:hint="eastAsia" w:ascii="Times New Roman" w:hAnsi="Times New Roman" w:cs="Times New Roman"/>
                <w:b/>
                <w:bCs/>
                <w:color w:val="auto"/>
                <w:kern w:val="2"/>
                <w:sz w:val="24"/>
                <w:szCs w:val="24"/>
                <w:highlight w:val="none"/>
                <w:lang w:val="en-US" w:eastAsia="zh-CN" w:bidi="ar-SA"/>
              </w:rPr>
              <w:t>项目水平衡图  t/</w:t>
            </w:r>
            <w:r>
              <w:rPr>
                <w:rFonts w:hint="eastAsia" w:cs="Times New Roman"/>
                <w:b/>
                <w:bCs/>
                <w:color w:val="auto"/>
                <w:kern w:val="2"/>
                <w:sz w:val="24"/>
                <w:szCs w:val="24"/>
                <w:highlight w:val="none"/>
                <w:lang w:val="en-US" w:eastAsia="zh-CN" w:bidi="ar-SA"/>
              </w:rPr>
              <w:t>d</w:t>
            </w:r>
          </w:p>
          <w:p w14:paraId="156F4F4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Times New Roman"/>
                <w:b/>
                <w:bCs/>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object>
                <v:shape id="_x0000_i1026" o:spt="75" type="#_x0000_t75" style="height:196.5pt;width:421.5pt;" o:ole="t" filled="f" o:preferrelative="t" stroked="f" coordsize="21600,21600">
                  <v:path/>
                  <v:fill on="f" focussize="0,0"/>
                  <v:stroke on="f"/>
                  <v:imagedata r:id="rId10" o:title=""/>
                  <o:lock v:ext="edit" aspectratio="f"/>
                  <w10:wrap type="none"/>
                  <w10:anchorlock/>
                </v:shape>
                <o:OLEObject Type="Embed" ProgID="Visio.Drawing.11" ShapeID="_x0000_i1026" DrawAspect="Content" ObjectID="_1468075726" r:id="rId9">
                  <o:LockedField>false</o:LockedField>
                </o:OLEObject>
              </w:object>
            </w:r>
            <w:r>
              <w:rPr>
                <w:rFonts w:hint="eastAsia" w:ascii="Times New Roman" w:hAnsi="Times New Roman" w:cs="Times New Roman"/>
                <w:b/>
                <w:bCs/>
                <w:color w:val="auto"/>
                <w:kern w:val="2"/>
                <w:sz w:val="24"/>
                <w:szCs w:val="24"/>
                <w:highlight w:val="none"/>
                <w:lang w:val="en-US" w:eastAsia="zh-CN" w:bidi="ar-SA"/>
              </w:rPr>
              <w:t>图2.</w:t>
            </w:r>
            <w:r>
              <w:rPr>
                <w:rFonts w:hint="eastAsia" w:cs="Times New Roman"/>
                <w:b/>
                <w:bCs/>
                <w:color w:val="auto"/>
                <w:kern w:val="2"/>
                <w:sz w:val="24"/>
                <w:szCs w:val="24"/>
                <w:highlight w:val="none"/>
                <w:lang w:val="en-US" w:eastAsia="zh-CN" w:bidi="ar-SA"/>
              </w:rPr>
              <w:t>2</w:t>
            </w:r>
            <w:r>
              <w:rPr>
                <w:rFonts w:hint="eastAsia" w:ascii="Times New Roman" w:hAnsi="Times New Roman" w:cs="Times New Roman"/>
                <w:b/>
                <w:bCs/>
                <w:color w:val="auto"/>
                <w:kern w:val="2"/>
                <w:sz w:val="24"/>
                <w:szCs w:val="24"/>
                <w:highlight w:val="none"/>
                <w:lang w:val="en-US" w:eastAsia="zh-CN" w:bidi="ar-SA"/>
              </w:rPr>
              <w:t xml:space="preserve">  </w:t>
            </w:r>
            <w:r>
              <w:rPr>
                <w:rFonts w:hint="eastAsia" w:cs="Times New Roman"/>
                <w:b/>
                <w:bCs/>
                <w:color w:val="auto"/>
                <w:kern w:val="2"/>
                <w:sz w:val="24"/>
                <w:szCs w:val="24"/>
                <w:highlight w:val="none"/>
                <w:lang w:val="en-US" w:eastAsia="zh-CN" w:bidi="ar-SA"/>
              </w:rPr>
              <w:t>扩建后全厂</w:t>
            </w:r>
            <w:r>
              <w:rPr>
                <w:rFonts w:hint="eastAsia" w:ascii="Times New Roman" w:hAnsi="Times New Roman" w:cs="Times New Roman"/>
                <w:b/>
                <w:bCs/>
                <w:color w:val="auto"/>
                <w:kern w:val="2"/>
                <w:sz w:val="24"/>
                <w:szCs w:val="24"/>
                <w:highlight w:val="none"/>
                <w:lang w:val="en-US" w:eastAsia="zh-CN" w:bidi="ar-SA"/>
              </w:rPr>
              <w:t>水平衡图  t/</w:t>
            </w:r>
            <w:r>
              <w:rPr>
                <w:rFonts w:hint="eastAsia" w:cs="Times New Roman"/>
                <w:b/>
                <w:bCs/>
                <w:color w:val="auto"/>
                <w:kern w:val="2"/>
                <w:sz w:val="24"/>
                <w:szCs w:val="24"/>
                <w:highlight w:val="none"/>
                <w:lang w:val="en-US" w:eastAsia="zh-CN" w:bidi="ar-SA"/>
              </w:rPr>
              <w:t>d</w:t>
            </w:r>
          </w:p>
          <w:p w14:paraId="40E67C9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snapToGrid/>
                <w:color w:val="auto"/>
                <w:spacing w:val="0"/>
                <w:kern w:val="0"/>
                <w:position w:val="0"/>
                <w:sz w:val="24"/>
                <w:szCs w:val="24"/>
                <w:lang w:eastAsia="zh-CN"/>
              </w:rPr>
            </w:pPr>
            <w:r>
              <w:rPr>
                <w:rFonts w:hint="eastAsia" w:cs="Times New Roman"/>
                <w:b/>
                <w:bCs/>
                <w:color w:val="auto"/>
                <w:spacing w:val="-5"/>
                <w:sz w:val="24"/>
                <w:szCs w:val="24"/>
                <w:highlight w:val="none"/>
                <w:lang w:val="en-US" w:eastAsia="zh-CN"/>
              </w:rPr>
              <w:t>6、</w:t>
            </w:r>
            <w:r>
              <w:rPr>
                <w:rFonts w:hint="default" w:ascii="Times New Roman" w:hAnsi="Times New Roman" w:eastAsia="宋体" w:cs="Times New Roman"/>
                <w:b/>
                <w:bCs/>
                <w:snapToGrid/>
                <w:color w:val="auto"/>
                <w:spacing w:val="0"/>
                <w:kern w:val="0"/>
                <w:position w:val="0"/>
                <w:sz w:val="24"/>
                <w:szCs w:val="24"/>
                <w:lang w:eastAsia="zh-CN"/>
              </w:rPr>
              <w:t>劳动定员及工作制度</w:t>
            </w:r>
          </w:p>
          <w:p w14:paraId="0BB6E8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napToGrid/>
                <w:color w:val="auto"/>
                <w:spacing w:val="0"/>
                <w:kern w:val="0"/>
                <w:position w:val="0"/>
                <w:sz w:val="24"/>
                <w:szCs w:val="24"/>
              </w:rPr>
            </w:pPr>
            <w:r>
              <w:rPr>
                <w:rFonts w:hint="eastAsia" w:ascii="Times New Roman" w:hAnsi="Times New Roman" w:eastAsia="宋体" w:cs="Times New Roman"/>
                <w:b w:val="0"/>
                <w:i w:val="0"/>
                <w:snapToGrid/>
                <w:color w:val="auto"/>
                <w:spacing w:val="0"/>
                <w:kern w:val="0"/>
                <w:position w:val="0"/>
                <w:sz w:val="24"/>
                <w:szCs w:val="24"/>
                <w:lang w:eastAsia="zh-CN"/>
              </w:rPr>
              <w:t>扩建</w:t>
            </w:r>
            <w:r>
              <w:rPr>
                <w:rFonts w:hint="default" w:ascii="Times New Roman" w:hAnsi="Times New Roman" w:eastAsia="宋体" w:cs="Times New Roman"/>
                <w:b w:val="0"/>
                <w:i w:val="0"/>
                <w:snapToGrid/>
                <w:color w:val="auto"/>
                <w:spacing w:val="0"/>
                <w:kern w:val="0"/>
                <w:position w:val="0"/>
                <w:sz w:val="24"/>
                <w:szCs w:val="24"/>
              </w:rPr>
              <w:t>前劳动定员</w:t>
            </w:r>
            <w:r>
              <w:rPr>
                <w:rFonts w:hint="eastAsia" w:cs="Times New Roman"/>
                <w:b w:val="0"/>
                <w:i w:val="0"/>
                <w:snapToGrid/>
                <w:color w:val="auto"/>
                <w:spacing w:val="0"/>
                <w:kern w:val="0"/>
                <w:position w:val="0"/>
                <w:sz w:val="24"/>
                <w:szCs w:val="24"/>
                <w:lang w:val="en-US" w:eastAsia="zh-CN"/>
              </w:rPr>
              <w:t>45</w:t>
            </w:r>
            <w:r>
              <w:rPr>
                <w:rFonts w:hint="default" w:ascii="Times New Roman" w:hAnsi="Times New Roman" w:eastAsia="宋体" w:cs="Times New Roman"/>
                <w:b w:val="0"/>
                <w:i w:val="0"/>
                <w:snapToGrid/>
                <w:color w:val="auto"/>
                <w:spacing w:val="0"/>
                <w:kern w:val="0"/>
                <w:position w:val="0"/>
                <w:sz w:val="24"/>
                <w:szCs w:val="24"/>
              </w:rPr>
              <w:t>人</w:t>
            </w:r>
            <w:r>
              <w:rPr>
                <w:rFonts w:hint="eastAsia" w:ascii="Times New Roman" w:hAnsi="Times New Roman" w:eastAsia="宋体" w:cs="Times New Roman"/>
                <w:b w:val="0"/>
                <w:i w:val="0"/>
                <w:snapToGrid/>
                <w:color w:val="auto"/>
                <w:spacing w:val="0"/>
                <w:kern w:val="0"/>
                <w:position w:val="0"/>
                <w:sz w:val="24"/>
                <w:szCs w:val="24"/>
                <w:lang w:eastAsia="zh-CN"/>
              </w:rPr>
              <w:t>，</w:t>
            </w:r>
            <w:r>
              <w:rPr>
                <w:rFonts w:hint="eastAsia" w:ascii="Times New Roman" w:hAnsi="Times New Roman" w:cs="Times New Roman"/>
                <w:color w:val="auto"/>
                <w:sz w:val="24"/>
                <w:lang w:val="en-US" w:eastAsia="zh-CN"/>
              </w:rPr>
              <w:t>三班制，</w:t>
            </w:r>
            <w:r>
              <w:rPr>
                <w:rFonts w:hint="eastAsia" w:cs="Times New Roman"/>
                <w:color w:val="auto"/>
                <w:sz w:val="24"/>
                <w:lang w:eastAsia="zh-CN"/>
              </w:rPr>
              <w:t>每班</w:t>
            </w:r>
            <w:r>
              <w:rPr>
                <w:rFonts w:hint="eastAsia" w:cs="Times New Roman"/>
                <w:color w:val="auto"/>
                <w:sz w:val="24"/>
                <w:lang w:val="en-US" w:eastAsia="zh-CN"/>
              </w:rPr>
              <w:t>8小时，</w:t>
            </w:r>
            <w:r>
              <w:rPr>
                <w:rFonts w:hint="default" w:ascii="Times New Roman" w:hAnsi="Times New Roman" w:cs="Times New Roman"/>
                <w:color w:val="auto"/>
                <w:sz w:val="24"/>
                <w:lang w:eastAsia="zh-CN"/>
              </w:rPr>
              <w:t>年工作时间为</w:t>
            </w:r>
            <w:r>
              <w:rPr>
                <w:rFonts w:hint="eastAsia" w:cs="Times New Roman"/>
                <w:color w:val="auto"/>
                <w:sz w:val="24"/>
                <w:lang w:val="en-US" w:eastAsia="zh-CN"/>
              </w:rPr>
              <w:t>300</w:t>
            </w:r>
            <w:r>
              <w:rPr>
                <w:rFonts w:hint="default" w:ascii="Times New Roman" w:hAnsi="Times New Roman" w:cs="Times New Roman"/>
                <w:color w:val="auto"/>
                <w:sz w:val="24"/>
                <w:lang w:eastAsia="zh-CN"/>
              </w:rPr>
              <w:t>天</w:t>
            </w:r>
            <w:r>
              <w:rPr>
                <w:rFonts w:hint="default" w:ascii="Times New Roman" w:hAnsi="Times New Roman" w:eastAsia="宋体" w:cs="Times New Roman"/>
                <w:b w:val="0"/>
                <w:i w:val="0"/>
                <w:snapToGrid/>
                <w:color w:val="auto"/>
                <w:spacing w:val="0"/>
                <w:kern w:val="0"/>
                <w:position w:val="0"/>
                <w:sz w:val="24"/>
                <w:szCs w:val="24"/>
                <w:lang w:eastAsia="zh-CN"/>
              </w:rPr>
              <w:t>。</w:t>
            </w:r>
            <w:r>
              <w:rPr>
                <w:rFonts w:hint="eastAsia" w:ascii="Times New Roman" w:hAnsi="Times New Roman" w:eastAsia="宋体" w:cs="Times New Roman"/>
                <w:b w:val="0"/>
                <w:i w:val="0"/>
                <w:snapToGrid/>
                <w:color w:val="auto"/>
                <w:spacing w:val="0"/>
                <w:kern w:val="0"/>
                <w:position w:val="0"/>
                <w:sz w:val="24"/>
                <w:szCs w:val="24"/>
                <w:lang w:val="en-US" w:eastAsia="zh-CN"/>
              </w:rPr>
              <w:t>扩建</w:t>
            </w:r>
            <w:r>
              <w:rPr>
                <w:rFonts w:hint="default" w:ascii="Times New Roman" w:hAnsi="Times New Roman" w:eastAsia="宋体" w:cs="Times New Roman"/>
                <w:b w:val="0"/>
                <w:i w:val="0"/>
                <w:snapToGrid/>
                <w:color w:val="auto"/>
                <w:spacing w:val="0"/>
                <w:kern w:val="0"/>
                <w:position w:val="0"/>
                <w:sz w:val="24"/>
                <w:szCs w:val="24"/>
              </w:rPr>
              <w:t>后</w:t>
            </w:r>
            <w:r>
              <w:rPr>
                <w:rFonts w:hint="default" w:ascii="Times New Roman" w:hAnsi="Times New Roman" w:eastAsia="宋体" w:cs="Times New Roman"/>
                <w:color w:val="auto"/>
                <w:sz w:val="24"/>
                <w:szCs w:val="24"/>
              </w:rPr>
              <w:t>根据生产的需要</w:t>
            </w:r>
            <w:r>
              <w:rPr>
                <w:rFonts w:hint="eastAsia" w:ascii="Times New Roman" w:hAnsi="Times New Roman" w:eastAsia="宋体" w:cs="Times New Roman"/>
                <w:b w:val="0"/>
                <w:i w:val="0"/>
                <w:snapToGrid/>
                <w:color w:val="auto"/>
                <w:spacing w:val="0"/>
                <w:kern w:val="0"/>
                <w:position w:val="0"/>
                <w:sz w:val="24"/>
                <w:szCs w:val="24"/>
                <w:lang w:val="en-US" w:eastAsia="zh-CN"/>
              </w:rPr>
              <w:t>，</w:t>
            </w:r>
            <w:r>
              <w:rPr>
                <w:rFonts w:hint="default" w:ascii="Times New Roman" w:hAnsi="Times New Roman" w:eastAsia="宋体" w:cs="Times New Roman"/>
                <w:b w:val="0"/>
                <w:i w:val="0"/>
                <w:snapToGrid/>
                <w:color w:val="auto"/>
                <w:spacing w:val="0"/>
                <w:kern w:val="0"/>
                <w:position w:val="0"/>
                <w:sz w:val="24"/>
                <w:szCs w:val="24"/>
              </w:rPr>
              <w:t>劳动人员</w:t>
            </w:r>
            <w:r>
              <w:rPr>
                <w:rFonts w:hint="eastAsia" w:cs="Times New Roman"/>
                <w:b w:val="0"/>
                <w:i w:val="0"/>
                <w:snapToGrid/>
                <w:color w:val="auto"/>
                <w:spacing w:val="0"/>
                <w:kern w:val="0"/>
                <w:position w:val="0"/>
                <w:sz w:val="24"/>
                <w:szCs w:val="24"/>
                <w:lang w:val="en-US" w:eastAsia="zh-CN"/>
              </w:rPr>
              <w:t>增加20</w:t>
            </w:r>
            <w:r>
              <w:rPr>
                <w:rFonts w:hint="default" w:ascii="Times New Roman" w:hAnsi="Times New Roman" w:eastAsia="宋体" w:cs="Times New Roman"/>
                <w:b w:val="0"/>
                <w:i w:val="0"/>
                <w:snapToGrid/>
                <w:color w:val="auto"/>
                <w:spacing w:val="0"/>
                <w:kern w:val="0"/>
                <w:position w:val="0"/>
                <w:sz w:val="24"/>
                <w:szCs w:val="24"/>
              </w:rPr>
              <w:t>人</w:t>
            </w:r>
            <w:r>
              <w:rPr>
                <w:rFonts w:hint="default" w:ascii="Times New Roman" w:hAnsi="Times New Roman" w:eastAsia="宋体" w:cs="Times New Roman"/>
                <w:b w:val="0"/>
                <w:i w:val="0"/>
                <w:snapToGrid/>
                <w:color w:val="auto"/>
                <w:spacing w:val="0"/>
                <w:kern w:val="0"/>
                <w:position w:val="0"/>
                <w:sz w:val="24"/>
                <w:szCs w:val="24"/>
                <w:lang w:eastAsia="zh-CN"/>
              </w:rPr>
              <w:t>，</w:t>
            </w:r>
            <w:r>
              <w:rPr>
                <w:rFonts w:hint="eastAsia" w:ascii="Times New Roman" w:hAnsi="Times New Roman" w:cs="Times New Roman"/>
                <w:color w:val="auto"/>
                <w:sz w:val="24"/>
                <w:lang w:val="en-US" w:eastAsia="zh-CN"/>
              </w:rPr>
              <w:t>三班制，</w:t>
            </w:r>
            <w:r>
              <w:rPr>
                <w:rFonts w:hint="eastAsia" w:cs="Times New Roman"/>
                <w:color w:val="auto"/>
                <w:sz w:val="24"/>
                <w:lang w:eastAsia="zh-CN"/>
              </w:rPr>
              <w:t>每班</w:t>
            </w:r>
            <w:r>
              <w:rPr>
                <w:rFonts w:hint="eastAsia" w:cs="Times New Roman"/>
                <w:color w:val="auto"/>
                <w:sz w:val="24"/>
                <w:lang w:val="en-US" w:eastAsia="zh-CN"/>
              </w:rPr>
              <w:t>8小时</w:t>
            </w:r>
            <w:r>
              <w:rPr>
                <w:rFonts w:hint="default" w:ascii="Times New Roman" w:hAnsi="Times New Roman" w:eastAsia="宋体" w:cs="Times New Roman"/>
                <w:b w:val="0"/>
                <w:i w:val="0"/>
                <w:snapToGrid/>
                <w:color w:val="auto"/>
                <w:spacing w:val="0"/>
                <w:kern w:val="0"/>
                <w:position w:val="0"/>
                <w:sz w:val="24"/>
                <w:szCs w:val="24"/>
                <w:lang w:eastAsia="zh-CN"/>
              </w:rPr>
              <w:t>，</w:t>
            </w:r>
            <w:r>
              <w:rPr>
                <w:rFonts w:hint="default" w:ascii="Times New Roman" w:hAnsi="Times New Roman" w:eastAsia="宋体" w:cs="Times New Roman"/>
                <w:b w:val="0"/>
                <w:i w:val="0"/>
                <w:snapToGrid/>
                <w:color w:val="auto"/>
                <w:spacing w:val="0"/>
                <w:kern w:val="0"/>
                <w:position w:val="0"/>
                <w:sz w:val="24"/>
                <w:szCs w:val="24"/>
              </w:rPr>
              <w:t>年工作日为</w:t>
            </w:r>
            <w:r>
              <w:rPr>
                <w:rFonts w:hint="eastAsia" w:cs="Times New Roman"/>
                <w:b w:val="0"/>
                <w:i w:val="0"/>
                <w:snapToGrid/>
                <w:color w:val="auto"/>
                <w:spacing w:val="0"/>
                <w:kern w:val="0"/>
                <w:position w:val="0"/>
                <w:sz w:val="24"/>
                <w:szCs w:val="24"/>
                <w:lang w:val="en-US" w:eastAsia="zh-CN"/>
              </w:rPr>
              <w:t>300</w:t>
            </w:r>
            <w:r>
              <w:rPr>
                <w:rFonts w:hint="default" w:ascii="Times New Roman" w:hAnsi="Times New Roman" w:eastAsia="宋体" w:cs="Times New Roman"/>
                <w:b w:val="0"/>
                <w:i w:val="0"/>
                <w:snapToGrid/>
                <w:color w:val="auto"/>
                <w:spacing w:val="0"/>
                <w:kern w:val="0"/>
                <w:position w:val="0"/>
                <w:sz w:val="24"/>
                <w:szCs w:val="24"/>
              </w:rPr>
              <w:t>天</w:t>
            </w:r>
            <w:r>
              <w:rPr>
                <w:rFonts w:hint="eastAsia" w:cs="Times New Roman"/>
                <w:b w:val="0"/>
                <w:i w:val="0"/>
                <w:snapToGrid/>
                <w:color w:val="auto"/>
                <w:spacing w:val="0"/>
                <w:kern w:val="0"/>
                <w:position w:val="0"/>
                <w:sz w:val="24"/>
                <w:szCs w:val="24"/>
                <w:lang w:eastAsia="zh-CN"/>
              </w:rPr>
              <w:t>。</w:t>
            </w:r>
            <w:r>
              <w:rPr>
                <w:rFonts w:hint="default" w:ascii="Times New Roman" w:hAnsi="Times New Roman" w:eastAsia="宋体" w:cs="Times New Roman"/>
                <w:b w:val="0"/>
                <w:i w:val="0"/>
                <w:snapToGrid/>
                <w:color w:val="auto"/>
                <w:spacing w:val="0"/>
                <w:kern w:val="0"/>
                <w:position w:val="0"/>
                <w:sz w:val="24"/>
                <w:szCs w:val="24"/>
              </w:rPr>
              <w:t>厂区</w:t>
            </w:r>
            <w:r>
              <w:rPr>
                <w:rFonts w:hint="eastAsia" w:ascii="Times New Roman" w:hAnsi="Times New Roman" w:eastAsia="宋体" w:cs="Times New Roman"/>
                <w:b w:val="0"/>
                <w:i w:val="0"/>
                <w:snapToGrid/>
                <w:color w:val="auto"/>
                <w:spacing w:val="0"/>
                <w:kern w:val="0"/>
                <w:position w:val="0"/>
                <w:sz w:val="24"/>
                <w:szCs w:val="24"/>
                <w:lang w:eastAsia="zh-CN"/>
              </w:rPr>
              <w:t>不</w:t>
            </w:r>
            <w:r>
              <w:rPr>
                <w:rFonts w:hint="default" w:ascii="Times New Roman" w:hAnsi="Times New Roman" w:eastAsia="宋体" w:cs="Times New Roman"/>
                <w:b w:val="0"/>
                <w:i w:val="0"/>
                <w:snapToGrid/>
                <w:color w:val="auto"/>
                <w:spacing w:val="0"/>
                <w:kern w:val="0"/>
                <w:position w:val="0"/>
                <w:sz w:val="24"/>
                <w:szCs w:val="24"/>
                <w:lang w:val="en-US" w:eastAsia="zh-CN"/>
              </w:rPr>
              <w:t>提供</w:t>
            </w:r>
            <w:r>
              <w:rPr>
                <w:rFonts w:hint="eastAsia" w:ascii="Times New Roman" w:hAnsi="Times New Roman" w:eastAsia="宋体" w:cs="Times New Roman"/>
                <w:b w:val="0"/>
                <w:i w:val="0"/>
                <w:snapToGrid/>
                <w:color w:val="auto"/>
                <w:spacing w:val="0"/>
                <w:kern w:val="0"/>
                <w:position w:val="0"/>
                <w:sz w:val="24"/>
                <w:szCs w:val="24"/>
                <w:lang w:val="en-US" w:eastAsia="zh-CN"/>
              </w:rPr>
              <w:t>食堂、住</w:t>
            </w:r>
            <w:r>
              <w:rPr>
                <w:rFonts w:hint="default" w:ascii="Times New Roman" w:hAnsi="Times New Roman" w:eastAsia="宋体" w:cs="Times New Roman"/>
                <w:b w:val="0"/>
                <w:i w:val="0"/>
                <w:snapToGrid/>
                <w:color w:val="auto"/>
                <w:spacing w:val="0"/>
                <w:kern w:val="0"/>
                <w:position w:val="0"/>
                <w:sz w:val="24"/>
                <w:szCs w:val="24"/>
                <w:lang w:val="en-US" w:eastAsia="zh-CN"/>
              </w:rPr>
              <w:t>宿</w:t>
            </w:r>
            <w:r>
              <w:rPr>
                <w:rFonts w:hint="default" w:ascii="Times New Roman" w:hAnsi="Times New Roman" w:eastAsia="宋体" w:cs="Times New Roman"/>
                <w:b w:val="0"/>
                <w:i w:val="0"/>
                <w:snapToGrid/>
                <w:color w:val="auto"/>
                <w:spacing w:val="0"/>
                <w:kern w:val="0"/>
                <w:position w:val="0"/>
                <w:sz w:val="24"/>
                <w:szCs w:val="24"/>
              </w:rPr>
              <w:t>。</w:t>
            </w:r>
          </w:p>
          <w:p w14:paraId="2B09E35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snapToGrid/>
                <w:color w:val="auto"/>
                <w:spacing w:val="0"/>
                <w:kern w:val="0"/>
                <w:position w:val="0"/>
                <w:sz w:val="24"/>
                <w:szCs w:val="24"/>
                <w:lang w:eastAsia="zh-CN"/>
              </w:rPr>
            </w:pPr>
            <w:r>
              <w:rPr>
                <w:rFonts w:hint="eastAsia" w:cs="Times New Roman"/>
                <w:b/>
                <w:bCs/>
                <w:snapToGrid/>
                <w:color w:val="auto"/>
                <w:spacing w:val="0"/>
                <w:kern w:val="0"/>
                <w:position w:val="0"/>
                <w:sz w:val="24"/>
                <w:szCs w:val="24"/>
                <w:lang w:val="en-US" w:eastAsia="zh-CN"/>
              </w:rPr>
              <w:t>7</w:t>
            </w:r>
            <w:r>
              <w:rPr>
                <w:rFonts w:hint="eastAsia" w:ascii="Times New Roman" w:hAnsi="Times New Roman" w:eastAsia="宋体" w:cs="Times New Roman"/>
                <w:b/>
                <w:bCs/>
                <w:snapToGrid/>
                <w:color w:val="auto"/>
                <w:spacing w:val="0"/>
                <w:kern w:val="0"/>
                <w:position w:val="0"/>
                <w:sz w:val="24"/>
                <w:szCs w:val="24"/>
                <w:lang w:val="en-US" w:eastAsia="zh-CN"/>
              </w:rPr>
              <w:t>、</w:t>
            </w:r>
            <w:r>
              <w:rPr>
                <w:rFonts w:hint="default" w:ascii="Times New Roman" w:hAnsi="Times New Roman" w:eastAsia="宋体" w:cs="Times New Roman"/>
                <w:b/>
                <w:bCs/>
                <w:snapToGrid/>
                <w:color w:val="auto"/>
                <w:spacing w:val="0"/>
                <w:kern w:val="0"/>
                <w:position w:val="0"/>
                <w:sz w:val="24"/>
                <w:szCs w:val="24"/>
                <w:lang w:eastAsia="zh-CN"/>
              </w:rPr>
              <w:t>厂区平面布置</w:t>
            </w:r>
          </w:p>
          <w:p w14:paraId="425B201F">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360" w:lineRule="auto"/>
              <w:ind w:leftChars="200"/>
              <w:jc w:val="both"/>
              <w:textAlignment w:val="auto"/>
              <w:rPr>
                <w:rFonts w:hint="default" w:ascii="Times New Roman" w:hAnsi="Times New Roman" w:eastAsia="宋体" w:cs="Times New Roman"/>
                <w:snapToGrid/>
                <w:color w:val="auto"/>
                <w:spacing w:val="0"/>
                <w:kern w:val="0"/>
                <w:position w:val="0"/>
                <w:sz w:val="24"/>
                <w:lang w:val="en-US" w:eastAsia="zh-CN"/>
              </w:rPr>
            </w:pPr>
            <w:r>
              <w:rPr>
                <w:rFonts w:hint="eastAsia" w:ascii="宋体" w:hAnsi="宋体" w:eastAsia="宋体" w:cs="宋体"/>
                <w:snapToGrid/>
                <w:color w:val="auto"/>
                <w:spacing w:val="0"/>
                <w:kern w:val="0"/>
                <w:position w:val="0"/>
                <w:sz w:val="24"/>
                <w:lang w:val="en-US" w:eastAsia="zh-CN"/>
              </w:rPr>
              <w:t>①</w:t>
            </w:r>
            <w:r>
              <w:rPr>
                <w:rFonts w:hint="eastAsia" w:cs="Times New Roman"/>
                <w:snapToGrid/>
                <w:color w:val="auto"/>
                <w:spacing w:val="0"/>
                <w:kern w:val="0"/>
                <w:position w:val="0"/>
                <w:sz w:val="24"/>
                <w:lang w:val="en-US" w:eastAsia="zh-CN"/>
              </w:rPr>
              <w:t xml:space="preserve"> </w:t>
            </w:r>
            <w:r>
              <w:rPr>
                <w:rFonts w:hint="default" w:ascii="Times New Roman" w:hAnsi="Times New Roman" w:eastAsia="宋体" w:cs="Times New Roman"/>
                <w:snapToGrid/>
                <w:color w:val="auto"/>
                <w:spacing w:val="0"/>
                <w:kern w:val="0"/>
                <w:position w:val="0"/>
                <w:sz w:val="24"/>
                <w:lang w:val="en-US" w:eastAsia="zh-CN"/>
              </w:rPr>
              <w:t>项目整体布置</w:t>
            </w:r>
          </w:p>
          <w:p w14:paraId="61EA11AA">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snapToGrid/>
                <w:color w:val="auto"/>
                <w:spacing w:val="0"/>
                <w:kern w:val="0"/>
                <w:position w:val="0"/>
                <w:sz w:val="24"/>
                <w:lang w:val="en-US" w:eastAsia="zh-CN"/>
              </w:rPr>
            </w:pPr>
            <w:r>
              <w:rPr>
                <w:rFonts w:hint="default" w:ascii="Times New Roman" w:hAnsi="Times New Roman" w:eastAsia="宋体" w:cs="Times New Roman"/>
                <w:snapToGrid/>
                <w:color w:val="auto"/>
                <w:spacing w:val="0"/>
                <w:kern w:val="0"/>
                <w:position w:val="0"/>
                <w:sz w:val="24"/>
              </w:rPr>
              <w:t>项目建设地点位于</w:t>
            </w:r>
            <w:r>
              <w:rPr>
                <w:rFonts w:hint="eastAsia" w:cs="Times New Roman"/>
                <w:snapToGrid/>
                <w:color w:val="auto"/>
                <w:spacing w:val="0"/>
                <w:kern w:val="0"/>
                <w:position w:val="0"/>
                <w:sz w:val="24"/>
                <w:lang w:eastAsia="zh-CN"/>
              </w:rPr>
              <w:t>安徽省宿州市灵璧县尹集镇田路村</w:t>
            </w:r>
            <w:r>
              <w:rPr>
                <w:rFonts w:hint="default" w:ascii="Times New Roman" w:hAnsi="Times New Roman" w:eastAsia="宋体" w:cs="Times New Roman"/>
                <w:snapToGrid/>
                <w:color w:val="auto"/>
                <w:spacing w:val="0"/>
                <w:kern w:val="0"/>
                <w:position w:val="0"/>
                <w:sz w:val="24"/>
                <w:lang w:val="en-US" w:eastAsia="zh-CN"/>
              </w:rPr>
              <w:t>，</w:t>
            </w:r>
            <w:r>
              <w:rPr>
                <w:rFonts w:hint="eastAsia" w:ascii="Times New Roman" w:hAnsi="Times New Roman" w:eastAsia="宋体" w:cs="Times New Roman"/>
                <w:snapToGrid/>
                <w:color w:val="auto"/>
                <w:spacing w:val="0"/>
                <w:kern w:val="0"/>
                <w:position w:val="0"/>
                <w:sz w:val="24"/>
                <w:lang w:val="en-US" w:eastAsia="zh-CN"/>
              </w:rPr>
              <w:t>厂区</w:t>
            </w:r>
            <w:r>
              <w:rPr>
                <w:rFonts w:hint="default" w:ascii="Times New Roman" w:hAnsi="Times New Roman" w:eastAsia="宋体" w:cs="Times New Roman"/>
                <w:snapToGrid/>
                <w:color w:val="auto"/>
                <w:spacing w:val="0"/>
                <w:kern w:val="0"/>
                <w:position w:val="0"/>
                <w:sz w:val="24"/>
                <w:lang w:val="en-US" w:eastAsia="zh-CN"/>
              </w:rPr>
              <w:t>分为生产车间、</w:t>
            </w:r>
            <w:r>
              <w:rPr>
                <w:rFonts w:hint="eastAsia" w:ascii="Times New Roman" w:hAnsi="Times New Roman" w:eastAsia="宋体" w:cs="Times New Roman"/>
                <w:snapToGrid/>
                <w:color w:val="auto"/>
                <w:spacing w:val="0"/>
                <w:kern w:val="0"/>
                <w:position w:val="0"/>
                <w:sz w:val="24"/>
                <w:lang w:val="en-US" w:eastAsia="zh-CN"/>
              </w:rPr>
              <w:t>原料</w:t>
            </w:r>
            <w:r>
              <w:rPr>
                <w:rFonts w:hint="eastAsia" w:cs="Times New Roman"/>
                <w:snapToGrid/>
                <w:color w:val="auto"/>
                <w:spacing w:val="0"/>
                <w:kern w:val="0"/>
                <w:position w:val="0"/>
                <w:sz w:val="24"/>
                <w:lang w:val="en-US" w:eastAsia="zh-CN"/>
              </w:rPr>
              <w:t>区、成品堆放区、办公室</w:t>
            </w:r>
            <w:r>
              <w:rPr>
                <w:rFonts w:hint="default" w:ascii="Times New Roman" w:hAnsi="Times New Roman" w:eastAsia="宋体" w:cs="Times New Roman"/>
                <w:snapToGrid/>
                <w:color w:val="auto"/>
                <w:spacing w:val="0"/>
                <w:kern w:val="0"/>
                <w:position w:val="0"/>
                <w:sz w:val="24"/>
                <w:lang w:val="en-US" w:eastAsia="zh-CN"/>
              </w:rPr>
              <w:t>等功能分区，具体见</w:t>
            </w:r>
            <w:r>
              <w:rPr>
                <w:rFonts w:hint="eastAsia" w:cs="Times New Roman"/>
                <w:snapToGrid/>
                <w:color w:val="auto"/>
                <w:spacing w:val="0"/>
                <w:kern w:val="0"/>
                <w:position w:val="0"/>
                <w:sz w:val="24"/>
                <w:lang w:val="en-US" w:eastAsia="zh-CN"/>
              </w:rPr>
              <w:t>厂区</w:t>
            </w:r>
            <w:r>
              <w:rPr>
                <w:rFonts w:hint="default" w:ascii="Times New Roman" w:hAnsi="Times New Roman" w:eastAsia="宋体" w:cs="Times New Roman"/>
                <w:snapToGrid/>
                <w:color w:val="auto"/>
                <w:spacing w:val="0"/>
                <w:kern w:val="0"/>
                <w:position w:val="0"/>
                <w:sz w:val="24"/>
                <w:lang w:val="en-US" w:eastAsia="zh-CN"/>
              </w:rPr>
              <w:t>平面布置图。</w:t>
            </w:r>
          </w:p>
          <w:p w14:paraId="3ACD2D84">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360" w:lineRule="auto"/>
              <w:ind w:leftChars="200"/>
              <w:jc w:val="both"/>
              <w:textAlignment w:val="auto"/>
              <w:rPr>
                <w:rFonts w:hint="default" w:ascii="Times New Roman" w:hAnsi="Times New Roman" w:eastAsia="宋体" w:cs="Times New Roman"/>
                <w:snapToGrid/>
                <w:color w:val="auto"/>
                <w:spacing w:val="0"/>
                <w:kern w:val="0"/>
                <w:position w:val="0"/>
                <w:sz w:val="24"/>
                <w:lang w:val="en-US" w:eastAsia="zh-CN"/>
              </w:rPr>
            </w:pPr>
            <w:r>
              <w:rPr>
                <w:rFonts w:hint="eastAsia" w:ascii="宋体" w:hAnsi="宋体" w:eastAsia="宋体" w:cs="宋体"/>
                <w:snapToGrid/>
                <w:color w:val="auto"/>
                <w:spacing w:val="0"/>
                <w:kern w:val="0"/>
                <w:position w:val="0"/>
                <w:sz w:val="24"/>
                <w:lang w:val="en-US" w:eastAsia="zh-CN"/>
              </w:rPr>
              <w:t>②</w:t>
            </w:r>
            <w:r>
              <w:rPr>
                <w:rFonts w:hint="eastAsia" w:cs="Times New Roman"/>
                <w:snapToGrid/>
                <w:color w:val="auto"/>
                <w:spacing w:val="0"/>
                <w:kern w:val="0"/>
                <w:position w:val="0"/>
                <w:sz w:val="24"/>
                <w:lang w:val="en-US" w:eastAsia="zh-CN"/>
              </w:rPr>
              <w:t xml:space="preserve"> </w:t>
            </w:r>
            <w:r>
              <w:rPr>
                <w:rFonts w:hint="default" w:ascii="Times New Roman" w:hAnsi="Times New Roman" w:eastAsia="宋体" w:cs="Times New Roman"/>
                <w:snapToGrid/>
                <w:color w:val="auto"/>
                <w:spacing w:val="0"/>
                <w:kern w:val="0"/>
                <w:position w:val="0"/>
                <w:sz w:val="24"/>
                <w:lang w:val="en-US" w:eastAsia="zh-CN"/>
              </w:rPr>
              <w:t>项目原料及产品由汽车进行运输。</w:t>
            </w:r>
          </w:p>
          <w:p w14:paraId="69029A3E">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360" w:lineRule="auto"/>
              <w:ind w:leftChars="200"/>
              <w:jc w:val="both"/>
              <w:textAlignment w:val="auto"/>
              <w:rPr>
                <w:rFonts w:hint="default" w:ascii="Times New Roman" w:hAnsi="Times New Roman" w:eastAsia="宋体" w:cs="Times New Roman"/>
                <w:snapToGrid/>
                <w:color w:val="auto"/>
                <w:spacing w:val="0"/>
                <w:kern w:val="0"/>
                <w:position w:val="0"/>
                <w:sz w:val="24"/>
                <w:lang w:val="en-US" w:eastAsia="zh-CN"/>
              </w:rPr>
            </w:pPr>
            <w:r>
              <w:rPr>
                <w:rFonts w:hint="eastAsia" w:ascii="宋体" w:hAnsi="宋体" w:eastAsia="宋体" w:cs="宋体"/>
                <w:snapToGrid/>
                <w:color w:val="auto"/>
                <w:spacing w:val="0"/>
                <w:kern w:val="0"/>
                <w:position w:val="0"/>
                <w:sz w:val="24"/>
                <w:lang w:val="en-US" w:eastAsia="zh-CN"/>
              </w:rPr>
              <w:t>③</w:t>
            </w:r>
            <w:r>
              <w:rPr>
                <w:rFonts w:hint="eastAsia" w:cs="Times New Roman"/>
                <w:snapToGrid/>
                <w:color w:val="auto"/>
                <w:spacing w:val="0"/>
                <w:kern w:val="0"/>
                <w:position w:val="0"/>
                <w:sz w:val="24"/>
                <w:lang w:val="en-US" w:eastAsia="zh-CN"/>
              </w:rPr>
              <w:t xml:space="preserve"> </w:t>
            </w:r>
            <w:r>
              <w:rPr>
                <w:rFonts w:hint="default" w:ascii="Times New Roman" w:hAnsi="Times New Roman" w:eastAsia="宋体" w:cs="Times New Roman"/>
                <w:snapToGrid/>
                <w:color w:val="auto"/>
                <w:spacing w:val="0"/>
                <w:kern w:val="0"/>
                <w:position w:val="0"/>
                <w:sz w:val="24"/>
                <w:lang w:val="en-US" w:eastAsia="zh-CN"/>
              </w:rPr>
              <w:t>平面布置合理性</w:t>
            </w:r>
          </w:p>
          <w:p w14:paraId="709D4E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napToGrid/>
                <w:color w:val="auto"/>
                <w:spacing w:val="0"/>
                <w:kern w:val="0"/>
                <w:position w:val="0"/>
                <w:sz w:val="24"/>
                <w:lang w:val="en-US" w:eastAsia="zh-CN"/>
              </w:rPr>
            </w:pPr>
            <w:r>
              <w:rPr>
                <w:rFonts w:hint="default" w:ascii="Times New Roman" w:hAnsi="Times New Roman" w:eastAsia="宋体" w:cs="Times New Roman"/>
                <w:snapToGrid/>
                <w:color w:val="auto"/>
                <w:spacing w:val="0"/>
                <w:kern w:val="0"/>
                <w:position w:val="0"/>
                <w:sz w:val="24"/>
                <w:lang w:val="en-US" w:eastAsia="zh-CN"/>
              </w:rPr>
              <w:t>项目厂区布置总体来说，结构明朗，流程顺畅，布局紧凑，符合防火、安全卫生、环保、交通、运输、生产工艺流程等需求。总体上做到按功能分区，系统分明，布置整齐。</w:t>
            </w:r>
          </w:p>
          <w:p w14:paraId="29FFDCD8">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auto"/>
              <w:outlineLvl w:val="0"/>
              <w:rPr>
                <w:rFonts w:hint="eastAsia" w:cs="宋体"/>
                <w:b/>
                <w:bCs/>
                <w:snapToGrid/>
                <w:color w:val="auto"/>
                <w:spacing w:val="0"/>
                <w:kern w:val="0"/>
                <w:position w:val="0"/>
                <w:sz w:val="30"/>
                <w:szCs w:val="30"/>
                <w:vertAlign w:val="baseline"/>
                <w:lang w:val="en-US" w:eastAsia="zh-CN"/>
              </w:rPr>
            </w:pPr>
          </w:p>
          <w:p w14:paraId="4C56C5F5">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auto"/>
              <w:outlineLvl w:val="0"/>
              <w:rPr>
                <w:rFonts w:hint="eastAsia" w:cs="宋体"/>
                <w:b/>
                <w:bCs/>
                <w:snapToGrid/>
                <w:color w:val="auto"/>
                <w:spacing w:val="0"/>
                <w:kern w:val="0"/>
                <w:position w:val="0"/>
                <w:sz w:val="30"/>
                <w:szCs w:val="30"/>
                <w:vertAlign w:val="baseline"/>
                <w:lang w:val="en-US" w:eastAsia="zh-CN"/>
              </w:rPr>
            </w:pPr>
          </w:p>
          <w:p w14:paraId="72029604">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auto"/>
              <w:outlineLvl w:val="0"/>
              <w:rPr>
                <w:rFonts w:hint="eastAsia" w:cs="宋体"/>
                <w:b/>
                <w:bCs/>
                <w:snapToGrid/>
                <w:color w:val="auto"/>
                <w:spacing w:val="0"/>
                <w:kern w:val="0"/>
                <w:position w:val="0"/>
                <w:sz w:val="30"/>
                <w:szCs w:val="30"/>
                <w:vertAlign w:val="baseline"/>
                <w:lang w:val="en-US" w:eastAsia="zh-CN"/>
              </w:rPr>
            </w:pPr>
          </w:p>
          <w:p w14:paraId="35C44A6E">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auto"/>
              <w:outlineLvl w:val="0"/>
              <w:rPr>
                <w:rFonts w:hint="eastAsia" w:cs="宋体"/>
                <w:b/>
                <w:bCs/>
                <w:snapToGrid/>
                <w:color w:val="auto"/>
                <w:spacing w:val="0"/>
                <w:kern w:val="0"/>
                <w:position w:val="0"/>
                <w:sz w:val="30"/>
                <w:szCs w:val="30"/>
                <w:vertAlign w:val="baseline"/>
                <w:lang w:val="en-US" w:eastAsia="zh-CN"/>
              </w:rPr>
            </w:pPr>
          </w:p>
          <w:p w14:paraId="24E935AD">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auto"/>
              <w:outlineLvl w:val="0"/>
              <w:rPr>
                <w:rFonts w:hint="eastAsia" w:cs="宋体"/>
                <w:b/>
                <w:bCs/>
                <w:snapToGrid/>
                <w:color w:val="auto"/>
                <w:spacing w:val="0"/>
                <w:kern w:val="0"/>
                <w:position w:val="0"/>
                <w:sz w:val="30"/>
                <w:szCs w:val="30"/>
                <w:vertAlign w:val="baseline"/>
                <w:lang w:val="en-US" w:eastAsia="zh-CN"/>
              </w:rPr>
            </w:pPr>
          </w:p>
          <w:p w14:paraId="6EEDCB10">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auto"/>
              <w:outlineLvl w:val="0"/>
              <w:rPr>
                <w:rFonts w:hint="eastAsia" w:cs="宋体"/>
                <w:b/>
                <w:bCs/>
                <w:snapToGrid/>
                <w:color w:val="auto"/>
                <w:spacing w:val="0"/>
                <w:kern w:val="0"/>
                <w:position w:val="0"/>
                <w:sz w:val="30"/>
                <w:szCs w:val="30"/>
                <w:vertAlign w:val="baseline"/>
                <w:lang w:val="en-US" w:eastAsia="zh-CN"/>
              </w:rPr>
            </w:pPr>
          </w:p>
          <w:p w14:paraId="726BDDB7">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auto"/>
              <w:outlineLvl w:val="0"/>
              <w:rPr>
                <w:rFonts w:hint="eastAsia" w:cs="宋体"/>
                <w:b/>
                <w:bCs/>
                <w:snapToGrid/>
                <w:color w:val="auto"/>
                <w:spacing w:val="0"/>
                <w:kern w:val="0"/>
                <w:position w:val="0"/>
                <w:sz w:val="30"/>
                <w:szCs w:val="30"/>
                <w:vertAlign w:val="baseline"/>
                <w:lang w:val="en-US" w:eastAsia="zh-CN"/>
              </w:rPr>
            </w:pPr>
          </w:p>
          <w:p w14:paraId="61A6F5E3">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auto"/>
              <w:outlineLvl w:val="0"/>
              <w:rPr>
                <w:rFonts w:hint="eastAsia" w:cs="宋体"/>
                <w:b/>
                <w:bCs/>
                <w:snapToGrid/>
                <w:color w:val="auto"/>
                <w:spacing w:val="0"/>
                <w:kern w:val="0"/>
                <w:position w:val="0"/>
                <w:sz w:val="30"/>
                <w:szCs w:val="30"/>
                <w:vertAlign w:val="baseline"/>
                <w:lang w:val="en-US" w:eastAsia="zh-CN"/>
              </w:rPr>
            </w:pPr>
          </w:p>
          <w:p w14:paraId="72B41500">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auto"/>
              <w:outlineLvl w:val="0"/>
              <w:rPr>
                <w:rFonts w:hint="eastAsia" w:cs="宋体"/>
                <w:b/>
                <w:bCs/>
                <w:snapToGrid/>
                <w:color w:val="auto"/>
                <w:spacing w:val="0"/>
                <w:kern w:val="0"/>
                <w:position w:val="0"/>
                <w:sz w:val="30"/>
                <w:szCs w:val="30"/>
                <w:vertAlign w:val="baseline"/>
                <w:lang w:val="en-US" w:eastAsia="zh-CN"/>
              </w:rPr>
            </w:pPr>
          </w:p>
          <w:p w14:paraId="57A81F83">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auto"/>
              <w:outlineLvl w:val="0"/>
              <w:rPr>
                <w:rFonts w:hint="eastAsia" w:cs="宋体"/>
                <w:b/>
                <w:bCs/>
                <w:snapToGrid/>
                <w:color w:val="auto"/>
                <w:spacing w:val="0"/>
                <w:kern w:val="0"/>
                <w:position w:val="0"/>
                <w:sz w:val="30"/>
                <w:szCs w:val="30"/>
                <w:vertAlign w:val="baseline"/>
                <w:lang w:val="en-US" w:eastAsia="zh-CN"/>
              </w:rPr>
            </w:pPr>
          </w:p>
          <w:p w14:paraId="5A878B1F">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auto"/>
              <w:outlineLvl w:val="0"/>
              <w:rPr>
                <w:rFonts w:hint="eastAsia" w:cs="宋体"/>
                <w:b/>
                <w:bCs/>
                <w:snapToGrid/>
                <w:color w:val="auto"/>
                <w:spacing w:val="0"/>
                <w:kern w:val="0"/>
                <w:position w:val="0"/>
                <w:sz w:val="30"/>
                <w:szCs w:val="30"/>
                <w:vertAlign w:val="baseline"/>
                <w:lang w:val="en-US" w:eastAsia="zh-CN"/>
              </w:rPr>
            </w:pPr>
          </w:p>
          <w:p w14:paraId="064D3434">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auto"/>
              <w:outlineLvl w:val="0"/>
              <w:rPr>
                <w:rFonts w:hint="eastAsia" w:cs="宋体"/>
                <w:b/>
                <w:bCs/>
                <w:snapToGrid/>
                <w:color w:val="auto"/>
                <w:spacing w:val="0"/>
                <w:kern w:val="0"/>
                <w:position w:val="0"/>
                <w:sz w:val="30"/>
                <w:szCs w:val="30"/>
                <w:vertAlign w:val="baseline"/>
                <w:lang w:val="en-US" w:eastAsia="zh-CN"/>
              </w:rPr>
            </w:pPr>
          </w:p>
          <w:p w14:paraId="58BA704F">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auto"/>
              <w:outlineLvl w:val="0"/>
              <w:rPr>
                <w:rFonts w:hint="default" w:ascii="宋体" w:hAnsi="宋体" w:eastAsia="宋体" w:cs="宋体"/>
                <w:b/>
                <w:bCs/>
                <w:snapToGrid/>
                <w:color w:val="auto"/>
                <w:spacing w:val="0"/>
                <w:kern w:val="0"/>
                <w:position w:val="0"/>
                <w:sz w:val="30"/>
                <w:szCs w:val="30"/>
                <w:vertAlign w:val="baseline"/>
                <w:lang w:val="en-US" w:eastAsia="zh-CN"/>
              </w:rPr>
            </w:pPr>
          </w:p>
        </w:tc>
      </w:tr>
    </w:tbl>
    <w:tbl>
      <w:tblPr>
        <w:tblStyle w:val="22"/>
        <w:tblW w:w="5418"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552"/>
        <w:gridCol w:w="8676"/>
      </w:tblGrid>
      <w:tr w14:paraId="0A4AFC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683" w:hRule="atLeast"/>
          <w:jc w:val="center"/>
        </w:trPr>
        <w:tc>
          <w:tcPr>
            <w:tcW w:w="299" w:type="pct"/>
            <w:tcBorders>
              <w:tl2br w:val="nil"/>
              <w:tr2bl w:val="nil"/>
            </w:tcBorders>
            <w:noWrap w:val="0"/>
            <w:vAlign w:val="center"/>
          </w:tcPr>
          <w:p w14:paraId="4E52A12F">
            <w:pPr>
              <w:pStyle w:val="20"/>
              <w:adjustRightInd w:val="0"/>
              <w:snapToGrid w:val="0"/>
              <w:spacing w:before="0" w:beforeAutospacing="0" w:after="0" w:afterAutospacing="0"/>
              <w:jc w:val="center"/>
              <w:rPr>
                <w:rFonts w:hint="eastAsia" w:ascii="宋体" w:hAnsi="宋体" w:eastAsia="宋体" w:cs="宋体"/>
                <w:b w:val="0"/>
                <w:bCs w:val="0"/>
                <w:snapToGrid/>
                <w:color w:val="auto"/>
                <w:spacing w:val="0"/>
                <w:kern w:val="0"/>
                <w:position w:val="0"/>
                <w:sz w:val="24"/>
                <w:szCs w:val="24"/>
              </w:rPr>
            </w:pPr>
            <w:r>
              <w:rPr>
                <w:rFonts w:hint="eastAsia" w:ascii="宋体" w:hAnsi="宋体" w:eastAsia="宋体" w:cs="宋体"/>
                <w:b w:val="0"/>
                <w:bCs w:val="0"/>
                <w:snapToGrid/>
                <w:color w:val="auto"/>
                <w:spacing w:val="0"/>
                <w:kern w:val="0"/>
                <w:position w:val="0"/>
                <w:sz w:val="24"/>
                <w:szCs w:val="24"/>
              </w:rPr>
              <w:t>工艺流程和产排污环节</w:t>
            </w:r>
          </w:p>
        </w:tc>
        <w:tc>
          <w:tcPr>
            <w:tcW w:w="4700" w:type="pct"/>
            <w:tcBorders>
              <w:tl2br w:val="nil"/>
              <w:tr2bl w:val="nil"/>
            </w:tcBorders>
            <w:noWrap w:val="0"/>
            <w:vAlign w:val="top"/>
          </w:tcPr>
          <w:p w14:paraId="12E3D669">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项目运营期</w:t>
            </w:r>
            <w:r>
              <w:rPr>
                <w:rFonts w:hint="eastAsia" w:ascii="Times New Roman" w:hAnsi="Times New Roman" w:cs="Times New Roman"/>
                <w:b/>
                <w:bCs/>
                <w:snapToGrid/>
                <w:color w:val="auto"/>
                <w:spacing w:val="0"/>
                <w:kern w:val="0"/>
                <w:position w:val="0"/>
                <w:sz w:val="24"/>
                <w:szCs w:val="24"/>
                <w:lang w:val="en-US" w:eastAsia="zh-CN"/>
              </w:rPr>
              <w:t>生产</w:t>
            </w:r>
            <w:r>
              <w:rPr>
                <w:rFonts w:hint="default" w:ascii="Times New Roman" w:hAnsi="Times New Roman" w:eastAsia="宋体" w:cs="Times New Roman"/>
                <w:b/>
                <w:bCs/>
                <w:color w:val="auto"/>
                <w:sz w:val="24"/>
                <w:szCs w:val="24"/>
                <w:lang w:val="en-US" w:eastAsia="zh-CN"/>
              </w:rPr>
              <w:t>工艺流程及产污节点简图</w:t>
            </w:r>
          </w:p>
          <w:p w14:paraId="6477760E">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center"/>
              <w:textAlignment w:val="auto"/>
              <w:rPr>
                <w:rFonts w:hint="default" w:ascii="Times New Roman" w:hAnsi="Times New Roman" w:eastAsia="宋体" w:cs="Times New Roman"/>
                <w:b/>
                <w:color w:val="auto"/>
                <w:spacing w:val="0"/>
                <w:w w:val="100"/>
                <w:position w:val="0"/>
                <w:sz w:val="24"/>
                <w:lang w:val="en-US" w:eastAsia="zh-CN"/>
              </w:rPr>
            </w:pPr>
            <w:r>
              <w:rPr>
                <w:rFonts w:hint="default" w:ascii="Times New Roman" w:hAnsi="Times New Roman" w:eastAsia="宋体" w:cs="Times New Roman"/>
                <w:b/>
                <w:color w:val="auto"/>
                <w:spacing w:val="0"/>
                <w:w w:val="100"/>
                <w:position w:val="0"/>
                <w:sz w:val="24"/>
                <w:lang w:val="en-US" w:eastAsia="zh-CN"/>
              </w:rPr>
              <w:object>
                <v:shape id="_x0000_i1027" o:spt="75" type="#_x0000_t75" style="height:522pt;width:286.5pt;" o:ole="t" filled="f" o:preferrelative="t" stroked="f" coordsize="21600,21600">
                  <v:path/>
                  <v:fill on="f" focussize="0,0"/>
                  <v:stroke on="f"/>
                  <v:imagedata r:id="rId12" o:title=""/>
                  <o:lock v:ext="edit" aspectratio="f"/>
                  <w10:wrap type="none"/>
                  <w10:anchorlock/>
                </v:shape>
                <o:OLEObject Type="Embed" ProgID="Visio.Drawing.11" ShapeID="_x0000_i1027" DrawAspect="Content" ObjectID="_1468075727" r:id="rId11">
                  <o:LockedField>false</o:LockedField>
                </o:OLEObject>
              </w:object>
            </w:r>
          </w:p>
          <w:p w14:paraId="5A62DE2B">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center"/>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图2</w:t>
            </w:r>
            <w:r>
              <w:rPr>
                <w:rFonts w:hint="eastAsia" w:cs="Times New Roman"/>
                <w:b/>
                <w:bCs/>
                <w:color w:val="auto"/>
                <w:kern w:val="0"/>
                <w:sz w:val="24"/>
                <w:szCs w:val="24"/>
                <w:highlight w:val="none"/>
                <w:lang w:val="en-US" w:eastAsia="zh-CN" w:bidi="ar"/>
              </w:rPr>
              <w:t xml:space="preserve">.3  </w:t>
            </w:r>
            <w:r>
              <w:rPr>
                <w:rFonts w:hint="default" w:ascii="Times New Roman" w:hAnsi="Times New Roman" w:eastAsia="宋体" w:cs="Times New Roman"/>
                <w:b/>
                <w:bCs/>
                <w:color w:val="auto"/>
                <w:kern w:val="0"/>
                <w:sz w:val="24"/>
                <w:szCs w:val="24"/>
                <w:highlight w:val="none"/>
                <w:lang w:val="en-US" w:eastAsia="zh-CN" w:bidi="ar"/>
              </w:rPr>
              <w:t>生产工艺流程及产污环节图</w:t>
            </w:r>
          </w:p>
          <w:p w14:paraId="2EFBCEBC">
            <w:pPr>
              <w:pStyle w:val="27"/>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Times New Roman" w:hAnsi="Times New Roman" w:cs="Times New Roman"/>
                <w:b/>
                <w:bCs/>
                <w:color w:val="auto"/>
                <w:position w:val="6"/>
                <w:sz w:val="24"/>
                <w:szCs w:val="24"/>
                <w:lang w:val="en-US" w:eastAsia="zh-CN"/>
              </w:rPr>
            </w:pPr>
            <w:r>
              <w:rPr>
                <w:rFonts w:hint="eastAsia" w:ascii="Times New Roman" w:hAnsi="Times New Roman" w:cs="Times New Roman"/>
                <w:b/>
                <w:bCs/>
                <w:color w:val="auto"/>
                <w:position w:val="6"/>
                <w:sz w:val="24"/>
                <w:szCs w:val="24"/>
                <w:lang w:val="en-US" w:eastAsia="zh-CN"/>
              </w:rPr>
              <w:t>工艺流程简述：</w:t>
            </w:r>
          </w:p>
          <w:p w14:paraId="6DCF1BC1">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hint="eastAsia" w:eastAsia="宋体"/>
                <w:color w:val="auto"/>
                <w:kern w:val="0"/>
                <w:sz w:val="24"/>
                <w:lang w:eastAsia="zh-CN" w:bidi="ar"/>
              </w:rPr>
            </w:pPr>
            <w:r>
              <w:rPr>
                <w:color w:val="auto"/>
                <w:kern w:val="0"/>
                <w:sz w:val="24"/>
                <w:lang w:bidi="ar"/>
              </w:rPr>
              <w:t>①</w:t>
            </w:r>
            <w:r>
              <w:rPr>
                <w:rFonts w:hint="eastAsia"/>
                <w:color w:val="auto"/>
                <w:kern w:val="0"/>
                <w:sz w:val="24"/>
                <w:lang w:eastAsia="zh-CN" w:bidi="ar"/>
              </w:rPr>
              <w:t>混合</w:t>
            </w:r>
          </w:p>
          <w:p w14:paraId="41F2720B">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hint="default" w:ascii="Times New Roman" w:hAnsi="Times New Roman" w:eastAsia="宋体" w:cs="Times New Roman"/>
                <w:color w:val="auto"/>
                <w:kern w:val="0"/>
                <w:sz w:val="24"/>
                <w:lang w:val="en-US" w:eastAsia="zh-CN" w:bidi="ar"/>
              </w:rPr>
            </w:pPr>
            <w:r>
              <w:rPr>
                <w:rFonts w:hint="eastAsia" w:cs="Times New Roman"/>
                <w:color w:val="auto"/>
                <w:kern w:val="0"/>
                <w:sz w:val="24"/>
                <w:lang w:eastAsia="zh-CN" w:bidi="ar"/>
              </w:rPr>
              <w:t>首先选取符合粉末注射成型技术要求的钨粉、铜粉、镍粉等金属粉末，按照比例加入</w:t>
            </w:r>
            <w:r>
              <w:rPr>
                <w:rFonts w:hint="eastAsia" w:cs="Times New Roman"/>
                <w:color w:val="auto"/>
                <w:kern w:val="0"/>
                <w:sz w:val="24"/>
                <w:lang w:val="en-US" w:eastAsia="zh-CN" w:bidi="ar"/>
              </w:rPr>
              <w:t>V型</w:t>
            </w:r>
            <w:r>
              <w:rPr>
                <w:rFonts w:hint="eastAsia" w:cs="Times New Roman"/>
                <w:color w:val="auto"/>
                <w:kern w:val="0"/>
                <w:sz w:val="24"/>
                <w:lang w:eastAsia="zh-CN" w:bidi="ar"/>
              </w:rPr>
              <w:t>混料机进行干混</w:t>
            </w:r>
            <w:r>
              <w:rPr>
                <w:rFonts w:hint="default" w:ascii="Times New Roman" w:hAnsi="Times New Roman" w:cs="Times New Roman"/>
                <w:color w:val="auto"/>
                <w:kern w:val="0"/>
                <w:sz w:val="24"/>
                <w:lang w:eastAsia="zh-CN" w:bidi="ar"/>
              </w:rPr>
              <w:t>。该工序会产生</w:t>
            </w:r>
            <w:r>
              <w:rPr>
                <w:rFonts w:hint="eastAsia" w:cs="Times New Roman"/>
                <w:color w:val="auto"/>
                <w:kern w:val="0"/>
                <w:sz w:val="24"/>
                <w:lang w:eastAsia="zh-CN" w:bidi="ar"/>
              </w:rPr>
              <w:t>混合</w:t>
            </w:r>
            <w:r>
              <w:rPr>
                <w:rFonts w:hint="default" w:ascii="Times New Roman" w:hAnsi="Times New Roman" w:cs="Times New Roman"/>
                <w:color w:val="auto"/>
                <w:kern w:val="0"/>
                <w:sz w:val="24"/>
                <w:lang w:eastAsia="zh-CN" w:bidi="ar"/>
              </w:rPr>
              <w:t>废气</w:t>
            </w:r>
            <w:r>
              <w:rPr>
                <w:rFonts w:hint="default" w:ascii="Times New Roman" w:hAnsi="Times New Roman" w:cs="Times New Roman"/>
                <w:color w:val="auto"/>
                <w:kern w:val="0"/>
                <w:sz w:val="24"/>
                <w:lang w:val="en-US" w:eastAsia="zh-CN" w:bidi="ar"/>
              </w:rPr>
              <w:t>G1，</w:t>
            </w:r>
            <w:r>
              <w:rPr>
                <w:rFonts w:hint="eastAsia" w:cs="Times New Roman"/>
                <w:color w:val="auto"/>
                <w:kern w:val="0"/>
                <w:sz w:val="24"/>
                <w:lang w:val="en-US" w:eastAsia="zh-CN" w:bidi="ar"/>
              </w:rPr>
              <w:t>废包装袋</w:t>
            </w:r>
            <w:r>
              <w:rPr>
                <w:rFonts w:hint="default" w:ascii="Times New Roman" w:hAnsi="Times New Roman" w:cs="Times New Roman"/>
                <w:color w:val="auto"/>
                <w:kern w:val="0"/>
                <w:sz w:val="24"/>
                <w:lang w:val="en-US" w:eastAsia="zh-CN" w:bidi="ar"/>
              </w:rPr>
              <w:t>S1</w:t>
            </w:r>
            <w:r>
              <w:rPr>
                <w:rFonts w:hint="eastAsia" w:cs="Times New Roman"/>
                <w:color w:val="auto"/>
                <w:kern w:val="0"/>
                <w:sz w:val="24"/>
                <w:lang w:val="en-US" w:eastAsia="zh-CN" w:bidi="ar"/>
              </w:rPr>
              <w:t>和噪声N</w:t>
            </w:r>
            <w:r>
              <w:rPr>
                <w:rFonts w:hint="default" w:ascii="Times New Roman" w:hAnsi="Times New Roman" w:cs="Times New Roman"/>
                <w:color w:val="auto"/>
                <w:kern w:val="0"/>
                <w:sz w:val="24"/>
                <w:lang w:val="en-US" w:eastAsia="zh-CN" w:bidi="ar"/>
              </w:rPr>
              <w:t>。</w:t>
            </w:r>
          </w:p>
          <w:p w14:paraId="1D43AE2B">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hint="eastAsia" w:ascii="Times New Roman" w:hAnsi="Times New Roman" w:eastAsia="宋体" w:cs="Times New Roman"/>
                <w:color w:val="auto"/>
                <w:kern w:val="0"/>
                <w:sz w:val="24"/>
                <w:lang w:val="en-US" w:eastAsia="zh-CN" w:bidi="ar"/>
              </w:rPr>
            </w:pPr>
            <w:r>
              <w:rPr>
                <w:rFonts w:hint="default" w:ascii="Times New Roman" w:hAnsi="Times New Roman" w:cs="Times New Roman"/>
                <w:color w:val="auto"/>
                <w:kern w:val="0"/>
                <w:sz w:val="24"/>
                <w:lang w:bidi="ar"/>
              </w:rPr>
              <w:t>②</w:t>
            </w:r>
            <w:r>
              <w:rPr>
                <w:rFonts w:hint="eastAsia" w:cs="Times New Roman"/>
                <w:color w:val="auto"/>
                <w:kern w:val="0"/>
                <w:sz w:val="24"/>
                <w:lang w:eastAsia="zh-CN" w:bidi="ar"/>
              </w:rPr>
              <w:t>加热混炼</w:t>
            </w:r>
          </w:p>
          <w:p w14:paraId="5C556261">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hint="default" w:ascii="Times New Roman" w:hAnsi="Times New Roman" w:cs="Times New Roman"/>
                <w:color w:val="auto"/>
                <w:kern w:val="0"/>
                <w:sz w:val="24"/>
                <w:lang w:eastAsia="zh-CN" w:bidi="ar"/>
              </w:rPr>
            </w:pPr>
            <w:r>
              <w:rPr>
                <w:rFonts w:hint="eastAsia" w:cs="Times New Roman"/>
                <w:color w:val="auto"/>
                <w:kern w:val="0"/>
                <w:sz w:val="24"/>
                <w:lang w:eastAsia="zh-CN" w:bidi="ar"/>
              </w:rPr>
              <w:t>混合均匀的金属粉末和石蜡、高密度聚乙烯</w:t>
            </w:r>
            <w:r>
              <w:rPr>
                <w:rFonts w:hint="eastAsia" w:cs="Times New Roman"/>
                <w:color w:val="auto"/>
                <w:kern w:val="0"/>
                <w:sz w:val="24"/>
                <w:lang w:val="en-US" w:eastAsia="zh-CN" w:bidi="ar"/>
              </w:rPr>
              <w:t>HDPE输入高速混料机，</w:t>
            </w:r>
            <w:r>
              <w:rPr>
                <w:rFonts w:hint="eastAsia" w:cs="Times New Roman"/>
                <w:color w:val="auto"/>
                <w:kern w:val="0"/>
                <w:sz w:val="24"/>
                <w:lang w:eastAsia="zh-CN" w:bidi="ar"/>
              </w:rPr>
              <w:t>在一定温度（</w:t>
            </w:r>
            <w:r>
              <w:rPr>
                <w:rFonts w:hint="default" w:ascii="Times New Roman" w:hAnsi="Times New Roman" w:eastAsia="宋体" w:cs="Times New Roman"/>
                <w:color w:val="auto"/>
                <w:sz w:val="24"/>
                <w:szCs w:val="24"/>
              </w:rPr>
              <w:t>160~180</w:t>
            </w:r>
            <w:r>
              <w:rPr>
                <w:rFonts w:hint="eastAsia" w:ascii="宋体" w:hAnsi="宋体" w:eastAsia="宋体" w:cs="宋体"/>
                <w:color w:val="auto"/>
                <w:sz w:val="24"/>
                <w:szCs w:val="24"/>
              </w:rPr>
              <w:t>℃</w:t>
            </w:r>
            <w:r>
              <w:rPr>
                <w:rFonts w:hint="eastAsia" w:cs="Times New Roman"/>
                <w:color w:val="auto"/>
                <w:kern w:val="0"/>
                <w:sz w:val="24"/>
                <w:lang w:eastAsia="zh-CN" w:bidi="ar"/>
              </w:rPr>
              <w:t>）下加热混料</w:t>
            </w:r>
            <w:r>
              <w:rPr>
                <w:rFonts w:hint="eastAsia" w:ascii="宋体" w:hAnsi="宋体" w:eastAsia="宋体" w:cs="宋体"/>
                <w:b w:val="0"/>
                <w:i w:val="0"/>
                <w:color w:val="auto"/>
                <w:kern w:val="0"/>
                <w:sz w:val="24"/>
                <w:szCs w:val="24"/>
                <w:lang w:val="en-US" w:eastAsia="zh-CN" w:bidi="ar"/>
              </w:rPr>
              <w:t>（</w:t>
            </w:r>
            <w:r>
              <w:rPr>
                <w:rFonts w:hint="eastAsia" w:ascii="宋体" w:hAnsi="宋体" w:eastAsia="宋体" w:cs="宋体"/>
                <w:b/>
                <w:bCs/>
                <w:i w:val="0"/>
                <w:color w:val="auto"/>
                <w:kern w:val="0"/>
                <w:sz w:val="24"/>
                <w:szCs w:val="24"/>
                <w:lang w:val="en-US" w:eastAsia="zh-CN" w:bidi="ar"/>
              </w:rPr>
              <w:t>电加热</w:t>
            </w:r>
            <w:r>
              <w:rPr>
                <w:rFonts w:hint="eastAsia" w:ascii="宋体" w:hAnsi="宋体" w:eastAsia="宋体" w:cs="宋体"/>
                <w:b w:val="0"/>
                <w:i w:val="0"/>
                <w:color w:val="auto"/>
                <w:kern w:val="0"/>
                <w:sz w:val="24"/>
                <w:szCs w:val="24"/>
                <w:lang w:val="en-US" w:eastAsia="zh-CN" w:bidi="ar"/>
              </w:rPr>
              <w:t>）</w:t>
            </w:r>
            <w:r>
              <w:rPr>
                <w:rFonts w:hint="eastAsia" w:cs="Times New Roman"/>
                <w:color w:val="auto"/>
                <w:kern w:val="0"/>
                <w:sz w:val="24"/>
                <w:lang w:eastAsia="zh-CN" w:bidi="ar"/>
              </w:rPr>
              <w:t>，将金属粉末和粘结剂混合成均匀</w:t>
            </w:r>
            <w:r>
              <w:rPr>
                <w:rFonts w:hint="default" w:ascii="Times New Roman" w:hAnsi="Times New Roman" w:cs="Times New Roman"/>
                <w:color w:val="auto"/>
                <w:kern w:val="0"/>
                <w:sz w:val="24"/>
                <w:lang w:bidi="ar"/>
              </w:rPr>
              <w:t>，该工序</w:t>
            </w:r>
            <w:r>
              <w:rPr>
                <w:rFonts w:hint="default" w:ascii="Times New Roman" w:hAnsi="Times New Roman" w:cs="Times New Roman"/>
                <w:color w:val="auto"/>
                <w:kern w:val="0"/>
                <w:sz w:val="24"/>
                <w:lang w:eastAsia="zh-CN" w:bidi="ar"/>
              </w:rPr>
              <w:t>会产生</w:t>
            </w:r>
            <w:r>
              <w:rPr>
                <w:rFonts w:hint="eastAsia" w:cs="Times New Roman"/>
                <w:color w:val="auto"/>
                <w:kern w:val="0"/>
                <w:sz w:val="24"/>
                <w:lang w:eastAsia="zh-CN" w:bidi="ar"/>
              </w:rPr>
              <w:t>加热</w:t>
            </w:r>
            <w:r>
              <w:rPr>
                <w:rFonts w:hint="default" w:ascii="Times New Roman" w:hAnsi="Times New Roman" w:cs="Times New Roman"/>
                <w:color w:val="auto"/>
                <w:kern w:val="0"/>
                <w:sz w:val="24"/>
                <w:lang w:eastAsia="zh-CN" w:bidi="ar"/>
              </w:rPr>
              <w:t>废气</w:t>
            </w:r>
            <w:r>
              <w:rPr>
                <w:rFonts w:hint="default" w:ascii="Times New Roman" w:hAnsi="Times New Roman" w:cs="Times New Roman"/>
                <w:color w:val="auto"/>
                <w:kern w:val="0"/>
                <w:sz w:val="24"/>
                <w:lang w:val="en-US" w:eastAsia="zh-CN" w:bidi="ar"/>
              </w:rPr>
              <w:t>G2和噪声N。</w:t>
            </w:r>
          </w:p>
          <w:p w14:paraId="0CD6B7AF">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hint="default" w:ascii="Times New Roman" w:hAnsi="Times New Roman" w:cs="Times New Roman"/>
                <w:color w:val="auto"/>
                <w:sz w:val="24"/>
              </w:rPr>
            </w:pPr>
            <w:r>
              <w:rPr>
                <w:rFonts w:hint="default" w:ascii="Times New Roman" w:hAnsi="Times New Roman" w:cs="Times New Roman"/>
                <w:color w:val="auto"/>
                <w:kern w:val="0"/>
                <w:sz w:val="24"/>
                <w:lang w:bidi="ar"/>
              </w:rPr>
              <w:t>③</w:t>
            </w:r>
            <w:r>
              <w:rPr>
                <w:rFonts w:hint="eastAsia" w:cs="Times New Roman"/>
                <w:color w:val="auto"/>
                <w:kern w:val="0"/>
                <w:sz w:val="24"/>
                <w:lang w:eastAsia="zh-CN" w:bidi="ar"/>
              </w:rPr>
              <w:t>注塑</w:t>
            </w:r>
            <w:r>
              <w:rPr>
                <w:rFonts w:hint="default" w:ascii="Times New Roman" w:hAnsi="Times New Roman" w:cs="Times New Roman"/>
                <w:color w:val="auto"/>
                <w:kern w:val="0"/>
                <w:sz w:val="24"/>
                <w:lang w:bidi="ar"/>
              </w:rPr>
              <w:t>成型</w:t>
            </w:r>
          </w:p>
          <w:p w14:paraId="4BDE9B77">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hint="default" w:ascii="Times New Roman" w:hAnsi="Times New Roman" w:cs="Times New Roman"/>
                <w:color w:val="auto"/>
                <w:sz w:val="24"/>
              </w:rPr>
            </w:pPr>
            <w:r>
              <w:rPr>
                <w:rFonts w:hint="eastAsia" w:cs="Times New Roman"/>
                <w:color w:val="auto"/>
                <w:kern w:val="0"/>
                <w:sz w:val="24"/>
                <w:lang w:eastAsia="zh-CN" w:bidi="ar"/>
              </w:rPr>
              <w:t>经制粒后的物料</w:t>
            </w:r>
            <w:r>
              <w:rPr>
                <w:rFonts w:hint="eastAsia" w:ascii="宋体" w:hAnsi="宋体" w:eastAsia="宋体" w:cs="宋体"/>
                <w:b w:val="0"/>
                <w:i w:val="0"/>
                <w:color w:val="auto"/>
                <w:kern w:val="0"/>
                <w:sz w:val="24"/>
                <w:szCs w:val="24"/>
                <w:lang w:val="en-US" w:eastAsia="zh-CN" w:bidi="ar"/>
              </w:rPr>
              <w:t>输送至注塑机的料筒内进行加热（</w:t>
            </w:r>
            <w:r>
              <w:rPr>
                <w:rFonts w:hint="eastAsia" w:ascii="宋体" w:hAnsi="宋体" w:eastAsia="宋体" w:cs="宋体"/>
                <w:b/>
                <w:bCs/>
                <w:i w:val="0"/>
                <w:color w:val="auto"/>
                <w:kern w:val="0"/>
                <w:sz w:val="24"/>
                <w:szCs w:val="24"/>
                <w:lang w:val="en-US" w:eastAsia="zh-CN" w:bidi="ar"/>
              </w:rPr>
              <w:t>电加热</w:t>
            </w:r>
            <w:r>
              <w:rPr>
                <w:rFonts w:hint="eastAsia" w:ascii="宋体" w:hAnsi="宋体" w:eastAsia="宋体" w:cs="宋体"/>
                <w:b w:val="0"/>
                <w:i w:val="0"/>
                <w:color w:val="auto"/>
                <w:kern w:val="0"/>
                <w:sz w:val="24"/>
                <w:szCs w:val="24"/>
                <w:lang w:val="en-US" w:eastAsia="zh-CN" w:bidi="ar"/>
              </w:rPr>
              <w:t>），</w:t>
            </w:r>
            <w:r>
              <w:rPr>
                <w:rFonts w:hint="eastAsia" w:ascii="宋体" w:hAnsi="宋体" w:eastAsia="宋体" w:cs="宋体"/>
                <w:color w:val="auto"/>
                <w:sz w:val="24"/>
                <w:szCs w:val="24"/>
              </w:rPr>
              <w:t>温度控制在</w:t>
            </w:r>
            <w:r>
              <w:rPr>
                <w:rFonts w:hint="default" w:ascii="Times New Roman" w:hAnsi="Times New Roman" w:eastAsia="宋体" w:cs="Times New Roman"/>
                <w:color w:val="auto"/>
                <w:sz w:val="24"/>
                <w:szCs w:val="24"/>
              </w:rPr>
              <w:t>160~180</w:t>
            </w:r>
            <w:r>
              <w:rPr>
                <w:rFonts w:hint="eastAsia" w:ascii="宋体" w:hAnsi="宋体" w:eastAsia="宋体" w:cs="宋体"/>
                <w:color w:val="auto"/>
                <w:sz w:val="24"/>
                <w:szCs w:val="24"/>
              </w:rPr>
              <w:t>℃之间。</w:t>
            </w:r>
            <w:r>
              <w:rPr>
                <w:rFonts w:hint="eastAsia" w:ascii="宋体" w:hAnsi="宋体" w:eastAsia="宋体" w:cs="宋体"/>
                <w:b w:val="0"/>
                <w:i w:val="0"/>
                <w:color w:val="auto"/>
                <w:kern w:val="0"/>
                <w:sz w:val="24"/>
                <w:szCs w:val="24"/>
                <w:lang w:val="en-US" w:eastAsia="zh-CN" w:bidi="ar"/>
              </w:rPr>
              <w:t>使颗粒达到流动状态并有良好的塑性，然后在柱塞(或螺杆)的推动下通过料筒前端的喷嘴注入注塑机内部温度较低的模具腔内，经冷却定型后即可</w:t>
            </w:r>
            <w:r>
              <w:rPr>
                <w:rFonts w:hint="eastAsia" w:cs="Times New Roman"/>
                <w:color w:val="auto"/>
                <w:kern w:val="0"/>
                <w:sz w:val="24"/>
                <w:lang w:eastAsia="zh-CN" w:bidi="ar"/>
              </w:rPr>
              <w:t>获得成型胚</w:t>
            </w:r>
            <w:r>
              <w:rPr>
                <w:rFonts w:hint="default" w:ascii="Times New Roman" w:hAnsi="Times New Roman" w:cs="Times New Roman"/>
                <w:color w:val="auto"/>
                <w:kern w:val="0"/>
                <w:sz w:val="24"/>
                <w:lang w:bidi="ar"/>
              </w:rPr>
              <w:t>。该工序</w:t>
            </w:r>
            <w:r>
              <w:rPr>
                <w:rFonts w:hint="default" w:ascii="Times New Roman" w:hAnsi="Times New Roman" w:cs="Times New Roman"/>
                <w:color w:val="auto"/>
                <w:kern w:val="0"/>
                <w:sz w:val="24"/>
                <w:lang w:eastAsia="zh-CN" w:bidi="ar"/>
              </w:rPr>
              <w:t>会产生</w:t>
            </w:r>
            <w:r>
              <w:rPr>
                <w:rFonts w:hint="eastAsia" w:cs="Times New Roman"/>
                <w:color w:val="auto"/>
                <w:kern w:val="0"/>
                <w:sz w:val="24"/>
                <w:lang w:eastAsia="zh-CN" w:bidi="ar"/>
              </w:rPr>
              <w:t>注塑废气</w:t>
            </w:r>
            <w:r>
              <w:rPr>
                <w:rFonts w:hint="eastAsia" w:cs="Times New Roman"/>
                <w:color w:val="auto"/>
                <w:kern w:val="0"/>
                <w:sz w:val="24"/>
                <w:lang w:val="en-US" w:eastAsia="zh-CN" w:bidi="ar"/>
              </w:rPr>
              <w:t>G3</w:t>
            </w:r>
            <w:r>
              <w:rPr>
                <w:rFonts w:hint="eastAsia" w:cs="Times New Roman"/>
                <w:color w:val="auto"/>
                <w:kern w:val="0"/>
                <w:sz w:val="24"/>
                <w:lang w:eastAsia="zh-CN" w:bidi="ar"/>
              </w:rPr>
              <w:t>和</w:t>
            </w:r>
            <w:r>
              <w:rPr>
                <w:rFonts w:hint="default" w:ascii="Times New Roman" w:hAnsi="Times New Roman" w:cs="Times New Roman"/>
                <w:color w:val="auto"/>
                <w:kern w:val="0"/>
                <w:sz w:val="24"/>
                <w:lang w:eastAsia="zh-CN" w:bidi="ar"/>
              </w:rPr>
              <w:t>噪声</w:t>
            </w:r>
            <w:r>
              <w:rPr>
                <w:rFonts w:hint="default" w:ascii="Times New Roman" w:hAnsi="Times New Roman" w:cs="Times New Roman"/>
                <w:color w:val="auto"/>
                <w:kern w:val="0"/>
                <w:sz w:val="24"/>
                <w:lang w:val="en-US" w:eastAsia="zh-CN" w:bidi="ar"/>
              </w:rPr>
              <w:t>N。</w:t>
            </w:r>
          </w:p>
          <w:p w14:paraId="5D1BDFC3">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hint="eastAsia" w:ascii="Times New Roman" w:hAnsi="Times New Roman" w:eastAsia="宋体" w:cs="Times New Roman"/>
                <w:color w:val="auto"/>
                <w:sz w:val="24"/>
                <w:lang w:eastAsia="zh-CN"/>
              </w:rPr>
            </w:pPr>
            <w:r>
              <w:rPr>
                <w:rFonts w:hint="default" w:ascii="Times New Roman" w:hAnsi="Times New Roman" w:cs="Times New Roman"/>
                <w:color w:val="auto"/>
                <w:kern w:val="0"/>
                <w:sz w:val="24"/>
                <w:szCs w:val="24"/>
                <w:lang w:bidi="ar"/>
              </w:rPr>
              <w:fldChar w:fldCharType="begin"/>
            </w:r>
            <w:r>
              <w:rPr>
                <w:rFonts w:hint="default" w:ascii="Times New Roman" w:hAnsi="Times New Roman" w:cs="Times New Roman"/>
                <w:color w:val="auto"/>
                <w:kern w:val="0"/>
                <w:sz w:val="24"/>
                <w:szCs w:val="24"/>
                <w:lang w:bidi="ar"/>
              </w:rPr>
              <w:instrText xml:space="preserve"> = 4 \* GB3 \* MERGEFORMAT </w:instrText>
            </w:r>
            <w:r>
              <w:rPr>
                <w:rFonts w:hint="default" w:ascii="Times New Roman" w:hAnsi="Times New Roman" w:cs="Times New Roman"/>
                <w:color w:val="auto"/>
                <w:kern w:val="0"/>
                <w:sz w:val="24"/>
                <w:szCs w:val="24"/>
                <w:lang w:bidi="ar"/>
              </w:rPr>
              <w:fldChar w:fldCharType="separate"/>
            </w:r>
            <w:r>
              <w:rPr>
                <w:rFonts w:hint="default" w:ascii="Times New Roman" w:hAnsi="Times New Roman" w:cs="Times New Roman"/>
                <w:color w:val="auto"/>
                <w:sz w:val="24"/>
                <w:szCs w:val="24"/>
              </w:rPr>
              <w:t>④</w:t>
            </w:r>
            <w:r>
              <w:rPr>
                <w:rFonts w:hint="default" w:ascii="Times New Roman" w:hAnsi="Times New Roman" w:cs="Times New Roman"/>
                <w:color w:val="auto"/>
                <w:kern w:val="0"/>
                <w:sz w:val="24"/>
                <w:szCs w:val="24"/>
                <w:lang w:bidi="ar"/>
              </w:rPr>
              <w:fldChar w:fldCharType="end"/>
            </w:r>
            <w:r>
              <w:rPr>
                <w:rFonts w:hint="eastAsia" w:cs="Times New Roman"/>
                <w:color w:val="auto"/>
                <w:kern w:val="0"/>
                <w:sz w:val="24"/>
                <w:lang w:eastAsia="zh-CN" w:bidi="ar"/>
              </w:rPr>
              <w:t>脱除粘结剂</w:t>
            </w:r>
          </w:p>
          <w:p w14:paraId="321D4E4F">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hint="default" w:ascii="Times New Roman" w:hAnsi="Times New Roman" w:cs="Times New Roman"/>
                <w:color w:val="auto"/>
                <w:kern w:val="0"/>
                <w:sz w:val="24"/>
                <w:lang w:bidi="ar"/>
              </w:rPr>
            </w:pPr>
            <w:r>
              <w:rPr>
                <w:rFonts w:hint="eastAsia" w:cs="Times New Roman"/>
                <w:color w:val="auto"/>
                <w:kern w:val="0"/>
                <w:sz w:val="24"/>
                <w:lang w:eastAsia="zh-CN" w:bidi="ar"/>
              </w:rPr>
              <w:t>胚件注塑</w:t>
            </w:r>
            <w:r>
              <w:rPr>
                <w:rFonts w:hint="default" w:ascii="Times New Roman" w:hAnsi="Times New Roman" w:cs="Times New Roman"/>
                <w:color w:val="auto"/>
                <w:kern w:val="0"/>
                <w:sz w:val="24"/>
                <w:lang w:bidi="ar"/>
              </w:rPr>
              <w:t>成型</w:t>
            </w:r>
            <w:r>
              <w:rPr>
                <w:rFonts w:hint="eastAsia" w:ascii="Times New Roman" w:hAnsi="Times New Roman" w:cs="Times New Roman"/>
                <w:color w:val="auto"/>
                <w:kern w:val="0"/>
                <w:sz w:val="24"/>
                <w:lang w:eastAsia="zh-CN" w:bidi="ar"/>
              </w:rPr>
              <w:t>后</w:t>
            </w:r>
            <w:r>
              <w:rPr>
                <w:rFonts w:hint="eastAsia" w:cs="Times New Roman"/>
                <w:color w:val="auto"/>
                <w:kern w:val="0"/>
                <w:sz w:val="24"/>
                <w:lang w:eastAsia="zh-CN" w:bidi="ar"/>
              </w:rPr>
              <w:t>输送至</w:t>
            </w:r>
            <w:r>
              <w:rPr>
                <w:rFonts w:hint="eastAsia" w:ascii="Times New Roman" w:hAnsi="Times New Roman" w:cs="Times New Roman"/>
                <w:color w:val="auto"/>
                <w:sz w:val="24"/>
                <w:szCs w:val="24"/>
                <w:lang w:val="en-US" w:eastAsia="zh-CN"/>
              </w:rPr>
              <w:t>微电脑钼丝炉</w:t>
            </w:r>
            <w:r>
              <w:rPr>
                <w:rFonts w:hint="default" w:ascii="Times New Roman" w:hAnsi="Times New Roman" w:cs="Times New Roman"/>
                <w:color w:val="auto"/>
                <w:kern w:val="0"/>
                <w:sz w:val="24"/>
                <w:lang w:bidi="ar"/>
              </w:rPr>
              <w:t>，</w:t>
            </w:r>
            <w:r>
              <w:rPr>
                <w:rFonts w:hint="eastAsia" w:cs="Times New Roman"/>
                <w:color w:val="auto"/>
                <w:kern w:val="0"/>
                <w:sz w:val="24"/>
                <w:lang w:eastAsia="zh-CN" w:bidi="ar"/>
              </w:rPr>
              <w:t>加热温度至</w:t>
            </w:r>
            <w:r>
              <w:rPr>
                <w:rFonts w:hint="eastAsia" w:cs="Times New Roman"/>
                <w:color w:val="auto"/>
                <w:kern w:val="0"/>
                <w:sz w:val="24"/>
                <w:lang w:val="en-US" w:eastAsia="zh-CN" w:bidi="ar"/>
              </w:rPr>
              <w:t>800</w:t>
            </w:r>
            <w:r>
              <w:rPr>
                <w:rFonts w:hint="eastAsia" w:ascii="SimSun-ExtB" w:hAnsi="SimSun-ExtB" w:eastAsia="SimSun-ExtB" w:cs="SimSun-ExtB"/>
                <w:color w:val="auto"/>
                <w:kern w:val="0"/>
                <w:sz w:val="24"/>
                <w:lang w:val="en-US" w:eastAsia="zh-CN" w:bidi="ar"/>
              </w:rPr>
              <w:t>℃</w:t>
            </w:r>
            <w:r>
              <w:rPr>
                <w:rFonts w:hint="eastAsia" w:cs="Times New Roman"/>
                <w:color w:val="auto"/>
                <w:kern w:val="0"/>
                <w:sz w:val="24"/>
                <w:lang w:val="en-US" w:eastAsia="zh-CN" w:bidi="ar"/>
              </w:rPr>
              <w:t>保温，保温时间144h，工作中</w:t>
            </w:r>
            <w:r>
              <w:rPr>
                <w:rFonts w:hint="eastAsia" w:cs="Times New Roman"/>
                <w:color w:val="auto"/>
                <w:kern w:val="0"/>
                <w:sz w:val="24"/>
                <w:lang w:eastAsia="zh-CN" w:bidi="ar"/>
              </w:rPr>
              <w:t>粘结剂转化为蒸汽，然后经</w:t>
            </w:r>
            <w:r>
              <w:rPr>
                <w:rFonts w:hint="eastAsia" w:ascii="Times New Roman" w:hAnsi="Times New Roman" w:cs="Times New Roman"/>
                <w:color w:val="auto"/>
                <w:sz w:val="24"/>
                <w:szCs w:val="24"/>
                <w:lang w:val="en-US" w:eastAsia="zh-CN"/>
              </w:rPr>
              <w:t>微电脑钼丝炉自带的冷凝回收装置内实现回收（回收率约80%）。</w:t>
            </w:r>
            <w:r>
              <w:rPr>
                <w:rFonts w:hint="default" w:ascii="Times New Roman" w:hAnsi="Times New Roman" w:cs="Times New Roman"/>
                <w:color w:val="auto"/>
                <w:kern w:val="0"/>
                <w:sz w:val="24"/>
                <w:lang w:bidi="ar"/>
              </w:rPr>
              <w:t>该工序</w:t>
            </w:r>
            <w:r>
              <w:rPr>
                <w:rFonts w:hint="default" w:ascii="Times New Roman" w:hAnsi="Times New Roman" w:cs="Times New Roman"/>
                <w:color w:val="auto"/>
                <w:kern w:val="0"/>
                <w:sz w:val="24"/>
                <w:lang w:eastAsia="zh-CN" w:bidi="ar"/>
              </w:rPr>
              <w:t>会产生</w:t>
            </w:r>
            <w:r>
              <w:rPr>
                <w:rFonts w:hint="eastAsia" w:cs="Times New Roman"/>
                <w:color w:val="auto"/>
                <w:kern w:val="0"/>
                <w:sz w:val="24"/>
                <w:lang w:eastAsia="zh-CN" w:bidi="ar"/>
              </w:rPr>
              <w:t>脱胶</w:t>
            </w:r>
            <w:r>
              <w:rPr>
                <w:rFonts w:hint="default" w:ascii="Times New Roman" w:hAnsi="Times New Roman" w:cs="Times New Roman"/>
                <w:color w:val="auto"/>
                <w:kern w:val="0"/>
                <w:sz w:val="24"/>
                <w:lang w:eastAsia="zh-CN" w:bidi="ar"/>
              </w:rPr>
              <w:t>废气</w:t>
            </w:r>
            <w:r>
              <w:rPr>
                <w:rFonts w:hint="default" w:ascii="Times New Roman" w:hAnsi="Times New Roman" w:cs="Times New Roman"/>
                <w:color w:val="auto"/>
                <w:kern w:val="0"/>
                <w:sz w:val="24"/>
                <w:lang w:val="en-US" w:eastAsia="zh-CN" w:bidi="ar"/>
              </w:rPr>
              <w:t>G</w:t>
            </w:r>
            <w:r>
              <w:rPr>
                <w:rFonts w:hint="eastAsia" w:ascii="Times New Roman" w:hAnsi="Times New Roman" w:cs="Times New Roman"/>
                <w:color w:val="auto"/>
                <w:kern w:val="0"/>
                <w:sz w:val="24"/>
                <w:lang w:val="en-US" w:eastAsia="zh-CN" w:bidi="ar"/>
              </w:rPr>
              <w:t>4</w:t>
            </w:r>
            <w:r>
              <w:rPr>
                <w:rFonts w:hint="eastAsia" w:cs="Times New Roman"/>
                <w:color w:val="auto"/>
                <w:kern w:val="0"/>
                <w:sz w:val="24"/>
                <w:lang w:val="en-US" w:eastAsia="zh-CN" w:bidi="ar"/>
              </w:rPr>
              <w:t>、</w:t>
            </w:r>
            <w:r>
              <w:rPr>
                <w:rFonts w:hint="eastAsia" w:ascii="Times New Roman" w:hAnsi="Times New Roman" w:cs="Times New Roman"/>
                <w:color w:val="auto"/>
                <w:kern w:val="0"/>
                <w:sz w:val="24"/>
                <w:lang w:val="en-US" w:eastAsia="zh-CN" w:bidi="ar"/>
              </w:rPr>
              <w:t>废粘结剂S2</w:t>
            </w:r>
            <w:r>
              <w:rPr>
                <w:rFonts w:hint="default" w:ascii="Times New Roman" w:hAnsi="Times New Roman" w:cs="Times New Roman"/>
                <w:color w:val="auto"/>
                <w:kern w:val="0"/>
                <w:sz w:val="24"/>
                <w:lang w:val="en-US" w:eastAsia="zh-CN" w:bidi="ar"/>
              </w:rPr>
              <w:t>和噪声N</w:t>
            </w:r>
            <w:r>
              <w:rPr>
                <w:rFonts w:hint="default" w:ascii="Times New Roman" w:hAnsi="Times New Roman" w:cs="Times New Roman"/>
                <w:color w:val="auto"/>
                <w:kern w:val="0"/>
                <w:sz w:val="24"/>
                <w:lang w:bidi="ar"/>
              </w:rPr>
              <w:t>。</w:t>
            </w:r>
          </w:p>
          <w:p w14:paraId="77B43500">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hint="eastAsia" w:ascii="Times New Roman" w:hAnsi="Times New Roman" w:cs="Times New Roman"/>
                <w:color w:val="auto"/>
                <w:kern w:val="0"/>
                <w:sz w:val="24"/>
                <w:lang w:eastAsia="zh-CN" w:bidi="ar"/>
              </w:rPr>
            </w:pPr>
            <w:r>
              <w:rPr>
                <w:rFonts w:hint="eastAsia" w:cs="Times New Roman"/>
                <w:color w:val="auto"/>
                <w:kern w:val="0"/>
                <w:sz w:val="24"/>
                <w:lang w:eastAsia="zh-CN" w:bidi="ar"/>
              </w:rPr>
              <w:t>脱除粘结剂</w:t>
            </w:r>
            <w:r>
              <w:rPr>
                <w:rFonts w:hint="eastAsia" w:ascii="Times New Roman" w:hAnsi="Times New Roman" w:cs="Times New Roman"/>
                <w:color w:val="auto"/>
                <w:kern w:val="0"/>
                <w:sz w:val="24"/>
                <w:lang w:eastAsia="zh-CN" w:bidi="ar"/>
              </w:rPr>
              <w:t>时，</w:t>
            </w:r>
            <w:r>
              <w:rPr>
                <w:rFonts w:hint="eastAsia" w:ascii="Times New Roman" w:hAnsi="Times New Roman" w:eastAsia="SimSun-ExtB" w:cs="Times New Roman"/>
                <w:color w:val="auto"/>
                <w:kern w:val="0"/>
                <w:sz w:val="24"/>
                <w:lang w:val="en-US" w:eastAsia="zh-CN" w:bidi="ar"/>
              </w:rPr>
              <w:t>将</w:t>
            </w:r>
            <w:r>
              <w:rPr>
                <w:rFonts w:hint="eastAsia" w:eastAsia="SimSun-ExtB" w:cs="Times New Roman"/>
                <w:color w:val="auto"/>
                <w:kern w:val="0"/>
                <w:sz w:val="24"/>
                <w:lang w:val="en-US" w:eastAsia="zh-CN" w:bidi="ar"/>
              </w:rPr>
              <w:t>液氨</w:t>
            </w:r>
            <w:r>
              <w:rPr>
                <w:rFonts w:hint="eastAsia" w:ascii="Times New Roman" w:hAnsi="Times New Roman" w:eastAsia="SimSun-ExtB" w:cs="Times New Roman"/>
                <w:color w:val="auto"/>
                <w:kern w:val="0"/>
                <w:sz w:val="24"/>
                <w:lang w:val="en-US" w:eastAsia="zh-CN" w:bidi="ar"/>
              </w:rPr>
              <w:t>分解产生的氢气和氮气作为保护气体通入</w:t>
            </w:r>
            <w:r>
              <w:rPr>
                <w:rFonts w:hint="eastAsia" w:ascii="Times New Roman" w:hAnsi="Times New Roman" w:cs="Times New Roman"/>
                <w:color w:val="auto"/>
                <w:sz w:val="24"/>
                <w:szCs w:val="24"/>
                <w:lang w:val="en-US" w:eastAsia="zh-CN"/>
              </w:rPr>
              <w:t>微电脑钼丝炉，</w:t>
            </w:r>
            <w:r>
              <w:rPr>
                <w:rFonts w:hint="eastAsia" w:cs="Times New Roman"/>
                <w:color w:val="auto"/>
                <w:kern w:val="0"/>
                <w:sz w:val="24"/>
                <w:lang w:eastAsia="zh-CN" w:bidi="ar"/>
              </w:rPr>
              <w:t>脱除粘结剂完成后，自然降温，使用氮气置换炉内的气体，再开炉去除胚件进入</w:t>
            </w:r>
            <w:r>
              <w:rPr>
                <w:rFonts w:hint="eastAsia" w:ascii="Times New Roman" w:hAnsi="Times New Roman" w:cs="Times New Roman"/>
                <w:color w:val="auto"/>
                <w:kern w:val="0"/>
                <w:sz w:val="24"/>
                <w:lang w:eastAsia="zh-CN" w:bidi="ar"/>
              </w:rPr>
              <w:t>烧结致密阶段，</w:t>
            </w:r>
            <w:r>
              <w:rPr>
                <w:rFonts w:hint="eastAsia" w:ascii="Times New Roman" w:hAnsi="Times New Roman" w:cs="Times New Roman"/>
                <w:color w:val="auto"/>
                <w:sz w:val="24"/>
                <w:szCs w:val="24"/>
                <w:lang w:val="en-US" w:eastAsia="zh-CN"/>
              </w:rPr>
              <w:t>氢气通过燃烧去除，氮气于车间排放。</w:t>
            </w:r>
          </w:p>
          <w:p w14:paraId="61453AF8">
            <w:pPr>
              <w:pStyle w:val="29"/>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color w:val="auto"/>
                <w:kern w:val="0"/>
                <w:sz w:val="24"/>
                <w:lang w:val="en-US" w:eastAsia="zh-CN" w:bidi="ar"/>
              </w:rPr>
            </w:pPr>
            <w:r>
              <w:rPr>
                <w:rFonts w:hint="default" w:ascii="Times New Roman" w:hAnsi="Times New Roman" w:cs="Times New Roman"/>
                <w:color w:val="auto"/>
                <w:kern w:val="0"/>
                <w:sz w:val="24"/>
                <w:lang w:eastAsia="zh-CN" w:bidi="ar"/>
              </w:rPr>
              <w:fldChar w:fldCharType="begin"/>
            </w:r>
            <w:r>
              <w:rPr>
                <w:rFonts w:hint="default" w:ascii="Times New Roman" w:hAnsi="Times New Roman" w:cs="Times New Roman"/>
                <w:color w:val="auto"/>
                <w:kern w:val="0"/>
                <w:sz w:val="24"/>
                <w:lang w:eastAsia="zh-CN" w:bidi="ar"/>
              </w:rPr>
              <w:instrText xml:space="preserve"> = 5 \* GB3 \* MERGEFORMAT </w:instrText>
            </w:r>
            <w:r>
              <w:rPr>
                <w:rFonts w:hint="default" w:ascii="Times New Roman" w:hAnsi="Times New Roman" w:cs="Times New Roman"/>
                <w:color w:val="auto"/>
                <w:kern w:val="0"/>
                <w:sz w:val="24"/>
                <w:lang w:eastAsia="zh-CN" w:bidi="ar"/>
              </w:rPr>
              <w:fldChar w:fldCharType="separate"/>
            </w:r>
            <w:r>
              <w:rPr>
                <w:rFonts w:hint="default" w:ascii="Times New Roman" w:hAnsi="Times New Roman" w:cs="Times New Roman"/>
                <w:color w:val="auto"/>
              </w:rPr>
              <w:t>⑤</w:t>
            </w:r>
            <w:r>
              <w:rPr>
                <w:rFonts w:hint="default" w:ascii="Times New Roman" w:hAnsi="Times New Roman" w:cs="Times New Roman"/>
                <w:color w:val="auto"/>
                <w:kern w:val="0"/>
                <w:sz w:val="24"/>
                <w:lang w:eastAsia="zh-CN" w:bidi="ar"/>
              </w:rPr>
              <w:fldChar w:fldCharType="end"/>
            </w:r>
            <w:r>
              <w:rPr>
                <w:rFonts w:hint="eastAsia" w:ascii="Times New Roman" w:hAnsi="Times New Roman" w:cs="Times New Roman"/>
                <w:color w:val="auto"/>
                <w:kern w:val="0"/>
                <w:sz w:val="24"/>
                <w:lang w:eastAsia="zh-CN" w:bidi="ar"/>
              </w:rPr>
              <w:t>烧结致密</w:t>
            </w:r>
          </w:p>
          <w:p w14:paraId="64E30538">
            <w:pPr>
              <w:pStyle w:val="29"/>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SimSun-ExtB" w:cs="Times New Roman"/>
                <w:color w:val="auto"/>
                <w:kern w:val="0"/>
                <w:sz w:val="24"/>
                <w:lang w:val="en-US" w:eastAsia="zh-CN" w:bidi="ar"/>
              </w:rPr>
            </w:pPr>
            <w:r>
              <w:rPr>
                <w:rFonts w:hint="eastAsia" w:cs="Times New Roman"/>
                <w:color w:val="auto"/>
                <w:kern w:val="0"/>
                <w:sz w:val="24"/>
                <w:lang w:eastAsia="zh-CN" w:bidi="ar"/>
              </w:rPr>
              <w:t>胚件脱除粘结剂后，将移送至烧结</w:t>
            </w:r>
            <w:r>
              <w:rPr>
                <w:rFonts w:hint="eastAsia" w:ascii="Times New Roman" w:hAnsi="Times New Roman" w:cs="Times New Roman"/>
                <w:color w:val="auto"/>
                <w:kern w:val="0"/>
                <w:sz w:val="24"/>
                <w:lang w:eastAsia="zh-CN" w:bidi="ar"/>
              </w:rPr>
              <w:t>致密</w:t>
            </w:r>
            <w:r>
              <w:rPr>
                <w:rFonts w:hint="eastAsia" w:ascii="Times New Roman" w:hAnsi="Times New Roman" w:cs="Times New Roman"/>
                <w:color w:val="auto"/>
                <w:sz w:val="24"/>
                <w:szCs w:val="24"/>
                <w:lang w:val="en-US" w:eastAsia="zh-CN"/>
              </w:rPr>
              <w:t>微电脑钼丝炉</w:t>
            </w:r>
            <w:r>
              <w:rPr>
                <w:rFonts w:hint="eastAsia" w:cs="Times New Roman"/>
                <w:color w:val="auto"/>
                <w:sz w:val="24"/>
                <w:szCs w:val="24"/>
                <w:lang w:val="en-US" w:eastAsia="zh-CN"/>
              </w:rPr>
              <w:t>，</w:t>
            </w:r>
            <w:r>
              <w:rPr>
                <w:rFonts w:hint="eastAsia" w:cs="Times New Roman"/>
                <w:color w:val="auto"/>
                <w:kern w:val="0"/>
                <w:sz w:val="24"/>
                <w:lang w:eastAsia="zh-CN" w:bidi="ar"/>
              </w:rPr>
              <w:t>加热温度至</w:t>
            </w:r>
            <w:r>
              <w:rPr>
                <w:rFonts w:hint="eastAsia" w:ascii="Times New Roman" w:hAnsi="Times New Roman" w:cs="Times New Roman"/>
                <w:color w:val="auto"/>
                <w:sz w:val="24"/>
                <w:szCs w:val="24"/>
                <w:lang w:val="en-US" w:eastAsia="zh-CN"/>
              </w:rPr>
              <w:t>1400~1500</w:t>
            </w:r>
            <w:r>
              <w:rPr>
                <w:rFonts w:hint="eastAsia" w:ascii="SimSun-ExtB" w:hAnsi="SimSun-ExtB" w:eastAsia="SimSun-ExtB" w:cs="SimSun-ExtB"/>
                <w:color w:val="auto"/>
                <w:kern w:val="0"/>
                <w:sz w:val="24"/>
                <w:lang w:val="en-US" w:eastAsia="zh-CN" w:bidi="ar"/>
              </w:rPr>
              <w:t>℃进行</w:t>
            </w:r>
            <w:r>
              <w:rPr>
                <w:rFonts w:hint="eastAsia" w:ascii="Times New Roman" w:hAnsi="Times New Roman" w:cs="Times New Roman"/>
                <w:color w:val="auto"/>
                <w:kern w:val="0"/>
                <w:sz w:val="24"/>
                <w:lang w:eastAsia="zh-CN" w:bidi="ar"/>
              </w:rPr>
              <w:t>烧结致密</w:t>
            </w:r>
            <w:r>
              <w:rPr>
                <w:rFonts w:hint="eastAsia" w:ascii="SimSun-ExtB" w:hAnsi="SimSun-ExtB" w:eastAsia="SimSun-ExtB" w:cs="SimSun-ExtB"/>
                <w:color w:val="auto"/>
                <w:kern w:val="0"/>
                <w:sz w:val="24"/>
                <w:lang w:val="en-US" w:eastAsia="zh-CN" w:bidi="ar"/>
              </w:rPr>
              <w:t>，烧结时</w:t>
            </w:r>
            <w:r>
              <w:rPr>
                <w:rFonts w:hint="default" w:ascii="Times New Roman" w:hAnsi="Times New Roman" w:eastAsia="SimSun-ExtB" w:cs="Times New Roman"/>
                <w:color w:val="auto"/>
                <w:kern w:val="0"/>
                <w:sz w:val="24"/>
                <w:lang w:val="en-US" w:eastAsia="zh-CN" w:bidi="ar"/>
              </w:rPr>
              <w:t>间</w:t>
            </w:r>
            <w:r>
              <w:rPr>
                <w:rFonts w:hint="eastAsia" w:ascii="Times New Roman" w:hAnsi="Times New Roman" w:eastAsia="SimSun-ExtB" w:cs="Times New Roman"/>
                <w:color w:val="auto"/>
                <w:kern w:val="0"/>
                <w:sz w:val="24"/>
                <w:lang w:val="en-US" w:eastAsia="zh-CN" w:bidi="ar"/>
              </w:rPr>
              <w:t>24</w:t>
            </w:r>
            <w:r>
              <w:rPr>
                <w:rFonts w:hint="default" w:ascii="Times New Roman" w:hAnsi="Times New Roman" w:eastAsia="SimSun-ExtB" w:cs="Times New Roman"/>
                <w:color w:val="auto"/>
                <w:kern w:val="0"/>
                <w:sz w:val="24"/>
                <w:lang w:val="en-US" w:eastAsia="zh-CN" w:bidi="ar"/>
              </w:rPr>
              <w:t>h</w:t>
            </w:r>
            <w:r>
              <w:rPr>
                <w:rFonts w:hint="eastAsia" w:ascii="Times New Roman" w:hAnsi="Times New Roman" w:eastAsia="SimSun-ExtB" w:cs="Times New Roman"/>
                <w:color w:val="auto"/>
                <w:kern w:val="0"/>
                <w:sz w:val="24"/>
                <w:lang w:val="en-US" w:eastAsia="zh-CN" w:bidi="ar"/>
              </w:rPr>
              <w:t>，烧结完成后，用</w:t>
            </w:r>
            <w:r>
              <w:rPr>
                <w:rFonts w:hint="eastAsia" w:eastAsia="SimSun-ExtB" w:cs="Times New Roman"/>
                <w:color w:val="auto"/>
                <w:kern w:val="0"/>
                <w:sz w:val="24"/>
                <w:lang w:val="en-US" w:eastAsia="zh-CN" w:bidi="ar"/>
              </w:rPr>
              <w:t>循环水池</w:t>
            </w:r>
            <w:r>
              <w:rPr>
                <w:rFonts w:hint="eastAsia" w:ascii="Times New Roman" w:hAnsi="Times New Roman" w:eastAsia="SimSun-ExtB" w:cs="Times New Roman"/>
                <w:color w:val="auto"/>
                <w:kern w:val="0"/>
                <w:sz w:val="24"/>
                <w:lang w:val="en-US" w:eastAsia="zh-CN" w:bidi="ar"/>
              </w:rPr>
              <w:t>冷却。</w:t>
            </w:r>
            <w:r>
              <w:rPr>
                <w:rFonts w:hint="default" w:ascii="Times New Roman" w:hAnsi="Times New Roman" w:cs="Times New Roman"/>
                <w:color w:val="auto"/>
                <w:kern w:val="0"/>
                <w:sz w:val="24"/>
                <w:lang w:bidi="ar"/>
              </w:rPr>
              <w:t>该工序</w:t>
            </w:r>
            <w:r>
              <w:rPr>
                <w:rFonts w:hint="default" w:ascii="Times New Roman" w:hAnsi="Times New Roman" w:cs="Times New Roman"/>
                <w:color w:val="auto"/>
                <w:kern w:val="0"/>
                <w:sz w:val="24"/>
                <w:lang w:eastAsia="zh-CN" w:bidi="ar"/>
              </w:rPr>
              <w:t>会产生</w:t>
            </w:r>
            <w:r>
              <w:rPr>
                <w:rFonts w:hint="default" w:ascii="Times New Roman" w:hAnsi="Times New Roman" w:cs="Times New Roman"/>
                <w:color w:val="auto"/>
                <w:kern w:val="0"/>
                <w:sz w:val="24"/>
                <w:lang w:val="en-US" w:eastAsia="zh-CN" w:bidi="ar"/>
              </w:rPr>
              <w:t>噪声N</w:t>
            </w:r>
            <w:r>
              <w:rPr>
                <w:rFonts w:hint="default" w:ascii="Times New Roman" w:hAnsi="Times New Roman" w:cs="Times New Roman"/>
                <w:color w:val="auto"/>
                <w:kern w:val="0"/>
                <w:sz w:val="24"/>
                <w:lang w:bidi="ar"/>
              </w:rPr>
              <w:t>。</w:t>
            </w:r>
          </w:p>
          <w:p w14:paraId="41A74917">
            <w:pPr>
              <w:pStyle w:val="29"/>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lang w:eastAsia="zh-CN" w:bidi="ar"/>
              </w:rPr>
            </w:pPr>
            <w:r>
              <w:rPr>
                <w:rFonts w:hint="eastAsia" w:ascii="Times New Roman" w:hAnsi="Times New Roman" w:cs="Times New Roman"/>
                <w:color w:val="auto"/>
                <w:kern w:val="0"/>
                <w:sz w:val="24"/>
                <w:lang w:eastAsia="zh-CN" w:bidi="ar"/>
              </w:rPr>
              <w:t>烧结致密时，</w:t>
            </w:r>
            <w:r>
              <w:rPr>
                <w:rFonts w:hint="eastAsia" w:ascii="Times New Roman" w:hAnsi="Times New Roman" w:eastAsia="SimSun-ExtB" w:cs="Times New Roman"/>
                <w:color w:val="auto"/>
                <w:kern w:val="0"/>
                <w:sz w:val="24"/>
                <w:lang w:val="en-US" w:eastAsia="zh-CN" w:bidi="ar"/>
              </w:rPr>
              <w:t>将</w:t>
            </w:r>
            <w:r>
              <w:rPr>
                <w:rFonts w:hint="eastAsia" w:eastAsia="SimSun-ExtB" w:cs="Times New Roman"/>
                <w:color w:val="auto"/>
                <w:kern w:val="0"/>
                <w:sz w:val="24"/>
                <w:lang w:val="en-US" w:eastAsia="zh-CN" w:bidi="ar"/>
              </w:rPr>
              <w:t>液氨</w:t>
            </w:r>
            <w:r>
              <w:rPr>
                <w:rFonts w:hint="eastAsia" w:ascii="Times New Roman" w:hAnsi="Times New Roman" w:eastAsia="SimSun-ExtB" w:cs="Times New Roman"/>
                <w:color w:val="auto"/>
                <w:kern w:val="0"/>
                <w:sz w:val="24"/>
                <w:lang w:val="en-US" w:eastAsia="zh-CN" w:bidi="ar"/>
              </w:rPr>
              <w:t>分解产生的氢气和氮气作为保护气体通入</w:t>
            </w:r>
            <w:r>
              <w:rPr>
                <w:rFonts w:hint="eastAsia" w:ascii="Times New Roman" w:hAnsi="Times New Roman" w:cs="Times New Roman"/>
                <w:color w:val="auto"/>
                <w:sz w:val="24"/>
                <w:szCs w:val="24"/>
                <w:lang w:val="en-US" w:eastAsia="zh-CN"/>
              </w:rPr>
              <w:t>微电脑钼丝炉，</w:t>
            </w:r>
            <w:r>
              <w:rPr>
                <w:rFonts w:hint="eastAsia" w:ascii="Times New Roman" w:hAnsi="Times New Roman" w:cs="Times New Roman"/>
                <w:color w:val="auto"/>
                <w:kern w:val="0"/>
                <w:sz w:val="24"/>
                <w:lang w:eastAsia="zh-CN" w:bidi="ar"/>
              </w:rPr>
              <w:t>烧结致密完成后，</w:t>
            </w:r>
            <w:r>
              <w:rPr>
                <w:rFonts w:hint="eastAsia" w:ascii="Times New Roman" w:hAnsi="Times New Roman" w:cs="Times New Roman"/>
                <w:color w:val="auto"/>
                <w:sz w:val="24"/>
                <w:szCs w:val="24"/>
                <w:lang w:val="en-US" w:eastAsia="zh-CN"/>
              </w:rPr>
              <w:t>氢气通过燃烧去除，氮气于车间排放。</w:t>
            </w:r>
          </w:p>
          <w:p w14:paraId="520ACB8B">
            <w:pPr>
              <w:pStyle w:val="29"/>
              <w:keepNext w:val="0"/>
              <w:keepLines w:val="0"/>
              <w:pageBreakBefore w:val="0"/>
              <w:kinsoku/>
              <w:wordWrap/>
              <w:overflowPunct/>
              <w:topLinePunct w:val="0"/>
              <w:bidi w:val="0"/>
              <w:snapToGrid w:val="0"/>
              <w:spacing w:line="360" w:lineRule="auto"/>
              <w:ind w:firstLine="480" w:firstLineChars="200"/>
              <w:textAlignment w:val="auto"/>
              <w:rPr>
                <w:rFonts w:hint="eastAsia" w:ascii="Times New Roman" w:hAnsi="Times New Roman" w:eastAsia="宋体" w:cs="Times New Roman"/>
                <w:color w:val="auto"/>
                <w:kern w:val="0"/>
                <w:sz w:val="24"/>
                <w:lang w:eastAsia="zh-CN" w:bidi="ar"/>
              </w:rPr>
            </w:pPr>
            <w:r>
              <w:rPr>
                <w:rFonts w:hint="default" w:ascii="Times New Roman" w:hAnsi="Times New Roman" w:cs="Times New Roman"/>
                <w:color w:val="auto"/>
                <w:kern w:val="0"/>
                <w:sz w:val="24"/>
                <w:lang w:bidi="ar"/>
              </w:rPr>
              <w:fldChar w:fldCharType="begin"/>
            </w:r>
            <w:r>
              <w:rPr>
                <w:rFonts w:hint="default" w:ascii="Times New Roman" w:hAnsi="Times New Roman" w:cs="Times New Roman"/>
                <w:color w:val="auto"/>
                <w:kern w:val="0"/>
                <w:sz w:val="24"/>
                <w:lang w:bidi="ar"/>
              </w:rPr>
              <w:instrText xml:space="preserve"> = 6 \* GB3 \* MERGEFORMAT </w:instrText>
            </w:r>
            <w:r>
              <w:rPr>
                <w:rFonts w:hint="default" w:ascii="Times New Roman" w:hAnsi="Times New Roman" w:cs="Times New Roman"/>
                <w:color w:val="auto"/>
                <w:kern w:val="0"/>
                <w:sz w:val="24"/>
                <w:lang w:bidi="ar"/>
              </w:rPr>
              <w:fldChar w:fldCharType="separate"/>
            </w:r>
            <w:r>
              <w:rPr>
                <w:rFonts w:hint="default" w:ascii="Times New Roman" w:hAnsi="Times New Roman" w:cs="Times New Roman"/>
                <w:color w:val="auto"/>
              </w:rPr>
              <w:t>⑥</w:t>
            </w:r>
            <w:r>
              <w:rPr>
                <w:rFonts w:hint="default" w:ascii="Times New Roman" w:hAnsi="Times New Roman" w:cs="Times New Roman"/>
                <w:color w:val="auto"/>
                <w:kern w:val="0"/>
                <w:sz w:val="24"/>
                <w:lang w:bidi="ar"/>
              </w:rPr>
              <w:fldChar w:fldCharType="end"/>
            </w:r>
            <w:r>
              <w:rPr>
                <w:rFonts w:hint="eastAsia" w:cs="Times New Roman"/>
                <w:color w:val="auto"/>
                <w:kern w:val="0"/>
                <w:sz w:val="24"/>
                <w:lang w:eastAsia="zh-CN" w:bidi="ar"/>
              </w:rPr>
              <w:t>钻孔</w:t>
            </w:r>
          </w:p>
          <w:p w14:paraId="38F2AD0F">
            <w:pPr>
              <w:pStyle w:val="29"/>
              <w:keepNext w:val="0"/>
              <w:keepLines w:val="0"/>
              <w:pageBreakBefore w:val="0"/>
              <w:kinsoku/>
              <w:wordWrap/>
              <w:overflowPunct/>
              <w:topLinePunct w:val="0"/>
              <w:bidi w:val="0"/>
              <w:snapToGrid w:val="0"/>
              <w:spacing w:line="360" w:lineRule="auto"/>
              <w:ind w:firstLine="480" w:firstLineChars="200"/>
              <w:textAlignment w:val="auto"/>
              <w:rPr>
                <w:rFonts w:hint="eastAsia" w:cs="Times New Roman"/>
                <w:color w:val="auto"/>
                <w:kern w:val="0"/>
                <w:sz w:val="24"/>
                <w:lang w:eastAsia="zh-CN" w:bidi="ar"/>
              </w:rPr>
            </w:pPr>
            <w:r>
              <w:rPr>
                <w:rFonts w:hint="eastAsia" w:cs="Times New Roman"/>
                <w:color w:val="auto"/>
                <w:kern w:val="0"/>
                <w:sz w:val="24"/>
                <w:lang w:eastAsia="zh-CN" w:bidi="ar"/>
              </w:rPr>
              <w:t>使用台钻对</w:t>
            </w:r>
            <w:r>
              <w:rPr>
                <w:rFonts w:hint="eastAsia" w:ascii="Times New Roman" w:hAnsi="Times New Roman" w:cs="Times New Roman"/>
                <w:color w:val="auto"/>
                <w:kern w:val="0"/>
                <w:sz w:val="24"/>
                <w:lang w:eastAsia="zh-CN" w:bidi="ar"/>
              </w:rPr>
              <w:t>烧结</w:t>
            </w:r>
            <w:r>
              <w:rPr>
                <w:rFonts w:hint="eastAsia" w:ascii="Times New Roman" w:hAnsi="Times New Roman" w:cs="Times New Roman"/>
                <w:color w:val="auto"/>
                <w:sz w:val="24"/>
                <w:szCs w:val="24"/>
                <w:lang w:val="en-US" w:eastAsia="zh-CN"/>
              </w:rPr>
              <w:t>完成后的胚件进行打孔，</w:t>
            </w:r>
            <w:r>
              <w:rPr>
                <w:rFonts w:hint="default" w:ascii="Times New Roman" w:hAnsi="Times New Roman" w:cs="Times New Roman"/>
                <w:color w:val="auto"/>
                <w:kern w:val="0"/>
                <w:sz w:val="24"/>
                <w:lang w:bidi="ar"/>
              </w:rPr>
              <w:t>该工序</w:t>
            </w:r>
            <w:r>
              <w:rPr>
                <w:rFonts w:hint="default" w:ascii="Times New Roman" w:hAnsi="Times New Roman" w:cs="Times New Roman"/>
                <w:color w:val="auto"/>
                <w:kern w:val="0"/>
                <w:sz w:val="24"/>
                <w:lang w:eastAsia="zh-CN" w:bidi="ar"/>
              </w:rPr>
              <w:t>会产生</w:t>
            </w:r>
            <w:r>
              <w:rPr>
                <w:rFonts w:hint="default" w:ascii="Times New Roman" w:hAnsi="Times New Roman" w:eastAsia="宋体" w:cs="Times New Roman"/>
                <w:b w:val="0"/>
                <w:bCs w:val="0"/>
                <w:color w:val="auto"/>
                <w:kern w:val="2"/>
                <w:sz w:val="24"/>
                <w:szCs w:val="24"/>
                <w:highlight w:val="none"/>
                <w:lang w:val="en-US" w:eastAsia="zh-CN" w:bidi="ar-SA"/>
              </w:rPr>
              <w:t>边角料</w:t>
            </w:r>
            <w:r>
              <w:rPr>
                <w:rFonts w:hint="eastAsia" w:cs="Times New Roman"/>
                <w:color w:val="auto"/>
                <w:kern w:val="0"/>
                <w:sz w:val="24"/>
                <w:lang w:val="en-US" w:eastAsia="zh-CN" w:bidi="ar"/>
              </w:rPr>
              <w:t>S3</w:t>
            </w:r>
            <w:r>
              <w:rPr>
                <w:rFonts w:hint="eastAsia" w:ascii="Times New Roman" w:hAnsi="Times New Roman" w:cs="Times New Roman"/>
                <w:color w:val="auto"/>
                <w:kern w:val="0"/>
                <w:sz w:val="24"/>
                <w:lang w:val="en-US" w:eastAsia="zh-CN" w:bidi="ar"/>
              </w:rPr>
              <w:t>和噪声N</w:t>
            </w:r>
            <w:r>
              <w:rPr>
                <w:rFonts w:hint="default" w:ascii="Times New Roman" w:hAnsi="Times New Roman" w:cs="Times New Roman"/>
                <w:color w:val="auto"/>
                <w:kern w:val="0"/>
                <w:sz w:val="24"/>
                <w:lang w:bidi="ar"/>
              </w:rPr>
              <w:t>。</w:t>
            </w:r>
          </w:p>
          <w:p w14:paraId="2D62DEFF">
            <w:pPr>
              <w:pStyle w:val="29"/>
              <w:keepNext w:val="0"/>
              <w:keepLines w:val="0"/>
              <w:pageBreakBefore w:val="0"/>
              <w:kinsoku/>
              <w:wordWrap/>
              <w:overflowPunct/>
              <w:topLinePunct w:val="0"/>
              <w:bidi w:val="0"/>
              <w:snapToGrid w:val="0"/>
              <w:spacing w:line="360" w:lineRule="auto"/>
              <w:ind w:firstLine="480" w:firstLineChars="200"/>
              <w:textAlignment w:val="auto"/>
              <w:rPr>
                <w:rFonts w:hint="eastAsia" w:ascii="Times New Roman" w:hAnsi="Times New Roman" w:eastAsia="宋体" w:cs="Times New Roman"/>
                <w:color w:val="auto"/>
                <w:sz w:val="24"/>
                <w:lang w:eastAsia="zh-CN"/>
              </w:rPr>
            </w:pPr>
            <w:r>
              <w:rPr>
                <w:rFonts w:hint="eastAsia" w:ascii="宋体" w:hAnsi="宋体" w:eastAsia="宋体" w:cs="宋体"/>
                <w:color w:val="auto"/>
                <w:kern w:val="0"/>
                <w:sz w:val="24"/>
                <w:lang w:val="en-US" w:eastAsia="zh-CN" w:bidi="ar"/>
              </w:rPr>
              <w:t>⑦</w:t>
            </w:r>
            <w:r>
              <w:rPr>
                <w:rFonts w:hint="eastAsia" w:cs="Times New Roman"/>
                <w:color w:val="auto"/>
                <w:kern w:val="0"/>
                <w:sz w:val="24"/>
                <w:lang w:eastAsia="zh-CN" w:bidi="ar"/>
              </w:rPr>
              <w:t>研磨</w:t>
            </w:r>
          </w:p>
          <w:p w14:paraId="1037B735">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hint="eastAsia" w:ascii="Times New Roman" w:hAnsi="Times New Roman" w:cs="Times New Roman"/>
                <w:color w:val="auto"/>
                <w:sz w:val="24"/>
                <w:szCs w:val="24"/>
                <w:lang w:val="en-US" w:eastAsia="zh-CN"/>
              </w:rPr>
            </w:pPr>
            <w:r>
              <w:rPr>
                <w:rFonts w:hint="eastAsia" w:cs="Times New Roman"/>
                <w:color w:val="auto"/>
                <w:kern w:val="0"/>
                <w:sz w:val="24"/>
                <w:lang w:eastAsia="zh-CN" w:bidi="ar"/>
              </w:rPr>
              <w:t>钻孔</w:t>
            </w:r>
            <w:r>
              <w:rPr>
                <w:rFonts w:hint="default" w:ascii="Times New Roman" w:hAnsi="Times New Roman" w:cs="Times New Roman"/>
                <w:color w:val="auto"/>
                <w:kern w:val="0"/>
                <w:sz w:val="24"/>
                <w:lang w:bidi="ar"/>
              </w:rPr>
              <w:t>的</w:t>
            </w:r>
            <w:r>
              <w:rPr>
                <w:rFonts w:hint="eastAsia" w:cs="Times New Roman"/>
                <w:color w:val="auto"/>
                <w:kern w:val="0"/>
                <w:sz w:val="24"/>
                <w:lang w:eastAsia="zh-CN" w:bidi="ar"/>
              </w:rPr>
              <w:t>产品经</w:t>
            </w:r>
            <w:r>
              <w:rPr>
                <w:rFonts w:hint="eastAsia" w:ascii="Times New Roman" w:hAnsi="Times New Roman" w:cs="Times New Roman"/>
                <w:color w:val="auto"/>
                <w:sz w:val="24"/>
                <w:szCs w:val="24"/>
                <w:lang w:val="en-US" w:eastAsia="zh-CN"/>
              </w:rPr>
              <w:t>震动研磨机</w:t>
            </w:r>
            <w:r>
              <w:rPr>
                <w:rFonts w:hint="eastAsia" w:cs="Times New Roman"/>
                <w:color w:val="auto"/>
                <w:sz w:val="24"/>
                <w:szCs w:val="24"/>
                <w:lang w:val="en-US" w:eastAsia="zh-CN"/>
              </w:rPr>
              <w:t>研磨</w:t>
            </w:r>
            <w:r>
              <w:rPr>
                <w:rFonts w:hint="eastAsia" w:ascii="Times New Roman" w:hAnsi="Times New Roman" w:cs="Times New Roman"/>
                <w:color w:val="auto"/>
                <w:sz w:val="24"/>
                <w:szCs w:val="24"/>
                <w:lang w:val="en-US" w:eastAsia="zh-CN"/>
              </w:rPr>
              <w:t>，</w:t>
            </w:r>
            <w:r>
              <w:rPr>
                <w:rFonts w:hint="eastAsia" w:cs="Times New Roman"/>
                <w:color w:val="auto"/>
                <w:sz w:val="24"/>
                <w:szCs w:val="24"/>
                <w:lang w:val="en-US" w:eastAsia="zh-CN"/>
              </w:rPr>
              <w:t>研磨过程</w:t>
            </w:r>
            <w:r>
              <w:rPr>
                <w:rFonts w:hint="eastAsia" w:ascii="Times New Roman" w:hAnsi="Times New Roman" w:eastAsia="宋体" w:cs="Times New Roman"/>
                <w:color w:val="auto"/>
                <w:kern w:val="0"/>
                <w:sz w:val="24"/>
                <w:szCs w:val="20"/>
                <w:lang w:val="en-US" w:eastAsia="zh-CN" w:bidi="ar-SA"/>
              </w:rPr>
              <w:t>采用湿式工艺，</w:t>
            </w:r>
            <w:r>
              <w:rPr>
                <w:rFonts w:hint="eastAsia" w:ascii="Times New Roman" w:hAnsi="Times New Roman" w:cs="Times New Roman"/>
                <w:color w:val="auto"/>
                <w:sz w:val="24"/>
                <w:szCs w:val="24"/>
                <w:lang w:val="en-US" w:eastAsia="zh-CN"/>
              </w:rPr>
              <w:t>以提高表面光泽和平滑度。</w:t>
            </w:r>
            <w:r>
              <w:rPr>
                <w:rFonts w:hint="default" w:ascii="Times New Roman" w:hAnsi="Times New Roman" w:cs="Times New Roman"/>
                <w:color w:val="auto"/>
                <w:kern w:val="0"/>
                <w:sz w:val="24"/>
                <w:lang w:bidi="ar"/>
              </w:rPr>
              <w:t>该工序</w:t>
            </w:r>
            <w:r>
              <w:rPr>
                <w:rFonts w:hint="eastAsia" w:cs="Times New Roman"/>
                <w:color w:val="auto"/>
                <w:kern w:val="0"/>
                <w:sz w:val="24"/>
                <w:lang w:eastAsia="zh-CN" w:bidi="ar"/>
              </w:rPr>
              <w:t>不会有颗粒物产生</w:t>
            </w:r>
            <w:r>
              <w:rPr>
                <w:rFonts w:hint="default" w:ascii="Times New Roman" w:hAnsi="Times New Roman" w:cs="Times New Roman"/>
                <w:color w:val="auto"/>
                <w:kern w:val="0"/>
                <w:sz w:val="24"/>
                <w:lang w:bidi="ar"/>
              </w:rPr>
              <w:t>。</w:t>
            </w:r>
          </w:p>
          <w:p w14:paraId="2C46747A">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⑧喷塑</w:t>
            </w:r>
          </w:p>
          <w:p w14:paraId="66B9289F">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lang w:val="en-US" w:eastAsia="zh-CN" w:bidi="ar"/>
              </w:rPr>
            </w:pPr>
            <w:r>
              <w:rPr>
                <w:rFonts w:hint="default" w:ascii="Times New Roman" w:hAnsi="Times New Roman" w:eastAsia="宋体" w:cs="Times New Roman"/>
                <w:b w:val="0"/>
                <w:bCs w:val="0"/>
                <w:color w:val="auto"/>
                <w:kern w:val="0"/>
                <w:sz w:val="24"/>
                <w:szCs w:val="24"/>
                <w:lang w:val="en-US" w:eastAsia="zh-CN" w:bidi="ar"/>
              </w:rPr>
              <w:t>对需要喷塑</w:t>
            </w:r>
            <w:r>
              <w:rPr>
                <w:rFonts w:hint="default" w:ascii="Times New Roman" w:hAnsi="Times New Roman" w:cs="Times New Roman"/>
                <w:b w:val="0"/>
                <w:bCs w:val="0"/>
                <w:color w:val="auto"/>
                <w:kern w:val="0"/>
                <w:sz w:val="24"/>
                <w:szCs w:val="24"/>
                <w:lang w:val="en-US" w:eastAsia="zh-CN" w:bidi="ar"/>
              </w:rPr>
              <w:t>的</w:t>
            </w:r>
            <w:r>
              <w:rPr>
                <w:rFonts w:hint="eastAsia" w:cs="Times New Roman"/>
                <w:b w:val="0"/>
                <w:bCs w:val="0"/>
                <w:color w:val="auto"/>
                <w:kern w:val="0"/>
                <w:sz w:val="24"/>
                <w:szCs w:val="24"/>
                <w:lang w:val="en-US" w:eastAsia="zh-CN" w:bidi="ar"/>
              </w:rPr>
              <w:t>工件</w:t>
            </w:r>
            <w:r>
              <w:rPr>
                <w:rFonts w:hint="default" w:ascii="Times New Roman" w:hAnsi="Times New Roman" w:cs="Times New Roman"/>
                <w:b w:val="0"/>
                <w:bCs w:val="0"/>
                <w:color w:val="auto"/>
                <w:kern w:val="0"/>
                <w:sz w:val="24"/>
                <w:szCs w:val="24"/>
                <w:lang w:val="en-US" w:eastAsia="zh-CN" w:bidi="ar"/>
              </w:rPr>
              <w:t>，</w:t>
            </w:r>
            <w:r>
              <w:rPr>
                <w:rFonts w:hint="default" w:ascii="Times New Roman" w:hAnsi="Times New Roman" w:eastAsia="宋体" w:cs="Times New Roman"/>
                <w:b w:val="0"/>
                <w:bCs w:val="0"/>
                <w:color w:val="auto"/>
                <w:kern w:val="0"/>
                <w:sz w:val="24"/>
                <w:szCs w:val="24"/>
                <w:lang w:val="en-US" w:eastAsia="zh-CN" w:bidi="ar"/>
              </w:rPr>
              <w:t>经过</w:t>
            </w:r>
            <w:r>
              <w:rPr>
                <w:rFonts w:hint="eastAsia" w:cs="Times New Roman"/>
                <w:b w:val="0"/>
                <w:bCs w:val="0"/>
                <w:color w:val="auto"/>
                <w:kern w:val="0"/>
                <w:sz w:val="24"/>
                <w:szCs w:val="24"/>
                <w:lang w:val="en-US" w:eastAsia="zh-CN" w:bidi="ar"/>
              </w:rPr>
              <w:t>研磨处理</w:t>
            </w:r>
            <w:r>
              <w:rPr>
                <w:rFonts w:hint="default" w:ascii="Times New Roman" w:hAnsi="Times New Roman" w:eastAsia="宋体" w:cs="Times New Roman"/>
                <w:b w:val="0"/>
                <w:bCs w:val="0"/>
                <w:color w:val="auto"/>
                <w:kern w:val="0"/>
                <w:sz w:val="24"/>
                <w:szCs w:val="24"/>
                <w:lang w:val="en-US" w:eastAsia="zh-CN" w:bidi="ar"/>
              </w:rPr>
              <w:t>后</w:t>
            </w:r>
            <w:r>
              <w:rPr>
                <w:rFonts w:hint="eastAsia" w:cs="Times New Roman"/>
                <w:b w:val="0"/>
                <w:bCs w:val="0"/>
                <w:color w:val="auto"/>
                <w:kern w:val="0"/>
                <w:sz w:val="24"/>
                <w:szCs w:val="24"/>
                <w:lang w:val="en-US" w:eastAsia="zh-CN" w:bidi="ar"/>
              </w:rPr>
              <w:t>，</w:t>
            </w:r>
            <w:r>
              <w:rPr>
                <w:rFonts w:hint="eastAsia" w:cs="Times New Roman"/>
                <w:b w:val="0"/>
                <w:bCs w:val="0"/>
                <w:color w:val="auto"/>
                <w:sz w:val="24"/>
                <w:szCs w:val="24"/>
                <w:lang w:val="en-US" w:eastAsia="zh-CN"/>
              </w:rPr>
              <w:t>人工将工件挂在半封闭喷塑设备内，人工持喷塑枪进行喷塑，</w:t>
            </w:r>
            <w:r>
              <w:rPr>
                <w:rFonts w:hint="default" w:ascii="Times New Roman" w:hAnsi="Times New Roman" w:cs="Times New Roman"/>
                <w:b w:val="0"/>
                <w:bCs w:val="0"/>
                <w:color w:val="auto"/>
                <w:sz w:val="24"/>
                <w:szCs w:val="24"/>
                <w:lang w:val="en-US" w:eastAsia="zh-CN"/>
              </w:rPr>
              <w:t>利用静电吸附原理，</w:t>
            </w:r>
            <w:r>
              <w:rPr>
                <w:rFonts w:hint="eastAsia" w:cs="Times New Roman"/>
                <w:b w:val="0"/>
                <w:bCs w:val="0"/>
                <w:color w:val="auto"/>
                <w:sz w:val="24"/>
                <w:szCs w:val="24"/>
                <w:lang w:val="en-US" w:eastAsia="zh-CN"/>
              </w:rPr>
              <w:t>间歇性对需要喷塑的每件工件喷塑，</w:t>
            </w:r>
            <w:r>
              <w:rPr>
                <w:rFonts w:hint="default" w:ascii="Times New Roman" w:hAnsi="Times New Roman" w:eastAsia="宋体" w:cs="Times New Roman"/>
                <w:b w:val="0"/>
                <w:bCs w:val="0"/>
                <w:color w:val="auto"/>
                <w:kern w:val="2"/>
                <w:sz w:val="24"/>
                <w:szCs w:val="24"/>
                <w:highlight w:val="none"/>
                <w:lang w:val="en-US" w:eastAsia="zh-CN" w:bidi="ar-SA"/>
              </w:rPr>
              <w:t>未被工件吸附的过量粉末被设备风机吸入粉气分离后，再经收集和落粉筛筛选后送至喷枪进行</w:t>
            </w:r>
            <w:r>
              <w:rPr>
                <w:rFonts w:hint="eastAsia" w:ascii="Times New Roman" w:hAnsi="Times New Roman" w:eastAsia="宋体" w:cs="Times New Roman"/>
                <w:b w:val="0"/>
                <w:bCs w:val="0"/>
                <w:color w:val="auto"/>
                <w:kern w:val="2"/>
                <w:sz w:val="24"/>
                <w:szCs w:val="24"/>
                <w:highlight w:val="none"/>
                <w:lang w:val="en-US" w:eastAsia="zh-CN" w:bidi="ar-SA"/>
              </w:rPr>
              <w:t>喷塑</w:t>
            </w:r>
            <w:r>
              <w:rPr>
                <w:rFonts w:hint="default" w:ascii="Times New Roman" w:hAnsi="Times New Roman" w:cs="Times New Roman"/>
                <w:b w:val="0"/>
                <w:bCs w:val="0"/>
                <w:color w:val="auto"/>
              </w:rPr>
              <w:t>。</w:t>
            </w:r>
            <w:r>
              <w:rPr>
                <w:rFonts w:hint="default" w:ascii="Times New Roman" w:hAnsi="Times New Roman" w:cs="Times New Roman"/>
                <w:color w:val="auto"/>
                <w:kern w:val="0"/>
                <w:sz w:val="24"/>
                <w:lang w:bidi="ar"/>
              </w:rPr>
              <w:t>该工序</w:t>
            </w:r>
            <w:r>
              <w:rPr>
                <w:rFonts w:hint="default" w:ascii="Times New Roman" w:hAnsi="Times New Roman" w:cs="Times New Roman"/>
                <w:color w:val="auto"/>
                <w:kern w:val="0"/>
                <w:sz w:val="24"/>
                <w:lang w:eastAsia="zh-CN" w:bidi="ar"/>
              </w:rPr>
              <w:t>会产生</w:t>
            </w:r>
            <w:r>
              <w:rPr>
                <w:rFonts w:hint="eastAsia" w:ascii="Times New Roman" w:hAnsi="Times New Roman" w:cs="Times New Roman"/>
                <w:color w:val="auto"/>
                <w:kern w:val="0"/>
                <w:sz w:val="24"/>
                <w:lang w:eastAsia="zh-CN" w:bidi="ar"/>
              </w:rPr>
              <w:t>注塑</w:t>
            </w:r>
            <w:r>
              <w:rPr>
                <w:rFonts w:hint="default" w:ascii="Times New Roman" w:hAnsi="Times New Roman" w:cs="Times New Roman"/>
                <w:color w:val="auto"/>
                <w:kern w:val="0"/>
                <w:sz w:val="24"/>
                <w:lang w:eastAsia="zh-CN" w:bidi="ar"/>
              </w:rPr>
              <w:t>废气</w:t>
            </w:r>
            <w:r>
              <w:rPr>
                <w:rFonts w:hint="default" w:ascii="Times New Roman" w:hAnsi="Times New Roman" w:cs="Times New Roman"/>
                <w:color w:val="auto"/>
                <w:kern w:val="0"/>
                <w:sz w:val="24"/>
                <w:lang w:val="en-US" w:eastAsia="zh-CN" w:bidi="ar"/>
              </w:rPr>
              <w:t>G</w:t>
            </w:r>
            <w:r>
              <w:rPr>
                <w:rFonts w:hint="eastAsia" w:ascii="Times New Roman" w:hAnsi="Times New Roman" w:cs="Times New Roman"/>
                <w:color w:val="auto"/>
                <w:kern w:val="0"/>
                <w:sz w:val="24"/>
                <w:lang w:val="en-US" w:eastAsia="zh-CN" w:bidi="ar"/>
              </w:rPr>
              <w:t>6和噪声N</w:t>
            </w:r>
            <w:r>
              <w:rPr>
                <w:rFonts w:hint="default" w:ascii="Times New Roman" w:hAnsi="Times New Roman" w:eastAsia="宋体" w:cs="Times New Roman"/>
                <w:b w:val="0"/>
                <w:bCs w:val="0"/>
                <w:color w:val="auto"/>
                <w:kern w:val="0"/>
                <w:sz w:val="24"/>
                <w:szCs w:val="24"/>
                <w:lang w:val="en-US" w:eastAsia="zh-CN" w:bidi="ar"/>
              </w:rPr>
              <w:t>。</w:t>
            </w:r>
          </w:p>
          <w:p w14:paraId="70DD9852">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default"/>
                <w:color w:val="auto"/>
              </w:rPr>
            </w:pPr>
            <w:r>
              <w:rPr>
                <w:rFonts w:hint="eastAsia" w:ascii="宋体" w:hAnsi="宋体" w:eastAsia="宋体" w:cs="宋体"/>
                <w:color w:val="auto"/>
                <w:kern w:val="0"/>
                <w:sz w:val="24"/>
                <w:lang w:val="en-US" w:eastAsia="zh-CN" w:bidi="ar"/>
              </w:rPr>
              <w:t>⑨</w:t>
            </w:r>
            <w:r>
              <w:rPr>
                <w:rFonts w:hint="default" w:ascii="Times New Roman" w:hAnsi="Times New Roman" w:cs="Times New Roman"/>
                <w:b w:val="0"/>
                <w:bCs w:val="0"/>
                <w:color w:val="auto"/>
                <w:sz w:val="24"/>
                <w:lang w:eastAsia="zh-CN"/>
              </w:rPr>
              <w:t>固化</w:t>
            </w:r>
          </w:p>
          <w:p w14:paraId="270A7E2A">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lang w:val="en-US" w:eastAsia="zh-CN" w:bidi="ar"/>
              </w:rPr>
            </w:pPr>
            <w:r>
              <w:rPr>
                <w:rFonts w:hint="default" w:ascii="Times New Roman" w:hAnsi="Times New Roman" w:cs="Times New Roman"/>
                <w:b w:val="0"/>
                <w:bCs w:val="0"/>
                <w:color w:val="auto"/>
                <w:sz w:val="24"/>
                <w:szCs w:val="32"/>
                <w:lang w:val="en-US" w:eastAsia="zh-CN"/>
              </w:rPr>
              <w:t>将</w:t>
            </w:r>
            <w:r>
              <w:rPr>
                <w:rFonts w:hint="eastAsia" w:ascii="宋体" w:hAnsi="宋体" w:eastAsia="宋体" w:cs="宋体"/>
                <w:color w:val="auto"/>
                <w:kern w:val="0"/>
                <w:sz w:val="24"/>
                <w:lang w:val="en-US" w:eastAsia="zh-CN" w:bidi="ar"/>
              </w:rPr>
              <w:t>喷塑完成</w:t>
            </w:r>
            <w:r>
              <w:rPr>
                <w:rFonts w:hint="default" w:ascii="Times New Roman" w:hAnsi="Times New Roman" w:cs="Times New Roman"/>
                <w:b w:val="0"/>
                <w:bCs w:val="0"/>
                <w:color w:val="auto"/>
                <w:sz w:val="24"/>
                <w:szCs w:val="32"/>
                <w:lang w:val="en-US" w:eastAsia="zh-CN"/>
              </w:rPr>
              <w:t>的工件推入烘箱，加热到预定的温度（一般185度），并保温相应的时间</w:t>
            </w:r>
            <w:r>
              <w:rPr>
                <w:rFonts w:hint="eastAsia" w:cs="Times New Roman"/>
                <w:b w:val="0"/>
                <w:bCs w:val="0"/>
                <w:color w:val="auto"/>
                <w:sz w:val="24"/>
                <w:szCs w:val="32"/>
                <w:lang w:val="en-US" w:eastAsia="zh-CN"/>
              </w:rPr>
              <w:t>（</w:t>
            </w:r>
            <w:r>
              <w:rPr>
                <w:rFonts w:hint="default" w:ascii="Times New Roman" w:hAnsi="Times New Roman" w:eastAsia="宋体" w:cs="Times New Roman"/>
                <w:b w:val="0"/>
                <w:bCs w:val="0"/>
                <w:color w:val="auto"/>
                <w:kern w:val="2"/>
                <w:sz w:val="24"/>
                <w:szCs w:val="24"/>
                <w:highlight w:val="none"/>
                <w:lang w:val="en-US" w:eastAsia="zh-CN" w:bidi="ar-SA"/>
              </w:rPr>
              <w:t>15~20min</w:t>
            </w:r>
            <w:r>
              <w:rPr>
                <w:rFonts w:hint="eastAsia" w:cs="Times New Roman"/>
                <w:b w:val="0"/>
                <w:bCs w:val="0"/>
                <w:color w:val="auto"/>
                <w:sz w:val="24"/>
                <w:szCs w:val="32"/>
                <w:lang w:val="en-US" w:eastAsia="zh-CN"/>
              </w:rPr>
              <w:t>）</w:t>
            </w:r>
            <w:r>
              <w:rPr>
                <w:rFonts w:hint="default" w:ascii="Times New Roman" w:hAnsi="Times New Roman" w:eastAsia="宋体" w:cs="Times New Roman"/>
                <w:b w:val="0"/>
                <w:bCs w:val="0"/>
                <w:color w:val="auto"/>
                <w:kern w:val="2"/>
                <w:sz w:val="24"/>
                <w:szCs w:val="24"/>
                <w:highlight w:val="none"/>
                <w:lang w:val="en-US" w:eastAsia="zh-CN" w:bidi="ar-SA"/>
              </w:rPr>
              <w:t>完成固化</w:t>
            </w:r>
            <w:r>
              <w:rPr>
                <w:rFonts w:hint="default" w:ascii="Times New Roman" w:hAnsi="Times New Roman" w:cs="Times New Roman"/>
                <w:b w:val="0"/>
                <w:bCs w:val="0"/>
                <w:color w:val="auto"/>
                <w:sz w:val="24"/>
                <w:szCs w:val="32"/>
                <w:lang w:val="en-US" w:eastAsia="zh-CN"/>
              </w:rPr>
              <w:t>；开炉取出</w:t>
            </w:r>
            <w:r>
              <w:rPr>
                <w:rFonts w:hint="eastAsia" w:cs="Times New Roman"/>
                <w:b w:val="0"/>
                <w:bCs w:val="0"/>
                <w:color w:val="auto"/>
                <w:sz w:val="24"/>
                <w:szCs w:val="32"/>
                <w:lang w:val="en-US" w:eastAsia="zh-CN"/>
              </w:rPr>
              <w:t>自然</w:t>
            </w:r>
            <w:r>
              <w:rPr>
                <w:rFonts w:hint="default" w:ascii="Times New Roman" w:hAnsi="Times New Roman" w:cs="Times New Roman"/>
                <w:b w:val="0"/>
                <w:bCs w:val="0"/>
                <w:color w:val="auto"/>
                <w:sz w:val="24"/>
                <w:szCs w:val="32"/>
                <w:lang w:val="en-US" w:eastAsia="zh-CN"/>
              </w:rPr>
              <w:t>冷却得到成品</w:t>
            </w:r>
            <w:r>
              <w:rPr>
                <w:rFonts w:hint="default" w:ascii="Times New Roman" w:hAnsi="Times New Roman" w:cs="Times New Roman"/>
                <w:b w:val="0"/>
                <w:bCs w:val="0"/>
                <w:color w:val="auto"/>
                <w:sz w:val="24"/>
              </w:rPr>
              <w:t>。</w:t>
            </w:r>
            <w:r>
              <w:rPr>
                <w:rFonts w:hint="default" w:ascii="Times New Roman" w:hAnsi="Times New Roman" w:cs="Times New Roman"/>
                <w:color w:val="auto"/>
                <w:kern w:val="0"/>
                <w:sz w:val="24"/>
                <w:lang w:bidi="ar"/>
              </w:rPr>
              <w:t>该工序</w:t>
            </w:r>
            <w:r>
              <w:rPr>
                <w:rFonts w:hint="default" w:ascii="Times New Roman" w:hAnsi="Times New Roman" w:cs="Times New Roman"/>
                <w:color w:val="auto"/>
                <w:kern w:val="0"/>
                <w:sz w:val="24"/>
                <w:lang w:eastAsia="zh-CN" w:bidi="ar"/>
              </w:rPr>
              <w:t>会产生</w:t>
            </w:r>
            <w:r>
              <w:rPr>
                <w:rFonts w:hint="default" w:ascii="Times New Roman" w:hAnsi="Times New Roman" w:eastAsia="宋体" w:cs="Times New Roman"/>
                <w:b w:val="0"/>
                <w:bCs w:val="0"/>
                <w:color w:val="auto"/>
                <w:kern w:val="0"/>
                <w:sz w:val="24"/>
                <w:szCs w:val="24"/>
                <w:lang w:val="en-US" w:eastAsia="zh-CN" w:bidi="ar"/>
              </w:rPr>
              <w:t>固化废气</w:t>
            </w:r>
            <w:r>
              <w:rPr>
                <w:rFonts w:hint="eastAsia" w:ascii="Times New Roman" w:hAnsi="Times New Roman" w:eastAsia="宋体" w:cs="Times New Roman"/>
                <w:b w:val="0"/>
                <w:bCs w:val="0"/>
                <w:color w:val="auto"/>
                <w:kern w:val="0"/>
                <w:sz w:val="24"/>
                <w:szCs w:val="24"/>
                <w:lang w:val="en-US" w:eastAsia="zh-CN" w:bidi="ar"/>
              </w:rPr>
              <w:t>G7</w:t>
            </w:r>
            <w:r>
              <w:rPr>
                <w:rFonts w:hint="default" w:ascii="Times New Roman" w:hAnsi="Times New Roman" w:eastAsia="宋体" w:cs="Times New Roman"/>
                <w:b w:val="0"/>
                <w:bCs w:val="0"/>
                <w:color w:val="auto"/>
                <w:kern w:val="0"/>
                <w:sz w:val="24"/>
                <w:szCs w:val="24"/>
                <w:lang w:val="en-US" w:eastAsia="zh-CN" w:bidi="ar"/>
              </w:rPr>
              <w:t>。</w:t>
            </w:r>
          </w:p>
          <w:p w14:paraId="763EA8F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auto"/>
                <w:kern w:val="0"/>
                <w:sz w:val="24"/>
                <w:lang w:bidi="ar"/>
              </w:rPr>
            </w:pPr>
            <w:r>
              <w:rPr>
                <w:rFonts w:hint="eastAsia" w:ascii="宋体" w:hAnsi="宋体" w:eastAsia="宋体" w:cs="宋体"/>
                <w:color w:val="auto"/>
                <w:kern w:val="0"/>
                <w:sz w:val="24"/>
                <w:lang w:val="en-US" w:eastAsia="zh-CN" w:bidi="ar"/>
              </w:rPr>
              <w:t>⑩包装、成品入库</w:t>
            </w:r>
            <w:r>
              <w:rPr>
                <w:rFonts w:hint="default" w:ascii="Times New Roman" w:hAnsi="Times New Roman" w:cs="Times New Roman"/>
                <w:color w:val="auto"/>
                <w:kern w:val="0"/>
                <w:sz w:val="24"/>
                <w:lang w:bidi="ar"/>
              </w:rPr>
              <w:t>。</w:t>
            </w:r>
          </w:p>
          <w:p w14:paraId="76DE2A3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napToGrid/>
                <w:color w:val="auto"/>
                <w:spacing w:val="0"/>
                <w:kern w:val="0"/>
                <w:position w:val="0"/>
                <w:sz w:val="24"/>
                <w:szCs w:val="24"/>
                <w:lang w:val="en-US" w:eastAsia="zh-CN"/>
              </w:rPr>
            </w:pPr>
            <w:r>
              <w:rPr>
                <w:rFonts w:hint="eastAsia" w:cs="Times New Roman"/>
                <w:color w:val="auto"/>
                <w:kern w:val="0"/>
                <w:sz w:val="24"/>
                <w:lang w:eastAsia="zh-CN" w:bidi="ar"/>
              </w:rPr>
              <w:t>固化完成的成品输入包装生产线，经包装材料包装后入库。</w:t>
            </w:r>
            <w:r>
              <w:rPr>
                <w:rFonts w:hint="default" w:ascii="Times New Roman" w:hAnsi="Times New Roman" w:cs="Times New Roman"/>
                <w:color w:val="auto"/>
                <w:kern w:val="0"/>
                <w:sz w:val="24"/>
                <w:lang w:bidi="ar"/>
              </w:rPr>
              <w:t>该工序</w:t>
            </w:r>
            <w:r>
              <w:rPr>
                <w:rFonts w:hint="default" w:ascii="Times New Roman" w:hAnsi="Times New Roman" w:cs="Times New Roman"/>
                <w:color w:val="auto"/>
                <w:kern w:val="0"/>
                <w:sz w:val="24"/>
                <w:lang w:eastAsia="zh-CN" w:bidi="ar"/>
              </w:rPr>
              <w:t>会产生</w:t>
            </w:r>
            <w:r>
              <w:rPr>
                <w:rFonts w:hint="eastAsia" w:ascii="Times New Roman" w:hAnsi="Times New Roman" w:eastAsia="宋体" w:cs="Times New Roman"/>
                <w:b w:val="0"/>
                <w:bCs w:val="0"/>
                <w:color w:val="auto"/>
                <w:kern w:val="0"/>
                <w:sz w:val="24"/>
                <w:szCs w:val="24"/>
                <w:lang w:val="en-US" w:eastAsia="zh-CN" w:bidi="ar"/>
              </w:rPr>
              <w:t>废包装材料</w:t>
            </w:r>
            <w:r>
              <w:rPr>
                <w:rFonts w:hint="eastAsia" w:cs="Times New Roman"/>
                <w:b w:val="0"/>
                <w:bCs w:val="0"/>
                <w:color w:val="auto"/>
                <w:kern w:val="0"/>
                <w:sz w:val="24"/>
                <w:szCs w:val="24"/>
                <w:lang w:val="en-US" w:eastAsia="zh-CN" w:bidi="ar"/>
              </w:rPr>
              <w:t>S4</w:t>
            </w:r>
            <w:r>
              <w:rPr>
                <w:rFonts w:hint="default" w:ascii="Times New Roman" w:hAnsi="Times New Roman" w:eastAsia="宋体" w:cs="Times New Roman"/>
                <w:b w:val="0"/>
                <w:bCs w:val="0"/>
                <w:color w:val="auto"/>
                <w:kern w:val="0"/>
                <w:sz w:val="24"/>
                <w:szCs w:val="24"/>
                <w:lang w:val="en-US" w:eastAsia="zh-CN" w:bidi="ar"/>
              </w:rPr>
              <w:t>。</w:t>
            </w:r>
          </w:p>
          <w:p w14:paraId="574D1F3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p>
          <w:p w14:paraId="1EE181C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p>
          <w:p w14:paraId="094A8EE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p>
          <w:p w14:paraId="29F6665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p>
          <w:p w14:paraId="3BDE077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p>
          <w:p w14:paraId="5493D24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p>
          <w:p w14:paraId="2876724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p>
          <w:p w14:paraId="3C7B88F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p>
          <w:p w14:paraId="3F61BDF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p>
          <w:p w14:paraId="36D3BB8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p>
          <w:p w14:paraId="1DB93C8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p>
          <w:p w14:paraId="1F3A0FC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p>
          <w:p w14:paraId="639B578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p>
          <w:p w14:paraId="2794915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p>
          <w:p w14:paraId="3C7D286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p>
          <w:p w14:paraId="1D97ED3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p>
          <w:p w14:paraId="7543A5D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4"/>
                <w:szCs w:val="24"/>
                <w:highlight w:val="none"/>
                <w:lang w:val="en-US" w:eastAsia="zh-CN" w:bidi="ar"/>
              </w:rPr>
            </w:pPr>
          </w:p>
          <w:p w14:paraId="5E8B11C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p>
          <w:p w14:paraId="7C4D228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snapToGrid/>
                <w:color w:val="auto"/>
                <w:spacing w:val="0"/>
                <w:kern w:val="0"/>
                <w:position w:val="0"/>
                <w:sz w:val="24"/>
                <w:szCs w:val="24"/>
                <w:lang w:val="en-US" w:eastAsia="zh-CN"/>
              </w:rPr>
            </w:pPr>
            <w:r>
              <w:rPr>
                <w:rFonts w:hint="eastAsia" w:ascii="宋体" w:hAnsi="宋体" w:eastAsia="宋体" w:cs="宋体"/>
                <w:b/>
                <w:bCs/>
                <w:color w:val="auto"/>
                <w:kern w:val="0"/>
                <w:sz w:val="24"/>
                <w:szCs w:val="24"/>
                <w:highlight w:val="none"/>
                <w:lang w:val="en-US" w:eastAsia="zh-CN" w:bidi="ar"/>
              </w:rPr>
              <w:t>项目生产过程中污染物产生及治理措施汇总如下：</w:t>
            </w:r>
          </w:p>
          <w:p w14:paraId="4AE200D0">
            <w:pPr>
              <w:pStyle w:val="12"/>
              <w:keepNext w:val="0"/>
              <w:keepLines w:val="0"/>
              <w:pageBreakBefore w:val="0"/>
              <w:widowControl/>
              <w:kinsoku/>
              <w:wordWrap/>
              <w:overflowPunct/>
              <w:topLinePunct w:val="0"/>
              <w:autoSpaceDE/>
              <w:autoSpaceDN/>
              <w:bidi w:val="0"/>
              <w:adjustRightInd w:val="0"/>
              <w:snapToGrid w:val="0"/>
              <w:spacing w:before="0" w:after="0" w:line="360" w:lineRule="auto"/>
              <w:ind w:right="0" w:firstLine="482" w:firstLineChars="200"/>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表2</w:t>
            </w:r>
            <w:r>
              <w:rPr>
                <w:rFonts w:hint="eastAsia" w:cs="Times New Roman"/>
                <w:b/>
                <w:bCs/>
                <w:color w:val="auto"/>
                <w:sz w:val="24"/>
                <w:szCs w:val="24"/>
                <w:highlight w:val="none"/>
                <w:lang w:val="en-US" w:eastAsia="zh-CN"/>
              </w:rPr>
              <w:t>.7  建成</w:t>
            </w:r>
            <w:r>
              <w:rPr>
                <w:rFonts w:hint="default" w:ascii="Times New Roman" w:hAnsi="Times New Roman" w:eastAsia="宋体" w:cs="Times New Roman"/>
                <w:b/>
                <w:bCs/>
                <w:color w:val="auto"/>
                <w:sz w:val="24"/>
                <w:szCs w:val="24"/>
                <w:highlight w:val="none"/>
                <w:lang w:val="en-US" w:eastAsia="zh-CN"/>
              </w:rPr>
              <w:t>后生产工艺产污节点、主要污染物及治理措施</w:t>
            </w:r>
          </w:p>
          <w:tbl>
            <w:tblPr>
              <w:tblStyle w:val="23"/>
              <w:tblW w:w="8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1705"/>
              <w:gridCol w:w="1820"/>
              <w:gridCol w:w="3775"/>
            </w:tblGrid>
            <w:tr w14:paraId="6B8D1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0" w:type="dxa"/>
                  <w:vAlign w:val="center"/>
                </w:tcPr>
                <w:p w14:paraId="39D41B3B">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lang w:val="en-US" w:eastAsia="zh-CN" w:bidi="ar"/>
                    </w:rPr>
                    <w:t>类别</w:t>
                  </w:r>
                </w:p>
              </w:tc>
              <w:tc>
                <w:tcPr>
                  <w:tcW w:w="1705" w:type="dxa"/>
                  <w:vAlign w:val="center"/>
                </w:tcPr>
                <w:p w14:paraId="44CE7E9B">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lang w:val="en-US" w:eastAsia="zh-CN" w:bidi="ar"/>
                    </w:rPr>
                    <w:t>污染工序</w:t>
                  </w:r>
                </w:p>
              </w:tc>
              <w:tc>
                <w:tcPr>
                  <w:tcW w:w="1820" w:type="dxa"/>
                  <w:vAlign w:val="center"/>
                </w:tcPr>
                <w:p w14:paraId="7A501329">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lang w:val="en-US" w:eastAsia="zh-CN" w:bidi="ar"/>
                    </w:rPr>
                    <w:t>主要污染物</w:t>
                  </w:r>
                </w:p>
              </w:tc>
              <w:tc>
                <w:tcPr>
                  <w:tcW w:w="3775" w:type="dxa"/>
                  <w:vAlign w:val="center"/>
                </w:tcPr>
                <w:p w14:paraId="5F9F864C">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lang w:val="en-US" w:eastAsia="zh-CN" w:bidi="ar"/>
                    </w:rPr>
                    <w:t>治理措施</w:t>
                  </w:r>
                </w:p>
              </w:tc>
            </w:tr>
            <w:tr w14:paraId="1023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0" w:type="dxa"/>
                  <w:vMerge w:val="restart"/>
                  <w:vAlign w:val="center"/>
                </w:tcPr>
                <w:p w14:paraId="2003AFE4">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废气</w:t>
                  </w:r>
                </w:p>
              </w:tc>
              <w:tc>
                <w:tcPr>
                  <w:tcW w:w="1705" w:type="dxa"/>
                  <w:shd w:val="clear" w:color="auto" w:fill="auto"/>
                  <w:vAlign w:val="center"/>
                </w:tcPr>
                <w:p w14:paraId="77CE8585">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混合废气</w:t>
                  </w:r>
                </w:p>
              </w:tc>
              <w:tc>
                <w:tcPr>
                  <w:tcW w:w="1820" w:type="dxa"/>
                  <w:shd w:val="clear" w:color="auto" w:fill="auto"/>
                  <w:vAlign w:val="center"/>
                </w:tcPr>
                <w:p w14:paraId="22AA17AB">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颗粒物</w:t>
                  </w:r>
                </w:p>
              </w:tc>
              <w:tc>
                <w:tcPr>
                  <w:tcW w:w="3775" w:type="dxa"/>
                  <w:shd w:val="clear" w:color="auto" w:fill="auto"/>
                  <w:vAlign w:val="center"/>
                </w:tcPr>
                <w:p w14:paraId="5FD605F9">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集气罩+布袋除尘</w:t>
                  </w:r>
                  <w:r>
                    <w:rPr>
                      <w:rFonts w:hint="eastAsia" w:ascii="Times New Roman" w:hAnsi="Times New Roman" w:eastAsia="宋体" w:cs="Times New Roman"/>
                      <w:b w:val="0"/>
                      <w:bCs w:val="0"/>
                      <w:color w:val="auto"/>
                      <w:sz w:val="21"/>
                      <w:szCs w:val="21"/>
                      <w:highlight w:val="none"/>
                      <w:vertAlign w:val="baseline"/>
                      <w:lang w:val="en-US" w:eastAsia="zh-CN"/>
                    </w:rPr>
                    <w:t>器</w:t>
                  </w:r>
                </w:p>
              </w:tc>
            </w:tr>
            <w:tr w14:paraId="1C50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0" w:type="dxa"/>
                  <w:vMerge w:val="continue"/>
                  <w:vAlign w:val="center"/>
                </w:tcPr>
                <w:p w14:paraId="54EEEF6D">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eastAsia" w:cs="Times New Roman"/>
                      <w:b w:val="0"/>
                      <w:bCs w:val="0"/>
                      <w:color w:val="auto"/>
                      <w:sz w:val="21"/>
                      <w:szCs w:val="21"/>
                      <w:highlight w:val="none"/>
                      <w:vertAlign w:val="baseline"/>
                      <w:lang w:val="en-US" w:eastAsia="zh-CN"/>
                    </w:rPr>
                  </w:pPr>
                </w:p>
              </w:tc>
              <w:tc>
                <w:tcPr>
                  <w:tcW w:w="1705" w:type="dxa"/>
                  <w:shd w:val="clear" w:color="auto" w:fill="auto"/>
                  <w:vAlign w:val="center"/>
                </w:tcPr>
                <w:p w14:paraId="090DF208">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vertAlign w:val="baseline"/>
                      <w:lang w:val="en-US" w:eastAsia="zh-CN"/>
                    </w:rPr>
                    <w:t>加热</w:t>
                  </w:r>
                  <w:r>
                    <w:rPr>
                      <w:rFonts w:hint="default" w:ascii="Times New Roman" w:hAnsi="Times New Roman" w:eastAsia="宋体" w:cs="Times New Roman"/>
                      <w:b w:val="0"/>
                      <w:bCs w:val="0"/>
                      <w:color w:val="auto"/>
                      <w:sz w:val="21"/>
                      <w:szCs w:val="21"/>
                      <w:highlight w:val="none"/>
                      <w:vertAlign w:val="baseline"/>
                      <w:lang w:val="en-US" w:eastAsia="zh-CN"/>
                    </w:rPr>
                    <w:t>废气</w:t>
                  </w:r>
                </w:p>
              </w:tc>
              <w:tc>
                <w:tcPr>
                  <w:tcW w:w="1820" w:type="dxa"/>
                  <w:shd w:val="clear" w:color="auto" w:fill="auto"/>
                  <w:vAlign w:val="center"/>
                </w:tcPr>
                <w:p w14:paraId="0A080EBC">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挥发性有机物</w:t>
                  </w:r>
                </w:p>
              </w:tc>
              <w:tc>
                <w:tcPr>
                  <w:tcW w:w="3775" w:type="dxa"/>
                  <w:shd w:val="clear" w:color="auto" w:fill="auto"/>
                  <w:vAlign w:val="center"/>
                </w:tcPr>
                <w:p w14:paraId="65977B1F">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集气罩+二级活性炭</w:t>
                  </w:r>
                  <w:r>
                    <w:rPr>
                      <w:rFonts w:hint="eastAsia" w:ascii="Times New Roman" w:hAnsi="Times New Roman" w:eastAsia="宋体" w:cs="Times New Roman"/>
                      <w:b w:val="0"/>
                      <w:bCs w:val="0"/>
                      <w:color w:val="auto"/>
                      <w:sz w:val="21"/>
                      <w:szCs w:val="21"/>
                      <w:highlight w:val="none"/>
                      <w:vertAlign w:val="baseline"/>
                      <w:lang w:val="en-US" w:eastAsia="zh-CN"/>
                    </w:rPr>
                    <w:t>吸附装置</w:t>
                  </w:r>
                </w:p>
              </w:tc>
            </w:tr>
            <w:tr w14:paraId="6D79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0" w:type="dxa"/>
                  <w:vMerge w:val="continue"/>
                  <w:vAlign w:val="center"/>
                </w:tcPr>
                <w:p w14:paraId="017620BC">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eastAsia" w:cs="Times New Roman"/>
                      <w:b w:val="0"/>
                      <w:bCs w:val="0"/>
                      <w:color w:val="auto"/>
                      <w:sz w:val="21"/>
                      <w:szCs w:val="21"/>
                      <w:highlight w:val="none"/>
                      <w:vertAlign w:val="baseline"/>
                      <w:lang w:val="en-US" w:eastAsia="zh-CN"/>
                    </w:rPr>
                  </w:pPr>
                </w:p>
              </w:tc>
              <w:tc>
                <w:tcPr>
                  <w:tcW w:w="1705" w:type="dxa"/>
                  <w:shd w:val="clear" w:color="auto" w:fill="auto"/>
                  <w:vAlign w:val="center"/>
                </w:tcPr>
                <w:p w14:paraId="1DA2ADD6">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注塑</w:t>
                  </w:r>
                  <w:r>
                    <w:rPr>
                      <w:rFonts w:hint="eastAsia" w:ascii="Times New Roman" w:hAnsi="Times New Roman" w:eastAsia="宋体" w:cs="Times New Roman"/>
                      <w:b w:val="0"/>
                      <w:bCs w:val="0"/>
                      <w:color w:val="auto"/>
                      <w:sz w:val="21"/>
                      <w:szCs w:val="21"/>
                      <w:highlight w:val="none"/>
                      <w:vertAlign w:val="baseline"/>
                      <w:lang w:val="en-US" w:eastAsia="zh-CN"/>
                    </w:rPr>
                    <w:t>、</w:t>
                  </w:r>
                  <w:r>
                    <w:rPr>
                      <w:rFonts w:hint="eastAsia" w:cs="Times New Roman"/>
                      <w:b w:val="0"/>
                      <w:bCs w:val="0"/>
                      <w:color w:val="auto"/>
                      <w:sz w:val="21"/>
                      <w:szCs w:val="21"/>
                      <w:highlight w:val="none"/>
                      <w:vertAlign w:val="baseline"/>
                      <w:lang w:val="en-US" w:eastAsia="zh-CN"/>
                    </w:rPr>
                    <w:t>脱胶</w:t>
                  </w:r>
                  <w:r>
                    <w:rPr>
                      <w:rFonts w:hint="default" w:ascii="Times New Roman" w:hAnsi="Times New Roman" w:eastAsia="宋体" w:cs="Times New Roman"/>
                      <w:b w:val="0"/>
                      <w:bCs w:val="0"/>
                      <w:color w:val="auto"/>
                      <w:sz w:val="21"/>
                      <w:szCs w:val="21"/>
                      <w:highlight w:val="none"/>
                      <w:vertAlign w:val="baseline"/>
                      <w:lang w:val="en-US" w:eastAsia="zh-CN"/>
                    </w:rPr>
                    <w:t>废气</w:t>
                  </w:r>
                </w:p>
              </w:tc>
              <w:tc>
                <w:tcPr>
                  <w:tcW w:w="1820" w:type="dxa"/>
                  <w:shd w:val="clear" w:color="auto" w:fill="auto"/>
                  <w:vAlign w:val="center"/>
                </w:tcPr>
                <w:p w14:paraId="607BA45D">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挥发性有机物</w:t>
                  </w:r>
                </w:p>
              </w:tc>
              <w:tc>
                <w:tcPr>
                  <w:tcW w:w="3775" w:type="dxa"/>
                  <w:shd w:val="clear" w:color="auto" w:fill="auto"/>
                  <w:vAlign w:val="center"/>
                </w:tcPr>
                <w:p w14:paraId="26FF6A30">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集气罩+二级活性炭</w:t>
                  </w:r>
                  <w:r>
                    <w:rPr>
                      <w:rFonts w:hint="eastAsia" w:ascii="Times New Roman" w:hAnsi="Times New Roman" w:eastAsia="宋体" w:cs="Times New Roman"/>
                      <w:b w:val="0"/>
                      <w:bCs w:val="0"/>
                      <w:color w:val="auto"/>
                      <w:sz w:val="21"/>
                      <w:szCs w:val="21"/>
                      <w:highlight w:val="none"/>
                      <w:vertAlign w:val="baseline"/>
                      <w:lang w:val="en-US" w:eastAsia="zh-CN"/>
                    </w:rPr>
                    <w:t>吸附装置</w:t>
                  </w:r>
                </w:p>
              </w:tc>
            </w:tr>
            <w:tr w14:paraId="24E96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0" w:type="dxa"/>
                  <w:vMerge w:val="continue"/>
                  <w:vAlign w:val="center"/>
                </w:tcPr>
                <w:p w14:paraId="7EC097E1">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eastAsia" w:cs="Times New Roman"/>
                      <w:b w:val="0"/>
                      <w:bCs w:val="0"/>
                      <w:color w:val="auto"/>
                      <w:sz w:val="21"/>
                      <w:szCs w:val="21"/>
                      <w:highlight w:val="none"/>
                      <w:vertAlign w:val="baseline"/>
                      <w:lang w:val="en-US" w:eastAsia="zh-CN"/>
                    </w:rPr>
                  </w:pPr>
                </w:p>
              </w:tc>
              <w:tc>
                <w:tcPr>
                  <w:tcW w:w="1705" w:type="dxa"/>
                  <w:shd w:val="clear" w:color="auto" w:fill="auto"/>
                  <w:vAlign w:val="center"/>
                </w:tcPr>
                <w:p w14:paraId="3230A4A6">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喷塑废气</w:t>
                  </w:r>
                </w:p>
              </w:tc>
              <w:tc>
                <w:tcPr>
                  <w:tcW w:w="1820" w:type="dxa"/>
                  <w:shd w:val="clear" w:color="auto" w:fill="auto"/>
                  <w:vAlign w:val="center"/>
                </w:tcPr>
                <w:p w14:paraId="1A5EBB22">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颗粒物</w:t>
                  </w:r>
                </w:p>
              </w:tc>
              <w:tc>
                <w:tcPr>
                  <w:tcW w:w="3775" w:type="dxa"/>
                  <w:shd w:val="clear" w:color="auto" w:fill="auto"/>
                  <w:vAlign w:val="center"/>
                </w:tcPr>
                <w:p w14:paraId="26ADA609">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vertAlign w:val="baseline"/>
                      <w:lang w:val="en-US" w:eastAsia="zh-CN"/>
                    </w:rPr>
                    <w:t>侧向</w:t>
                  </w:r>
                  <w:r>
                    <w:rPr>
                      <w:rFonts w:hint="default" w:ascii="Times New Roman" w:hAnsi="Times New Roman" w:eastAsia="宋体" w:cs="Times New Roman"/>
                      <w:b w:val="0"/>
                      <w:bCs w:val="0"/>
                      <w:color w:val="auto"/>
                      <w:sz w:val="21"/>
                      <w:szCs w:val="21"/>
                      <w:highlight w:val="none"/>
                      <w:vertAlign w:val="baseline"/>
                      <w:lang w:val="en-US" w:eastAsia="zh-CN"/>
                    </w:rPr>
                    <w:t>集气罩</w:t>
                  </w:r>
                  <w:r>
                    <w:rPr>
                      <w:rFonts w:hint="eastAsia" w:ascii="Times New Roman" w:hAnsi="Times New Roman" w:eastAsia="宋体" w:cs="Times New Roman"/>
                      <w:b w:val="0"/>
                      <w:bCs w:val="0"/>
                      <w:color w:val="auto"/>
                      <w:sz w:val="21"/>
                      <w:szCs w:val="21"/>
                      <w:highlight w:val="none"/>
                      <w:vertAlign w:val="baseline"/>
                      <w:lang w:val="en-US" w:eastAsia="zh-CN"/>
                    </w:rPr>
                    <w:t>+</w:t>
                  </w:r>
                  <w:r>
                    <w:rPr>
                      <w:rFonts w:hint="eastAsia" w:cs="Times New Roman"/>
                      <w:b w:val="0"/>
                      <w:bCs w:val="0"/>
                      <w:color w:val="auto"/>
                      <w:sz w:val="21"/>
                      <w:szCs w:val="21"/>
                      <w:highlight w:val="none"/>
                      <w:vertAlign w:val="baseline"/>
                      <w:lang w:val="en-US" w:eastAsia="zh-CN"/>
                    </w:rPr>
                    <w:t>布袋除尘器</w:t>
                  </w:r>
                </w:p>
              </w:tc>
            </w:tr>
            <w:tr w14:paraId="632B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0" w:type="dxa"/>
                  <w:vMerge w:val="continue"/>
                  <w:vAlign w:val="center"/>
                </w:tcPr>
                <w:p w14:paraId="0EFEADB7">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eastAsia" w:cs="Times New Roman"/>
                      <w:b w:val="0"/>
                      <w:bCs w:val="0"/>
                      <w:color w:val="auto"/>
                      <w:sz w:val="21"/>
                      <w:szCs w:val="21"/>
                      <w:highlight w:val="none"/>
                      <w:vertAlign w:val="baseline"/>
                      <w:lang w:val="en-US" w:eastAsia="zh-CN"/>
                    </w:rPr>
                  </w:pPr>
                </w:p>
              </w:tc>
              <w:tc>
                <w:tcPr>
                  <w:tcW w:w="1705" w:type="dxa"/>
                  <w:shd w:val="clear" w:color="auto" w:fill="auto"/>
                  <w:vAlign w:val="center"/>
                </w:tcPr>
                <w:p w14:paraId="66FDA440">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固化废气</w:t>
                  </w:r>
                </w:p>
              </w:tc>
              <w:tc>
                <w:tcPr>
                  <w:tcW w:w="1820" w:type="dxa"/>
                  <w:shd w:val="clear" w:color="auto" w:fill="auto"/>
                  <w:vAlign w:val="center"/>
                </w:tcPr>
                <w:p w14:paraId="0A5F5DF0">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kern w:val="0"/>
                      <w:sz w:val="21"/>
                      <w:szCs w:val="21"/>
                      <w:highlight w:val="none"/>
                      <w:vertAlign w:val="baseline"/>
                      <w:lang w:val="en-US" w:eastAsia="zh-CN" w:bidi="ar-SA"/>
                    </w:rPr>
                    <w:t>挥发性有机物</w:t>
                  </w:r>
                </w:p>
              </w:tc>
              <w:tc>
                <w:tcPr>
                  <w:tcW w:w="3775" w:type="dxa"/>
                  <w:shd w:val="clear" w:color="auto" w:fill="auto"/>
                  <w:vAlign w:val="center"/>
                </w:tcPr>
                <w:p w14:paraId="235793D2">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集气罩+二级活性炭</w:t>
                  </w:r>
                  <w:r>
                    <w:rPr>
                      <w:rFonts w:hint="eastAsia" w:ascii="Times New Roman" w:hAnsi="Times New Roman" w:eastAsia="宋体" w:cs="Times New Roman"/>
                      <w:b w:val="0"/>
                      <w:bCs w:val="0"/>
                      <w:color w:val="auto"/>
                      <w:sz w:val="21"/>
                      <w:szCs w:val="21"/>
                      <w:highlight w:val="none"/>
                      <w:vertAlign w:val="baseline"/>
                      <w:lang w:val="en-US" w:eastAsia="zh-CN"/>
                    </w:rPr>
                    <w:t>吸附装置</w:t>
                  </w:r>
                </w:p>
              </w:tc>
            </w:tr>
            <w:tr w14:paraId="6433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0" w:type="dxa"/>
                  <w:vMerge w:val="restart"/>
                  <w:vAlign w:val="center"/>
                </w:tcPr>
                <w:p w14:paraId="41CDA18E">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废水</w:t>
                  </w:r>
                </w:p>
              </w:tc>
              <w:tc>
                <w:tcPr>
                  <w:tcW w:w="1705" w:type="dxa"/>
                  <w:vAlign w:val="center"/>
                </w:tcPr>
                <w:p w14:paraId="086615AE">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生活污水</w:t>
                  </w:r>
                </w:p>
              </w:tc>
              <w:tc>
                <w:tcPr>
                  <w:tcW w:w="1820" w:type="dxa"/>
                  <w:vAlign w:val="center"/>
                </w:tcPr>
                <w:p w14:paraId="6DD15CA6">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COD、BOD</w:t>
                  </w:r>
                  <w:r>
                    <w:rPr>
                      <w:rFonts w:hint="default" w:ascii="Times New Roman" w:hAnsi="Times New Roman" w:eastAsia="宋体" w:cs="Times New Roman"/>
                      <w:b w:val="0"/>
                      <w:bCs w:val="0"/>
                      <w:color w:val="auto"/>
                      <w:sz w:val="21"/>
                      <w:szCs w:val="21"/>
                      <w:highlight w:val="none"/>
                      <w:vertAlign w:val="subscript"/>
                      <w:lang w:val="en-US" w:eastAsia="zh-CN"/>
                    </w:rPr>
                    <w:t>5</w:t>
                  </w:r>
                  <w:r>
                    <w:rPr>
                      <w:rFonts w:hint="default" w:ascii="Times New Roman" w:hAnsi="Times New Roman" w:eastAsia="宋体" w:cs="Times New Roman"/>
                      <w:b w:val="0"/>
                      <w:bCs w:val="0"/>
                      <w:color w:val="auto"/>
                      <w:sz w:val="21"/>
                      <w:szCs w:val="21"/>
                      <w:highlight w:val="none"/>
                      <w:vertAlign w:val="baseline"/>
                      <w:lang w:val="en-US" w:eastAsia="zh-CN"/>
                    </w:rPr>
                    <w:t>、氨氮、SS、动植物油等</w:t>
                  </w:r>
                </w:p>
              </w:tc>
              <w:tc>
                <w:tcPr>
                  <w:tcW w:w="3775" w:type="dxa"/>
                  <w:vAlign w:val="center"/>
                </w:tcPr>
                <w:p w14:paraId="0BA5A224">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kern w:val="0"/>
                      <w:sz w:val="21"/>
                      <w:szCs w:val="21"/>
                      <w:highlight w:val="none"/>
                      <w:vertAlign w:val="baseline"/>
                      <w:lang w:val="en-US" w:eastAsia="zh-CN" w:bidi="ar-SA"/>
                    </w:rPr>
                    <w:t>经化粪池处理，定期清掏用作厂区周围农田施肥</w:t>
                  </w:r>
                </w:p>
              </w:tc>
            </w:tr>
            <w:tr w14:paraId="1A25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0" w:type="dxa"/>
                  <w:vMerge w:val="continue"/>
                  <w:vAlign w:val="center"/>
                </w:tcPr>
                <w:p w14:paraId="5BCECC38">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1705" w:type="dxa"/>
                  <w:vAlign w:val="center"/>
                </w:tcPr>
                <w:p w14:paraId="163B69F5">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冷却循环水</w:t>
                  </w:r>
                </w:p>
              </w:tc>
              <w:tc>
                <w:tcPr>
                  <w:tcW w:w="1820" w:type="dxa"/>
                  <w:vAlign w:val="center"/>
                </w:tcPr>
                <w:p w14:paraId="114220FF">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w:t>
                  </w:r>
                </w:p>
              </w:tc>
              <w:tc>
                <w:tcPr>
                  <w:tcW w:w="3775" w:type="dxa"/>
                  <w:vAlign w:val="center"/>
                </w:tcPr>
                <w:p w14:paraId="2A21E392">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循环使用，不外排</w:t>
                  </w:r>
                  <w:r>
                    <w:rPr>
                      <w:rFonts w:hint="eastAsia" w:cs="Times New Roman"/>
                      <w:b w:val="0"/>
                      <w:bCs w:val="0"/>
                      <w:color w:val="auto"/>
                      <w:sz w:val="21"/>
                      <w:szCs w:val="21"/>
                      <w:highlight w:val="none"/>
                      <w:vertAlign w:val="baseline"/>
                      <w:lang w:val="en-US" w:eastAsia="zh-CN"/>
                    </w:rPr>
                    <w:t>，定期补充损耗</w:t>
                  </w:r>
                </w:p>
              </w:tc>
            </w:tr>
            <w:tr w14:paraId="6DAE6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0" w:type="dxa"/>
                  <w:vAlign w:val="center"/>
                </w:tcPr>
                <w:p w14:paraId="360DE2DB">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噪声</w:t>
                  </w:r>
                </w:p>
              </w:tc>
              <w:tc>
                <w:tcPr>
                  <w:tcW w:w="1705" w:type="dxa"/>
                  <w:vAlign w:val="center"/>
                </w:tcPr>
                <w:p w14:paraId="483DD60C">
                  <w:pPr>
                    <w:keepNext w:val="0"/>
                    <w:keepLines w:val="0"/>
                    <w:pageBreakBefore w:val="0"/>
                    <w:widowControl/>
                    <w:suppressLineNumbers w:val="0"/>
                    <w:kinsoku/>
                    <w:wordWrap/>
                    <w:overflowPunct/>
                    <w:autoSpaceDE/>
                    <w:autoSpaceDN/>
                    <w:bidi w:val="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设备运行</w:t>
                  </w:r>
                </w:p>
              </w:tc>
              <w:tc>
                <w:tcPr>
                  <w:tcW w:w="1820" w:type="dxa"/>
                  <w:vAlign w:val="center"/>
                </w:tcPr>
                <w:p w14:paraId="37C47733">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生产设备、各类风机等</w:t>
                  </w:r>
                </w:p>
              </w:tc>
              <w:tc>
                <w:tcPr>
                  <w:tcW w:w="3775" w:type="dxa"/>
                  <w:vAlign w:val="center"/>
                </w:tcPr>
                <w:p w14:paraId="1F72D872">
                  <w:pPr>
                    <w:keepNext w:val="0"/>
                    <w:keepLines w:val="0"/>
                    <w:pageBreakBefore w:val="0"/>
                    <w:widowControl/>
                    <w:suppressLineNumbers w:val="0"/>
                    <w:kinsoku/>
                    <w:wordWrap/>
                    <w:overflowPunct/>
                    <w:autoSpaceDE/>
                    <w:autoSpaceDN/>
                    <w:bidi w:val="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lang w:val="en-US" w:eastAsia="zh-CN" w:bidi="ar"/>
                    </w:rPr>
                    <w:t>隔声、减振等</w:t>
                  </w:r>
                </w:p>
              </w:tc>
            </w:tr>
            <w:tr w14:paraId="03F53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0" w:type="dxa"/>
                  <w:vMerge w:val="restart"/>
                  <w:vAlign w:val="center"/>
                </w:tcPr>
                <w:p w14:paraId="0D05719D">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固废</w:t>
                  </w:r>
                </w:p>
              </w:tc>
              <w:tc>
                <w:tcPr>
                  <w:tcW w:w="1705" w:type="dxa"/>
                  <w:vAlign w:val="center"/>
                </w:tcPr>
                <w:p w14:paraId="4721764D">
                  <w:pPr>
                    <w:keepNext w:val="0"/>
                    <w:keepLines w:val="0"/>
                    <w:pageBreakBefore w:val="0"/>
                    <w:widowControl/>
                    <w:suppressLineNumbers w:val="0"/>
                    <w:kinsoku/>
                    <w:wordWrap/>
                    <w:overflowPunct/>
                    <w:autoSpaceDE/>
                    <w:autoSpaceDN/>
                    <w:bidi w:val="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员工生活</w:t>
                  </w:r>
                </w:p>
              </w:tc>
              <w:tc>
                <w:tcPr>
                  <w:tcW w:w="1820" w:type="dxa"/>
                  <w:vAlign w:val="center"/>
                </w:tcPr>
                <w:p w14:paraId="39A06960">
                  <w:pPr>
                    <w:keepNext w:val="0"/>
                    <w:keepLines w:val="0"/>
                    <w:pageBreakBefore w:val="0"/>
                    <w:widowControl/>
                    <w:suppressLineNumbers w:val="0"/>
                    <w:kinsoku/>
                    <w:wordWrap/>
                    <w:overflowPunct/>
                    <w:autoSpaceDE/>
                    <w:autoSpaceDN/>
                    <w:bidi w:val="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生活垃圾</w:t>
                  </w:r>
                </w:p>
              </w:tc>
              <w:tc>
                <w:tcPr>
                  <w:tcW w:w="3775" w:type="dxa"/>
                  <w:vAlign w:val="center"/>
                </w:tcPr>
                <w:p w14:paraId="6103362B">
                  <w:pPr>
                    <w:keepNext w:val="0"/>
                    <w:keepLines w:val="0"/>
                    <w:pageBreakBefore w:val="0"/>
                    <w:kinsoku/>
                    <w:wordWrap/>
                    <w:overflowPunct/>
                    <w:topLinePunct/>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交由环卫部门处理</w:t>
                  </w:r>
                </w:p>
              </w:tc>
            </w:tr>
            <w:tr w14:paraId="6F5B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0" w:type="dxa"/>
                  <w:vMerge w:val="continue"/>
                  <w:vAlign w:val="center"/>
                </w:tcPr>
                <w:p w14:paraId="526D53F8">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1705" w:type="dxa"/>
                  <w:vAlign w:val="center"/>
                </w:tcPr>
                <w:p w14:paraId="1D0C7DA6">
                  <w:pPr>
                    <w:keepNext w:val="0"/>
                    <w:keepLines w:val="0"/>
                    <w:pageBreakBefore w:val="0"/>
                    <w:widowControl/>
                    <w:suppressLineNumbers w:val="0"/>
                    <w:kinsoku/>
                    <w:wordWrap/>
                    <w:overflowPunct/>
                    <w:autoSpaceDE/>
                    <w:autoSpaceDN/>
                    <w:bidi w:val="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物料使用</w:t>
                  </w:r>
                </w:p>
              </w:tc>
              <w:tc>
                <w:tcPr>
                  <w:tcW w:w="1820" w:type="dxa"/>
                  <w:vAlign w:val="center"/>
                </w:tcPr>
                <w:p w14:paraId="51054022">
                  <w:pPr>
                    <w:keepNext w:val="0"/>
                    <w:keepLines w:val="0"/>
                    <w:pageBreakBefore w:val="0"/>
                    <w:widowControl/>
                    <w:suppressLineNumbers w:val="0"/>
                    <w:kinsoku/>
                    <w:wordWrap/>
                    <w:overflowPunct/>
                    <w:autoSpaceDE/>
                    <w:autoSpaceDN/>
                    <w:bidi w:val="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废包装袋</w:t>
                  </w:r>
                </w:p>
              </w:tc>
              <w:tc>
                <w:tcPr>
                  <w:tcW w:w="3775" w:type="dxa"/>
                  <w:vAlign w:val="center"/>
                </w:tcPr>
                <w:p w14:paraId="6D722C22">
                  <w:pPr>
                    <w:keepNext w:val="0"/>
                    <w:keepLines w:val="0"/>
                    <w:pageBreakBefore w:val="0"/>
                    <w:kinsoku/>
                    <w:wordWrap/>
                    <w:overflowPunct/>
                    <w:topLinePunct/>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highlight w:val="none"/>
                      <w:vertAlign w:val="baseline"/>
                      <w:lang w:val="en-US" w:eastAsia="zh-CN"/>
                    </w:rPr>
                    <w:t>统一收集后由资源利用单位回收利用</w:t>
                  </w:r>
                </w:p>
              </w:tc>
            </w:tr>
            <w:tr w14:paraId="4FD5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0" w:type="dxa"/>
                  <w:vMerge w:val="continue"/>
                  <w:vAlign w:val="center"/>
                </w:tcPr>
                <w:p w14:paraId="6A84D724">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1705" w:type="dxa"/>
                  <w:shd w:val="clear" w:color="auto" w:fill="auto"/>
                  <w:vAlign w:val="center"/>
                </w:tcPr>
                <w:p w14:paraId="77A4A689">
                  <w:pPr>
                    <w:keepNext w:val="0"/>
                    <w:keepLines w:val="0"/>
                    <w:pageBreakBefore w:val="0"/>
                    <w:widowControl/>
                    <w:suppressLineNumbers w:val="0"/>
                    <w:kinsoku/>
                    <w:wordWrap/>
                    <w:overflowPunct/>
                    <w:autoSpaceDE/>
                    <w:autoSpaceDN/>
                    <w:bidi w:val="0"/>
                    <w:spacing w:line="240" w:lineRule="auto"/>
                    <w:ind w:left="0" w:leftChars="0"/>
                    <w:jc w:val="center"/>
                    <w:textAlignment w:val="auto"/>
                    <w:rPr>
                      <w:rFonts w:hint="eastAsia"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rPr>
                    <w:t>脱除粘结剂</w:t>
                  </w:r>
                </w:p>
              </w:tc>
              <w:tc>
                <w:tcPr>
                  <w:tcW w:w="1820" w:type="dxa"/>
                  <w:shd w:val="clear" w:color="auto" w:fill="auto"/>
                  <w:vAlign w:val="center"/>
                </w:tcPr>
                <w:p w14:paraId="2BE0B16A">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b w:val="0"/>
                      <w:bCs w:val="0"/>
                      <w:color w:val="auto"/>
                      <w:sz w:val="21"/>
                      <w:szCs w:val="21"/>
                      <w:highlight w:val="none"/>
                      <w:vertAlign w:val="baseline"/>
                      <w:lang w:val="en-US" w:eastAsia="zh-CN"/>
                    </w:rPr>
                    <w:t>回收粘结剂</w:t>
                  </w:r>
                </w:p>
              </w:tc>
              <w:tc>
                <w:tcPr>
                  <w:tcW w:w="3775" w:type="dxa"/>
                  <w:shd w:val="clear" w:color="auto" w:fill="auto"/>
                  <w:vAlign w:val="center"/>
                </w:tcPr>
                <w:p w14:paraId="4C90FCF3">
                  <w:pPr>
                    <w:pStyle w:val="12"/>
                    <w:keepNext w:val="0"/>
                    <w:keepLines w:val="0"/>
                    <w:pageBreakBefore w:val="0"/>
                    <w:widowControl/>
                    <w:kinsoku/>
                    <w:wordWrap/>
                    <w:overflowPunct/>
                    <w:topLinePunct w:val="0"/>
                    <w:autoSpaceDE/>
                    <w:autoSpaceDN/>
                    <w:bidi w:val="0"/>
                    <w:adjustRightInd w:val="0"/>
                    <w:snapToGrid w:val="0"/>
                    <w:spacing w:before="0" w:after="0" w:line="240" w:lineRule="auto"/>
                    <w:ind w:left="0" w:leftChars="0"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统一收集后由资源利用单位回收利用</w:t>
                  </w:r>
                </w:p>
              </w:tc>
            </w:tr>
            <w:tr w14:paraId="2F33D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0" w:type="dxa"/>
                  <w:vMerge w:val="continue"/>
                  <w:vAlign w:val="center"/>
                </w:tcPr>
                <w:p w14:paraId="723022C1">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1705" w:type="dxa"/>
                  <w:vAlign w:val="center"/>
                </w:tcPr>
                <w:p w14:paraId="32E08FE5">
                  <w:pPr>
                    <w:keepNext w:val="0"/>
                    <w:keepLines w:val="0"/>
                    <w:pageBreakBefore w:val="0"/>
                    <w:widowControl/>
                    <w:suppressLineNumbers w:val="0"/>
                    <w:kinsoku/>
                    <w:wordWrap/>
                    <w:overflowPunct/>
                    <w:autoSpaceDE/>
                    <w:autoSpaceDN/>
                    <w:bidi w:val="0"/>
                    <w:jc w:val="center"/>
                    <w:textAlignment w:val="auto"/>
                    <w:rPr>
                      <w:rFonts w:hint="eastAsia"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钻孔</w:t>
                  </w:r>
                </w:p>
              </w:tc>
              <w:tc>
                <w:tcPr>
                  <w:tcW w:w="1820" w:type="dxa"/>
                  <w:vAlign w:val="center"/>
                </w:tcPr>
                <w:p w14:paraId="2B58F19E">
                  <w:pPr>
                    <w:keepNext w:val="0"/>
                    <w:keepLines w:val="0"/>
                    <w:pageBreakBefore w:val="0"/>
                    <w:widowControl/>
                    <w:suppressLineNumbers w:val="0"/>
                    <w:kinsoku/>
                    <w:wordWrap/>
                    <w:overflowPunct/>
                    <w:autoSpaceDE/>
                    <w:autoSpaceDN/>
                    <w:bidi w:val="0"/>
                    <w:jc w:val="center"/>
                    <w:textAlignment w:val="auto"/>
                    <w:rPr>
                      <w:rFonts w:hint="eastAsia"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边角料</w:t>
                  </w:r>
                </w:p>
              </w:tc>
              <w:tc>
                <w:tcPr>
                  <w:tcW w:w="3775" w:type="dxa"/>
                  <w:vAlign w:val="center"/>
                </w:tcPr>
                <w:p w14:paraId="6F17DF5B">
                  <w:pPr>
                    <w:keepNext w:val="0"/>
                    <w:keepLines w:val="0"/>
                    <w:pageBreakBefore w:val="0"/>
                    <w:kinsoku/>
                    <w:wordWrap/>
                    <w:overflowPunct/>
                    <w:topLinePunct/>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统一收集后由资源利用单位回收利用</w:t>
                  </w:r>
                </w:p>
              </w:tc>
            </w:tr>
            <w:tr w14:paraId="21F4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0" w:type="dxa"/>
                  <w:vMerge w:val="continue"/>
                  <w:vAlign w:val="center"/>
                </w:tcPr>
                <w:p w14:paraId="2CF000A7">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1705" w:type="dxa"/>
                  <w:vAlign w:val="center"/>
                </w:tcPr>
                <w:p w14:paraId="2494C74B">
                  <w:pPr>
                    <w:keepNext w:val="0"/>
                    <w:keepLines w:val="0"/>
                    <w:pageBreakBefore w:val="0"/>
                    <w:widowControl/>
                    <w:suppressLineNumbers w:val="0"/>
                    <w:kinsoku/>
                    <w:wordWrap/>
                    <w:overflowPunct/>
                    <w:autoSpaceDE/>
                    <w:autoSpaceDN/>
                    <w:bidi w:val="0"/>
                    <w:spacing w:line="240" w:lineRule="auto"/>
                    <w:ind w:lef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包装</w:t>
                  </w:r>
                </w:p>
              </w:tc>
              <w:tc>
                <w:tcPr>
                  <w:tcW w:w="1820" w:type="dxa"/>
                  <w:vAlign w:val="center"/>
                </w:tcPr>
                <w:p w14:paraId="439FF66F">
                  <w:pPr>
                    <w:pStyle w:val="47"/>
                    <w:keepNext w:val="0"/>
                    <w:keepLines w:val="0"/>
                    <w:pageBreakBefore w:val="0"/>
                    <w:kinsoku/>
                    <w:wordWrap/>
                    <w:overflowPunct/>
                    <w:autoSpaceDE/>
                    <w:autoSpaceDN/>
                    <w:bidi w:val="0"/>
                    <w:spacing w:line="240" w:lineRule="auto"/>
                    <w:ind w:left="0" w:left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color w:val="auto"/>
                      <w:spacing w:val="8"/>
                      <w:sz w:val="21"/>
                      <w:szCs w:val="21"/>
                      <w:highlight w:val="none"/>
                    </w:rPr>
                    <w:t>废包装材料</w:t>
                  </w:r>
                </w:p>
              </w:tc>
              <w:tc>
                <w:tcPr>
                  <w:tcW w:w="3775" w:type="dxa"/>
                  <w:vAlign w:val="center"/>
                </w:tcPr>
                <w:p w14:paraId="20BC2AB8">
                  <w:pPr>
                    <w:pStyle w:val="12"/>
                    <w:keepNext w:val="0"/>
                    <w:keepLines w:val="0"/>
                    <w:pageBreakBefore w:val="0"/>
                    <w:widowControl/>
                    <w:kinsoku/>
                    <w:wordWrap/>
                    <w:overflowPunct/>
                    <w:topLinePunct w:val="0"/>
                    <w:autoSpaceDE/>
                    <w:autoSpaceDN/>
                    <w:bidi w:val="0"/>
                    <w:adjustRightInd w:val="0"/>
                    <w:snapToGrid w:val="0"/>
                    <w:spacing w:before="0" w:after="0" w:line="240" w:lineRule="auto"/>
                    <w:ind w:left="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统一收集后由资源利用单位回收利用</w:t>
                  </w:r>
                </w:p>
              </w:tc>
            </w:tr>
            <w:tr w14:paraId="703EA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0" w:type="dxa"/>
                  <w:vMerge w:val="continue"/>
                  <w:vAlign w:val="center"/>
                </w:tcPr>
                <w:p w14:paraId="69FFE2AE">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1705" w:type="dxa"/>
                  <w:vMerge w:val="restart"/>
                  <w:vAlign w:val="center"/>
                </w:tcPr>
                <w:p w14:paraId="71987240">
                  <w:pPr>
                    <w:keepNext w:val="0"/>
                    <w:keepLines w:val="0"/>
                    <w:pageBreakBefore w:val="0"/>
                    <w:widowControl/>
                    <w:suppressLineNumbers w:val="0"/>
                    <w:kinsoku/>
                    <w:wordWrap/>
                    <w:overflowPunct/>
                    <w:autoSpaceDE/>
                    <w:autoSpaceDN/>
                    <w:bidi w:val="0"/>
                    <w:spacing w:line="240" w:lineRule="auto"/>
                    <w:ind w:left="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废气处理</w:t>
                  </w:r>
                </w:p>
              </w:tc>
              <w:tc>
                <w:tcPr>
                  <w:tcW w:w="1820" w:type="dxa"/>
                  <w:vAlign w:val="center"/>
                </w:tcPr>
                <w:p w14:paraId="5025CEFE">
                  <w:pPr>
                    <w:pStyle w:val="47"/>
                    <w:keepNext w:val="0"/>
                    <w:keepLines w:val="0"/>
                    <w:pageBreakBefore w:val="0"/>
                    <w:kinsoku/>
                    <w:wordWrap/>
                    <w:overflowPunct/>
                    <w:autoSpaceDE/>
                    <w:autoSpaceDN/>
                    <w:bidi w:val="0"/>
                    <w:spacing w:line="240" w:lineRule="auto"/>
                    <w:ind w:lef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除尘器收集</w:t>
                  </w:r>
                  <w:r>
                    <w:rPr>
                      <w:rFonts w:hint="eastAsia" w:ascii="Times New Roman" w:hAnsi="Times New Roman" w:cs="Times New Roman"/>
                      <w:b w:val="0"/>
                      <w:bCs w:val="0"/>
                      <w:color w:val="auto"/>
                      <w:sz w:val="21"/>
                      <w:szCs w:val="21"/>
                      <w:highlight w:val="none"/>
                      <w:vertAlign w:val="baseline"/>
                      <w:lang w:val="en-US" w:eastAsia="zh-CN"/>
                    </w:rPr>
                    <w:t>颗粒物</w:t>
                  </w:r>
                </w:p>
              </w:tc>
              <w:tc>
                <w:tcPr>
                  <w:tcW w:w="3775" w:type="dxa"/>
                  <w:vAlign w:val="center"/>
                </w:tcPr>
                <w:p w14:paraId="3D2265C5">
                  <w:pPr>
                    <w:pStyle w:val="12"/>
                    <w:keepNext w:val="0"/>
                    <w:keepLines w:val="0"/>
                    <w:pageBreakBefore w:val="0"/>
                    <w:widowControl/>
                    <w:kinsoku/>
                    <w:wordWrap/>
                    <w:overflowPunct/>
                    <w:topLinePunct w:val="0"/>
                    <w:autoSpaceDE/>
                    <w:autoSpaceDN/>
                    <w:bidi w:val="0"/>
                    <w:adjustRightInd w:val="0"/>
                    <w:snapToGrid w:val="0"/>
                    <w:spacing w:before="0" w:after="0" w:line="240" w:lineRule="auto"/>
                    <w:ind w:left="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统一收集后</w:t>
                  </w:r>
                  <w:r>
                    <w:rPr>
                      <w:rFonts w:hint="eastAsia" w:cs="Times New Roman"/>
                      <w:b w:val="0"/>
                      <w:bCs w:val="0"/>
                      <w:color w:val="auto"/>
                      <w:sz w:val="21"/>
                      <w:szCs w:val="21"/>
                      <w:highlight w:val="none"/>
                      <w:vertAlign w:val="baseline"/>
                      <w:lang w:val="en-US" w:eastAsia="zh-CN"/>
                    </w:rPr>
                    <w:t>回收利用</w:t>
                  </w:r>
                </w:p>
              </w:tc>
            </w:tr>
            <w:tr w14:paraId="0B02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0" w:type="dxa"/>
                  <w:vMerge w:val="continue"/>
                  <w:vAlign w:val="center"/>
                </w:tcPr>
                <w:p w14:paraId="273440DE">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1705" w:type="dxa"/>
                  <w:vMerge w:val="continue"/>
                  <w:vAlign w:val="center"/>
                </w:tcPr>
                <w:p w14:paraId="66E76E0C">
                  <w:pPr>
                    <w:keepNext w:val="0"/>
                    <w:keepLines w:val="0"/>
                    <w:pageBreakBefore w:val="0"/>
                    <w:widowControl/>
                    <w:suppressLineNumbers w:val="0"/>
                    <w:kinsoku/>
                    <w:wordWrap/>
                    <w:overflowPunct/>
                    <w:autoSpaceDE/>
                    <w:autoSpaceDN/>
                    <w:bidi w:val="0"/>
                    <w:spacing w:line="240" w:lineRule="auto"/>
                    <w:ind w:left="0"/>
                    <w:jc w:val="center"/>
                    <w:textAlignment w:val="auto"/>
                    <w:rPr>
                      <w:rFonts w:hint="eastAsia" w:cs="Times New Roman"/>
                      <w:b w:val="0"/>
                      <w:bCs w:val="0"/>
                      <w:color w:val="auto"/>
                      <w:sz w:val="21"/>
                      <w:szCs w:val="21"/>
                      <w:highlight w:val="none"/>
                      <w:vertAlign w:val="baseline"/>
                      <w:lang w:val="en-US" w:eastAsia="zh-CN"/>
                    </w:rPr>
                  </w:pPr>
                </w:p>
              </w:tc>
              <w:tc>
                <w:tcPr>
                  <w:tcW w:w="1820" w:type="dxa"/>
                  <w:vAlign w:val="center"/>
                </w:tcPr>
                <w:p w14:paraId="6C2F676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废活性炭</w:t>
                  </w:r>
                </w:p>
              </w:tc>
              <w:tc>
                <w:tcPr>
                  <w:tcW w:w="3775" w:type="dxa"/>
                  <w:vMerge w:val="restart"/>
                  <w:vAlign w:val="center"/>
                </w:tcPr>
                <w:p w14:paraId="6F1F4203">
                  <w:pPr>
                    <w:pStyle w:val="12"/>
                    <w:keepNext w:val="0"/>
                    <w:keepLines w:val="0"/>
                    <w:pageBreakBefore w:val="0"/>
                    <w:widowControl/>
                    <w:kinsoku/>
                    <w:wordWrap/>
                    <w:overflowPunct/>
                    <w:topLinePunct w:val="0"/>
                    <w:autoSpaceDE/>
                    <w:autoSpaceDN/>
                    <w:bidi w:val="0"/>
                    <w:adjustRightInd w:val="0"/>
                    <w:snapToGrid w:val="0"/>
                    <w:spacing w:before="0" w:after="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暂存于危废间内之后委托资质单位处理</w:t>
                  </w:r>
                </w:p>
              </w:tc>
            </w:tr>
            <w:tr w14:paraId="2EBF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0" w:type="dxa"/>
                  <w:vMerge w:val="continue"/>
                  <w:vAlign w:val="center"/>
                </w:tcPr>
                <w:p w14:paraId="6D55DDB8">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1705" w:type="dxa"/>
                  <w:vAlign w:val="center"/>
                </w:tcPr>
                <w:p w14:paraId="75868BC4">
                  <w:pPr>
                    <w:keepNext w:val="0"/>
                    <w:keepLines w:val="0"/>
                    <w:pageBreakBefore w:val="0"/>
                    <w:widowControl/>
                    <w:suppressLineNumbers w:val="0"/>
                    <w:kinsoku/>
                    <w:wordWrap/>
                    <w:overflowPunct/>
                    <w:autoSpaceDE/>
                    <w:autoSpaceDN/>
                    <w:bidi w:val="0"/>
                    <w:spacing w:line="240" w:lineRule="auto"/>
                    <w:ind w:left="0"/>
                    <w:jc w:val="center"/>
                    <w:textAlignment w:val="auto"/>
                    <w:rPr>
                      <w:rFonts w:hint="eastAsia"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液氨分解</w:t>
                  </w:r>
                </w:p>
              </w:tc>
              <w:tc>
                <w:tcPr>
                  <w:tcW w:w="1820" w:type="dxa"/>
                  <w:vAlign w:val="center"/>
                </w:tcPr>
                <w:p w14:paraId="4FEC618E">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废镍催化剂</w:t>
                  </w:r>
                </w:p>
              </w:tc>
              <w:tc>
                <w:tcPr>
                  <w:tcW w:w="3775" w:type="dxa"/>
                  <w:vMerge w:val="continue"/>
                  <w:vAlign w:val="center"/>
                </w:tcPr>
                <w:p w14:paraId="2BFCE2B6">
                  <w:pPr>
                    <w:pStyle w:val="12"/>
                    <w:keepNext w:val="0"/>
                    <w:keepLines w:val="0"/>
                    <w:pageBreakBefore w:val="0"/>
                    <w:widowControl/>
                    <w:kinsoku/>
                    <w:wordWrap/>
                    <w:overflowPunct/>
                    <w:topLinePunct w:val="0"/>
                    <w:autoSpaceDE/>
                    <w:autoSpaceDN/>
                    <w:bidi w:val="0"/>
                    <w:adjustRightInd w:val="0"/>
                    <w:snapToGrid w:val="0"/>
                    <w:spacing w:before="0" w:after="0" w:line="240" w:lineRule="auto"/>
                    <w:ind w:left="0" w:right="0"/>
                    <w:jc w:val="center"/>
                    <w:textAlignment w:val="auto"/>
                    <w:rPr>
                      <w:rFonts w:hint="default" w:ascii="Times New Roman" w:hAnsi="Times New Roman" w:eastAsia="宋体" w:cs="Times New Roman"/>
                      <w:color w:val="auto"/>
                      <w:sz w:val="21"/>
                      <w:szCs w:val="21"/>
                    </w:rPr>
                  </w:pPr>
                </w:p>
              </w:tc>
            </w:tr>
            <w:tr w14:paraId="0E54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0" w:type="dxa"/>
                  <w:vMerge w:val="continue"/>
                  <w:vAlign w:val="center"/>
                </w:tcPr>
                <w:p w14:paraId="482E9E02">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1705" w:type="dxa"/>
                  <w:vAlign w:val="center"/>
                </w:tcPr>
                <w:p w14:paraId="5A933084">
                  <w:pPr>
                    <w:keepNext w:val="0"/>
                    <w:keepLines w:val="0"/>
                    <w:pageBreakBefore w:val="0"/>
                    <w:widowControl/>
                    <w:suppressLineNumbers w:val="0"/>
                    <w:kinsoku/>
                    <w:wordWrap/>
                    <w:overflowPunct/>
                    <w:autoSpaceDE/>
                    <w:autoSpaceDN/>
                    <w:bidi w:val="0"/>
                    <w:spacing w:line="240" w:lineRule="auto"/>
                    <w:ind w:lef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设备使用维护</w:t>
                  </w:r>
                </w:p>
              </w:tc>
              <w:tc>
                <w:tcPr>
                  <w:tcW w:w="1820" w:type="dxa"/>
                  <w:vAlign w:val="center"/>
                </w:tcPr>
                <w:p w14:paraId="22AA2E4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lang w:val="en-US" w:eastAsia="zh-CN"/>
                    </w:rPr>
                    <w:t>废机油</w:t>
                  </w:r>
                </w:p>
              </w:tc>
              <w:tc>
                <w:tcPr>
                  <w:tcW w:w="3775" w:type="dxa"/>
                  <w:vMerge w:val="continue"/>
                  <w:vAlign w:val="center"/>
                </w:tcPr>
                <w:p w14:paraId="6A333BDF">
                  <w:pPr>
                    <w:pStyle w:val="12"/>
                    <w:keepNext w:val="0"/>
                    <w:keepLines w:val="0"/>
                    <w:pageBreakBefore w:val="0"/>
                    <w:widowControl/>
                    <w:kinsoku/>
                    <w:wordWrap/>
                    <w:overflowPunct/>
                    <w:topLinePunct w:val="0"/>
                    <w:autoSpaceDE/>
                    <w:autoSpaceDN/>
                    <w:bidi w:val="0"/>
                    <w:adjustRightInd w:val="0"/>
                    <w:snapToGrid w:val="0"/>
                    <w:spacing w:before="0" w:after="0" w:line="240" w:lineRule="auto"/>
                    <w:ind w:left="0" w:right="0"/>
                    <w:jc w:val="center"/>
                    <w:textAlignment w:val="auto"/>
                    <w:rPr>
                      <w:rFonts w:hint="default" w:ascii="Times New Roman" w:hAnsi="Times New Roman" w:eastAsia="宋体" w:cs="Times New Roman"/>
                      <w:color w:val="auto"/>
                      <w:sz w:val="21"/>
                      <w:szCs w:val="21"/>
                    </w:rPr>
                  </w:pPr>
                </w:p>
              </w:tc>
            </w:tr>
            <w:tr w14:paraId="30E5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0" w:type="dxa"/>
                  <w:vMerge w:val="continue"/>
                  <w:vAlign w:val="center"/>
                </w:tcPr>
                <w:p w14:paraId="048FE31F">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1705" w:type="dxa"/>
                  <w:vAlign w:val="center"/>
                </w:tcPr>
                <w:p w14:paraId="43AC8CAE">
                  <w:pPr>
                    <w:keepNext w:val="0"/>
                    <w:keepLines w:val="0"/>
                    <w:pageBreakBefore w:val="0"/>
                    <w:widowControl/>
                    <w:suppressLineNumbers w:val="0"/>
                    <w:kinsoku/>
                    <w:wordWrap/>
                    <w:overflowPunct/>
                    <w:autoSpaceDE/>
                    <w:autoSpaceDN/>
                    <w:bidi w:val="0"/>
                    <w:spacing w:line="240" w:lineRule="auto"/>
                    <w:ind w:lef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员工工作</w:t>
                  </w:r>
                </w:p>
              </w:tc>
              <w:tc>
                <w:tcPr>
                  <w:tcW w:w="1820" w:type="dxa"/>
                  <w:vAlign w:val="center"/>
                </w:tcPr>
                <w:p w14:paraId="4CD490F8">
                  <w:pPr>
                    <w:keepNext w:val="0"/>
                    <w:keepLines w:val="0"/>
                    <w:pageBreakBefore w:val="0"/>
                    <w:widowControl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Cs/>
                      <w:color w:val="auto"/>
                      <w:kern w:val="2"/>
                      <w:sz w:val="21"/>
                      <w:szCs w:val="21"/>
                      <w:lang w:val="en-US" w:eastAsia="zh-CN" w:bidi="ar-SA"/>
                    </w:rPr>
                    <w:t>废弃含油抹布、劳保用品</w:t>
                  </w:r>
                  <w:r>
                    <w:rPr>
                      <w:rFonts w:hint="eastAsia" w:cs="Times New Roman"/>
                      <w:bCs/>
                      <w:color w:val="auto"/>
                      <w:kern w:val="2"/>
                      <w:sz w:val="21"/>
                      <w:szCs w:val="21"/>
                      <w:lang w:val="en-US" w:eastAsia="zh-CN" w:bidi="ar-SA"/>
                    </w:rPr>
                    <w:t>（豁免）</w:t>
                  </w:r>
                </w:p>
              </w:tc>
              <w:tc>
                <w:tcPr>
                  <w:tcW w:w="3775" w:type="dxa"/>
                  <w:vAlign w:val="center"/>
                </w:tcPr>
                <w:p w14:paraId="7FF6CD0A">
                  <w:pPr>
                    <w:pStyle w:val="12"/>
                    <w:keepNext w:val="0"/>
                    <w:keepLines w:val="0"/>
                    <w:pageBreakBefore w:val="0"/>
                    <w:widowControl/>
                    <w:kinsoku/>
                    <w:wordWrap/>
                    <w:overflowPunct/>
                    <w:topLinePunct w:val="0"/>
                    <w:autoSpaceDE/>
                    <w:autoSpaceDN/>
                    <w:bidi w:val="0"/>
                    <w:adjustRightInd w:val="0"/>
                    <w:snapToGrid w:val="0"/>
                    <w:spacing w:before="0" w:after="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交由环卫部门处理</w:t>
                  </w:r>
                </w:p>
              </w:tc>
            </w:tr>
          </w:tbl>
          <w:p w14:paraId="6C53CCCF">
            <w:pPr>
              <w:bidi w:val="0"/>
              <w:jc w:val="center"/>
              <w:rPr>
                <w:rFonts w:hint="eastAsia" w:ascii="宋体" w:hAnsi="宋体" w:cs="宋体"/>
                <w:snapToGrid/>
                <w:color w:val="auto"/>
                <w:spacing w:val="0"/>
                <w:kern w:val="0"/>
                <w:position w:val="0"/>
                <w:sz w:val="24"/>
                <w:szCs w:val="24"/>
                <w:lang w:val="en-US" w:eastAsia="zh-CN"/>
              </w:rPr>
            </w:pPr>
          </w:p>
          <w:p w14:paraId="7BDF4CF9">
            <w:pPr>
              <w:bidi w:val="0"/>
              <w:jc w:val="center"/>
              <w:rPr>
                <w:rFonts w:hint="eastAsia" w:ascii="宋体" w:hAnsi="宋体" w:cs="宋体"/>
                <w:snapToGrid/>
                <w:color w:val="auto"/>
                <w:spacing w:val="0"/>
                <w:kern w:val="0"/>
                <w:position w:val="0"/>
                <w:sz w:val="24"/>
                <w:szCs w:val="24"/>
                <w:lang w:val="en-US" w:eastAsia="zh-CN"/>
              </w:rPr>
            </w:pPr>
          </w:p>
          <w:p w14:paraId="4CD0F199">
            <w:pPr>
              <w:bidi w:val="0"/>
              <w:jc w:val="both"/>
              <w:rPr>
                <w:rFonts w:hint="default" w:ascii="宋体" w:hAnsi="宋体" w:eastAsia="宋体" w:cs="宋体"/>
                <w:snapToGrid/>
                <w:color w:val="auto"/>
                <w:spacing w:val="0"/>
                <w:kern w:val="0"/>
                <w:position w:val="0"/>
                <w:sz w:val="24"/>
                <w:szCs w:val="24"/>
                <w:lang w:val="en-US" w:eastAsia="zh-CN"/>
              </w:rPr>
            </w:pPr>
          </w:p>
        </w:tc>
      </w:tr>
    </w:tbl>
    <w:p w14:paraId="28B6CABC">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0"/>
        <w:rPr>
          <w:rFonts w:hint="eastAsia" w:ascii="宋体" w:hAnsi="宋体" w:eastAsia="宋体" w:cs="宋体"/>
          <w:b/>
          <w:bCs/>
          <w:snapToGrid/>
          <w:color w:val="auto"/>
          <w:spacing w:val="0"/>
          <w:kern w:val="0"/>
          <w:position w:val="0"/>
          <w:sz w:val="30"/>
          <w:szCs w:val="30"/>
        </w:rPr>
        <w:sectPr>
          <w:pgSz w:w="11906" w:h="16838"/>
          <w:pgMar w:top="1440" w:right="1803" w:bottom="1440" w:left="1803" w:header="851" w:footer="1077" w:gutter="0"/>
          <w:pgBorders>
            <w:top w:val="none" w:sz="0" w:space="0"/>
            <w:left w:val="none" w:sz="0" w:space="0"/>
            <w:bottom w:val="none" w:sz="0" w:space="0"/>
            <w:right w:val="none" w:sz="0" w:space="0"/>
          </w:pgBorders>
          <w:pgNumType w:fmt="decimal"/>
          <w:cols w:space="720" w:num="1"/>
          <w:docGrid w:linePitch="312" w:charSpace="0"/>
        </w:sectPr>
      </w:pPr>
    </w:p>
    <w:tbl>
      <w:tblPr>
        <w:tblStyle w:val="22"/>
        <w:tblW w:w="907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565"/>
        <w:gridCol w:w="8506"/>
      </w:tblGrid>
      <w:tr w14:paraId="0E0AC27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567" w:type="dxa"/>
            <w:tcBorders>
              <w:tl2br w:val="nil"/>
              <w:tr2bl w:val="nil"/>
            </w:tcBorders>
            <w:noWrap w:val="0"/>
            <w:vAlign w:val="center"/>
          </w:tcPr>
          <w:p w14:paraId="29B550F6">
            <w:pPr>
              <w:pStyle w:val="20"/>
              <w:adjustRightInd w:val="0"/>
              <w:snapToGrid w:val="0"/>
              <w:spacing w:before="0" w:beforeAutospacing="0" w:after="0" w:afterAutospacing="0"/>
              <w:jc w:val="center"/>
              <w:rPr>
                <w:rFonts w:hint="eastAsia" w:ascii="宋体" w:hAnsi="宋体" w:eastAsia="宋体" w:cs="宋体"/>
                <w:b w:val="0"/>
                <w:bCs w:val="0"/>
                <w:snapToGrid/>
                <w:color w:val="auto"/>
                <w:spacing w:val="0"/>
                <w:kern w:val="0"/>
                <w:position w:val="0"/>
                <w:sz w:val="24"/>
                <w:szCs w:val="24"/>
              </w:rPr>
            </w:pPr>
            <w:r>
              <w:rPr>
                <w:rFonts w:hint="eastAsia" w:ascii="宋体" w:hAnsi="宋体" w:eastAsia="宋体" w:cs="宋体"/>
                <w:b w:val="0"/>
                <w:bCs w:val="0"/>
                <w:snapToGrid/>
                <w:color w:val="auto"/>
                <w:spacing w:val="0"/>
                <w:kern w:val="0"/>
                <w:position w:val="0"/>
                <w:sz w:val="24"/>
                <w:szCs w:val="24"/>
              </w:rPr>
              <w:t>与项目有关的原有环境污染问题</w:t>
            </w:r>
          </w:p>
        </w:tc>
        <w:tc>
          <w:tcPr>
            <w:tcW w:w="8542" w:type="dxa"/>
            <w:tcBorders>
              <w:tl2br w:val="nil"/>
              <w:tr2bl w:val="nil"/>
            </w:tcBorders>
            <w:noWrap w:val="0"/>
            <w:vAlign w:val="center"/>
          </w:tcPr>
          <w:p w14:paraId="1D2D7E8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ascii="Times New Roman" w:hAnsi="Times New Roman" w:eastAsia="宋体" w:cs="Times New Roman"/>
                <w:b/>
                <w:bCs/>
                <w:snapToGrid/>
                <w:color w:val="auto"/>
                <w:spacing w:val="0"/>
                <w:kern w:val="0"/>
                <w:position w:val="0"/>
                <w:sz w:val="24"/>
                <w:lang w:eastAsia="zh-CN"/>
              </w:rPr>
            </w:pPr>
            <w:r>
              <w:rPr>
                <w:rFonts w:hint="default" w:ascii="Times New Roman" w:hAnsi="Times New Roman" w:eastAsia="宋体" w:cs="Times New Roman"/>
                <w:b/>
                <w:bCs/>
                <w:snapToGrid/>
                <w:color w:val="auto"/>
                <w:spacing w:val="0"/>
                <w:kern w:val="0"/>
                <w:position w:val="0"/>
                <w:sz w:val="24"/>
              </w:rPr>
              <w:t>1、</w:t>
            </w:r>
            <w:r>
              <w:rPr>
                <w:rFonts w:hint="eastAsia" w:ascii="Times New Roman" w:hAnsi="Times New Roman" w:eastAsia="宋体" w:cs="Times New Roman"/>
                <w:b/>
                <w:bCs/>
                <w:snapToGrid/>
                <w:color w:val="auto"/>
                <w:spacing w:val="0"/>
                <w:kern w:val="0"/>
                <w:position w:val="0"/>
                <w:sz w:val="24"/>
                <w:lang w:eastAsia="zh-CN"/>
              </w:rPr>
              <w:t>现有</w:t>
            </w:r>
            <w:r>
              <w:rPr>
                <w:rFonts w:hint="default" w:ascii="Times New Roman" w:hAnsi="Times New Roman" w:eastAsia="宋体" w:cs="Times New Roman"/>
                <w:b/>
                <w:bCs/>
                <w:snapToGrid/>
                <w:color w:val="auto"/>
                <w:spacing w:val="0"/>
                <w:kern w:val="0"/>
                <w:position w:val="0"/>
                <w:sz w:val="24"/>
                <w:lang w:eastAsia="zh-CN"/>
              </w:rPr>
              <w:t>工程环保手续履行情况</w:t>
            </w:r>
          </w:p>
          <w:p w14:paraId="02F7222C">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cs="Times New Roman"/>
                <w:b w:val="0"/>
                <w:bCs w:val="0"/>
                <w:color w:val="auto"/>
                <w:sz w:val="24"/>
                <w:szCs w:val="24"/>
                <w:highlight w:val="none"/>
                <w:lang w:val="en-US" w:eastAsia="zh-CN"/>
              </w:rPr>
            </w:pPr>
            <w:r>
              <w:rPr>
                <w:rFonts w:hint="eastAsia" w:cs="Times New Roman"/>
                <w:color w:val="auto"/>
                <w:sz w:val="24"/>
                <w:szCs w:val="24"/>
                <w:highlight w:val="none"/>
                <w:lang w:val="en-US" w:eastAsia="zh-CN"/>
              </w:rPr>
              <w:t>灵璧县威科钓具有限公司成立于2013年，选址位于安徽省宿州市灵璧县尹集镇田路村。</w:t>
            </w:r>
            <w:r>
              <w:rPr>
                <w:rFonts w:hint="eastAsia" w:ascii="Times New Roman" w:hAnsi="Times New Roman" w:eastAsia="宋体" w:cs="Times New Roman"/>
                <w:b w:val="0"/>
                <w:bCs w:val="0"/>
                <w:color w:val="auto"/>
                <w:sz w:val="24"/>
                <w:szCs w:val="24"/>
                <w:highlight w:val="none"/>
                <w:lang w:val="en-US" w:eastAsia="zh-CN"/>
              </w:rPr>
              <w:t>现有工程环保手续履行情况见下表</w:t>
            </w:r>
            <w:r>
              <w:rPr>
                <w:rFonts w:hint="eastAsia" w:cs="Times New Roman"/>
                <w:b w:val="0"/>
                <w:bCs w:val="0"/>
                <w:color w:val="auto"/>
                <w:sz w:val="24"/>
                <w:szCs w:val="24"/>
                <w:highlight w:val="none"/>
                <w:lang w:val="en-US" w:eastAsia="zh-CN"/>
              </w:rPr>
              <w:t>。</w:t>
            </w:r>
          </w:p>
          <w:p w14:paraId="0E867C39">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jc w:val="center"/>
              <w:textAlignment w:val="auto"/>
              <w:rPr>
                <w:rFonts w:hint="eastAsia"/>
                <w:b/>
                <w:bCs/>
                <w:color w:val="auto"/>
                <w:lang w:val="en-US" w:eastAsia="zh-CN"/>
              </w:rPr>
            </w:pPr>
            <w:r>
              <w:rPr>
                <w:rFonts w:hint="eastAsia"/>
                <w:b/>
                <w:bCs/>
                <w:color w:val="auto"/>
                <w:lang w:val="en-US" w:eastAsia="zh-CN"/>
              </w:rPr>
              <w:t>表2.8  现有项目环保手续履行情况</w:t>
            </w:r>
          </w:p>
          <w:tbl>
            <w:tblPr>
              <w:tblStyle w:val="23"/>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006"/>
              <w:gridCol w:w="2274"/>
              <w:gridCol w:w="2690"/>
              <w:gridCol w:w="1740"/>
            </w:tblGrid>
            <w:tr w14:paraId="3813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 w:type="dxa"/>
                  <w:noWrap w:val="0"/>
                  <w:vAlign w:val="center"/>
                </w:tcPr>
                <w:p w14:paraId="56528F77">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序号</w:t>
                  </w:r>
                </w:p>
              </w:tc>
              <w:tc>
                <w:tcPr>
                  <w:tcW w:w="1006" w:type="dxa"/>
                  <w:noWrap w:val="0"/>
                  <w:vAlign w:val="center"/>
                </w:tcPr>
                <w:p w14:paraId="145B8D3D">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项目名称</w:t>
                  </w:r>
                </w:p>
              </w:tc>
              <w:tc>
                <w:tcPr>
                  <w:tcW w:w="2274" w:type="dxa"/>
                  <w:noWrap w:val="0"/>
                  <w:vAlign w:val="center"/>
                </w:tcPr>
                <w:p w14:paraId="55489B89">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环评批复</w:t>
                  </w:r>
                </w:p>
              </w:tc>
              <w:tc>
                <w:tcPr>
                  <w:tcW w:w="2690" w:type="dxa"/>
                  <w:noWrap w:val="0"/>
                  <w:vAlign w:val="center"/>
                </w:tcPr>
                <w:p w14:paraId="3A3FECBA">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验收意见及备案</w:t>
                  </w:r>
                </w:p>
              </w:tc>
              <w:tc>
                <w:tcPr>
                  <w:tcW w:w="1740" w:type="dxa"/>
                  <w:noWrap w:val="0"/>
                  <w:vAlign w:val="center"/>
                </w:tcPr>
                <w:p w14:paraId="2E564A93">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排污许可手续</w:t>
                  </w:r>
                </w:p>
              </w:tc>
            </w:tr>
            <w:tr w14:paraId="2B48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 w:type="dxa"/>
                  <w:noWrap w:val="0"/>
                  <w:vAlign w:val="center"/>
                </w:tcPr>
                <w:p w14:paraId="3484299B">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1</w:t>
                  </w:r>
                </w:p>
              </w:tc>
              <w:tc>
                <w:tcPr>
                  <w:tcW w:w="1006" w:type="dxa"/>
                  <w:noWrap w:val="0"/>
                  <w:vAlign w:val="center"/>
                </w:tcPr>
                <w:p w14:paraId="10B44E5E">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Chars="0"/>
                    <w:jc w:val="center"/>
                    <w:textAlignment w:val="auto"/>
                    <w:rPr>
                      <w:rFonts w:hint="default" w:eastAsia="宋体"/>
                      <w:color w:val="auto"/>
                      <w:sz w:val="21"/>
                      <w:szCs w:val="21"/>
                      <w:vertAlign w:val="baseline"/>
                      <w:lang w:val="en-US" w:eastAsia="zh-CN"/>
                    </w:rPr>
                  </w:pPr>
                  <w:r>
                    <w:rPr>
                      <w:rFonts w:hint="default" w:eastAsia="宋体"/>
                      <w:color w:val="auto"/>
                      <w:sz w:val="21"/>
                      <w:szCs w:val="21"/>
                      <w:vertAlign w:val="baseline"/>
                      <w:lang w:val="en-US" w:eastAsia="zh-CN"/>
                    </w:rPr>
                    <w:t>威科钓具钨合金渔坠生产项目</w:t>
                  </w:r>
                </w:p>
              </w:tc>
              <w:tc>
                <w:tcPr>
                  <w:tcW w:w="2274" w:type="dxa"/>
                  <w:noWrap w:val="0"/>
                  <w:vAlign w:val="center"/>
                </w:tcPr>
                <w:p w14:paraId="014B6024">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Chars="0"/>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《关于对威科钓具钨合金渔坠生产项目环境影响报告表的批复》（灵环建〔2016〕61号），灵璧县环境保护局，2016.11.4）</w:t>
                  </w:r>
                </w:p>
              </w:tc>
              <w:tc>
                <w:tcPr>
                  <w:tcW w:w="2690" w:type="dxa"/>
                  <w:noWrap w:val="0"/>
                  <w:vAlign w:val="center"/>
                </w:tcPr>
                <w:p w14:paraId="08E0CAE0">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Chars="0"/>
                    <w:jc w:val="center"/>
                    <w:textAlignment w:val="auto"/>
                    <w:rPr>
                      <w:rFonts w:hint="default" w:eastAsia="宋体"/>
                      <w:color w:val="auto"/>
                      <w:sz w:val="21"/>
                      <w:szCs w:val="21"/>
                      <w:vertAlign w:val="baseline"/>
                      <w:lang w:val="en-US" w:eastAsia="zh-CN"/>
                    </w:rPr>
                  </w:pPr>
                  <w:r>
                    <w:rPr>
                      <w:rFonts w:hint="default" w:eastAsia="宋体"/>
                      <w:color w:val="auto"/>
                      <w:sz w:val="21"/>
                      <w:szCs w:val="21"/>
                      <w:vertAlign w:val="baseline"/>
                      <w:lang w:val="en-US" w:eastAsia="zh-CN"/>
                    </w:rPr>
                    <w:t>《灵璧县威科钓具有限公司威科钓具钨合金渔坠生产项目竣工环境保护验收的意见》（灵环验【2016】39号，灵璧县环境保护局</w:t>
                  </w:r>
                  <w:r>
                    <w:rPr>
                      <w:rFonts w:hint="eastAsia"/>
                      <w:color w:val="auto"/>
                      <w:sz w:val="21"/>
                      <w:szCs w:val="21"/>
                      <w:vertAlign w:val="baseline"/>
                      <w:lang w:val="en-US" w:eastAsia="zh-CN"/>
                    </w:rPr>
                    <w:t>，2016.12.3</w:t>
                  </w:r>
                  <w:r>
                    <w:rPr>
                      <w:rFonts w:hint="default" w:eastAsia="宋体"/>
                      <w:color w:val="auto"/>
                      <w:sz w:val="21"/>
                      <w:szCs w:val="21"/>
                      <w:vertAlign w:val="baseline"/>
                      <w:lang w:val="en-US" w:eastAsia="zh-CN"/>
                    </w:rPr>
                    <w:t>）</w:t>
                  </w:r>
                </w:p>
              </w:tc>
              <w:tc>
                <w:tcPr>
                  <w:tcW w:w="1740" w:type="dxa"/>
                  <w:noWrap w:val="0"/>
                  <w:vAlign w:val="center"/>
                </w:tcPr>
                <w:p w14:paraId="67BE106C">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Chars="0"/>
                    <w:jc w:val="center"/>
                    <w:textAlignment w:val="auto"/>
                    <w:rPr>
                      <w:rFonts w:hint="default" w:eastAsia="宋体"/>
                      <w:color w:val="auto"/>
                      <w:sz w:val="21"/>
                      <w:szCs w:val="21"/>
                      <w:vertAlign w:val="baseline"/>
                      <w:lang w:val="en-US" w:eastAsia="zh-CN"/>
                    </w:rPr>
                  </w:pPr>
                  <w:r>
                    <w:rPr>
                      <w:rFonts w:hint="default" w:eastAsia="宋体"/>
                      <w:color w:val="auto"/>
                      <w:sz w:val="21"/>
                      <w:szCs w:val="21"/>
                      <w:vertAlign w:val="baseline"/>
                      <w:lang w:val="en-US" w:eastAsia="zh-CN"/>
                    </w:rPr>
                    <w:t>固定污染源排污登记回执（登记编号：91341323073901643D001X）</w:t>
                  </w:r>
                </w:p>
              </w:tc>
            </w:tr>
          </w:tbl>
          <w:p w14:paraId="26FE8A9B">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left"/>
              <w:textAlignment w:val="auto"/>
              <w:rPr>
                <w:color w:val="auto"/>
                <w:sz w:val="24"/>
                <w:szCs w:val="24"/>
                <w:highlight w:val="none"/>
              </w:rPr>
            </w:pPr>
            <w:r>
              <w:rPr>
                <w:rFonts w:hint="eastAsia" w:ascii="Times New Roman" w:hAnsi="Times New Roman" w:eastAsia="宋体" w:cs="Times New Roman"/>
                <w:b/>
                <w:bCs/>
                <w:snapToGrid/>
                <w:color w:val="auto"/>
                <w:spacing w:val="0"/>
                <w:kern w:val="0"/>
                <w:position w:val="0"/>
                <w:sz w:val="24"/>
                <w:szCs w:val="24"/>
                <w:lang w:val="en-US" w:eastAsia="zh-CN"/>
              </w:rPr>
              <w:t>2、现有工程污染物实际排放总量</w:t>
            </w:r>
          </w:p>
          <w:p w14:paraId="2366A312">
            <w:pPr>
              <w:tabs>
                <w:tab w:val="left" w:pos="1755"/>
              </w:tabs>
              <w:adjustRightInd w:val="0"/>
              <w:snapToGrid w:val="0"/>
              <w:spacing w:line="360" w:lineRule="auto"/>
              <w:ind w:firstLine="480" w:firstLineChars="200"/>
              <w:rPr>
                <w:b/>
                <w:bCs/>
                <w:color w:val="auto"/>
                <w:sz w:val="24"/>
                <w:highlight w:val="none"/>
              </w:rPr>
            </w:pPr>
            <w:r>
              <w:rPr>
                <w:rFonts w:hint="eastAsia"/>
                <w:color w:val="auto"/>
                <w:sz w:val="24"/>
                <w:szCs w:val="28"/>
                <w:highlight w:val="none"/>
              </w:rPr>
              <w:t>（1）</w:t>
            </w:r>
            <w:r>
              <w:rPr>
                <w:color w:val="auto"/>
                <w:sz w:val="24"/>
                <w:highlight w:val="none"/>
              </w:rPr>
              <w:t>废气</w:t>
            </w:r>
          </w:p>
          <w:p w14:paraId="12AE1BE4">
            <w:pPr>
              <w:pStyle w:val="31"/>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Autospacing="0" w:after="0" w:afterAutospacing="0" w:line="360" w:lineRule="auto"/>
              <w:ind w:left="0" w:right="0" w:firstLine="480" w:firstLineChars="200"/>
              <w:textAlignment w:val="auto"/>
              <w:rPr>
                <w:color w:val="auto"/>
                <w:sz w:val="24"/>
                <w:szCs w:val="24"/>
                <w:highlight w:val="none"/>
              </w:rPr>
            </w:pPr>
            <w:r>
              <w:rPr>
                <w:rFonts w:hint="default" w:ascii="Times New Roman" w:hAnsi="Times New Roman" w:eastAsia="宋体" w:cs="Times New Roman"/>
                <w:snapToGrid/>
                <w:color w:val="auto"/>
                <w:spacing w:val="0"/>
                <w:kern w:val="0"/>
                <w:position w:val="0"/>
                <w:sz w:val="24"/>
                <w:szCs w:val="24"/>
                <w:lang w:val="en-US" w:eastAsia="zh-CN"/>
              </w:rPr>
              <w:t>现有工程</w:t>
            </w:r>
            <w:r>
              <w:rPr>
                <w:rFonts w:hint="default" w:ascii="Times New Roman" w:hAnsi="Times New Roman" w:cs="Times New Roman"/>
                <w:snapToGrid/>
                <w:color w:val="auto"/>
                <w:spacing w:val="0"/>
                <w:kern w:val="0"/>
                <w:position w:val="0"/>
                <w:sz w:val="24"/>
                <w:szCs w:val="24"/>
                <w:lang w:val="en-US" w:eastAsia="zh-CN" w:bidi="ar"/>
              </w:rPr>
              <w:t>年产能为30吨钨合金渔坠</w:t>
            </w:r>
            <w:r>
              <w:rPr>
                <w:rFonts w:hint="default" w:ascii="Times New Roman" w:hAnsi="Times New Roman" w:cs="Times New Roman"/>
                <w:snapToGrid/>
                <w:color w:val="auto"/>
                <w:spacing w:val="0"/>
                <w:kern w:val="0"/>
                <w:position w:val="0"/>
                <w:sz w:val="24"/>
                <w:szCs w:val="24"/>
                <w:lang w:val="en-US" w:eastAsia="zh-CN"/>
              </w:rPr>
              <w:t>，废气</w:t>
            </w:r>
            <w:r>
              <w:rPr>
                <w:rFonts w:hint="default" w:ascii="Times New Roman" w:hAnsi="Times New Roman" w:cs="Times New Roman"/>
                <w:color w:val="auto"/>
                <w:sz w:val="24"/>
                <w:szCs w:val="24"/>
                <w:highlight w:val="none"/>
              </w:rPr>
              <w:t>污染物实际排放总量根据《</w:t>
            </w:r>
            <w:r>
              <w:rPr>
                <w:rFonts w:hint="default" w:ascii="Times New Roman" w:hAnsi="Times New Roman" w:cs="Times New Roman"/>
                <w:snapToGrid/>
                <w:color w:val="auto"/>
                <w:spacing w:val="0"/>
                <w:kern w:val="0"/>
                <w:position w:val="0"/>
                <w:sz w:val="24"/>
                <w:szCs w:val="24"/>
                <w:lang w:eastAsia="zh-CN"/>
              </w:rPr>
              <w:t>灵璧县威科钓具有限公司</w:t>
            </w:r>
            <w:r>
              <w:rPr>
                <w:rFonts w:hint="default" w:ascii="Times New Roman" w:hAnsi="Times New Roman" w:cs="Times New Roman"/>
                <w:color w:val="auto"/>
                <w:sz w:val="24"/>
                <w:szCs w:val="24"/>
                <w:highlight w:val="none"/>
                <w:lang w:val="en-US" w:eastAsia="zh-CN"/>
              </w:rPr>
              <w:t>废气、噪声</w:t>
            </w:r>
            <w:r>
              <w:rPr>
                <w:rFonts w:hint="default" w:ascii="Times New Roman" w:hAnsi="Times New Roman" w:cs="Times New Roman"/>
                <w:color w:val="auto"/>
                <w:sz w:val="24"/>
                <w:szCs w:val="24"/>
                <w:highlight w:val="none"/>
              </w:rPr>
              <w:t>检</w:t>
            </w:r>
            <w:r>
              <w:rPr>
                <w:rFonts w:hint="eastAsia"/>
                <w:color w:val="auto"/>
                <w:sz w:val="24"/>
                <w:szCs w:val="24"/>
                <w:highlight w:val="none"/>
              </w:rPr>
              <w:t>测》</w:t>
            </w:r>
            <w:r>
              <w:rPr>
                <w:rFonts w:hint="eastAsia"/>
                <w:color w:val="auto"/>
                <w:sz w:val="24"/>
                <w:szCs w:val="24"/>
                <w:highlight w:val="none"/>
                <w:lang w:eastAsia="zh-CN"/>
              </w:rPr>
              <w:t>（报告编号：</w:t>
            </w:r>
            <w:r>
              <w:rPr>
                <w:rFonts w:hint="default" w:ascii="Times New Roman" w:hAnsi="Times New Roman" w:cs="Times New Roman"/>
                <w:color w:val="auto"/>
                <w:sz w:val="24"/>
                <w:szCs w:val="24"/>
                <w:highlight w:val="none"/>
                <w:lang w:val="en-US" w:eastAsia="zh-CN"/>
              </w:rPr>
              <w:t>JJ2025197，2025年6月17日</w:t>
            </w:r>
            <w:r>
              <w:rPr>
                <w:rFonts w:hint="eastAsia"/>
                <w:color w:val="auto"/>
                <w:sz w:val="24"/>
                <w:szCs w:val="24"/>
                <w:highlight w:val="none"/>
                <w:lang w:eastAsia="zh-CN"/>
              </w:rPr>
              <w:t>）</w:t>
            </w:r>
            <w:r>
              <w:rPr>
                <w:rFonts w:hint="eastAsia"/>
                <w:color w:val="auto"/>
                <w:sz w:val="24"/>
                <w:szCs w:val="24"/>
                <w:highlight w:val="none"/>
              </w:rPr>
              <w:t>中的结果进行核算。</w:t>
            </w:r>
            <w:r>
              <w:rPr>
                <w:rFonts w:hint="eastAsia" w:ascii="宋体" w:hAnsi="宋体" w:cs="宋体"/>
                <w:color w:val="auto"/>
                <w:sz w:val="24"/>
                <w:szCs w:val="24"/>
                <w:highlight w:val="none"/>
                <w:lang w:eastAsia="zh-CN"/>
              </w:rPr>
              <w:t>其</w:t>
            </w:r>
            <w:r>
              <w:rPr>
                <w:color w:val="auto"/>
                <w:sz w:val="24"/>
                <w:szCs w:val="24"/>
                <w:highlight w:val="none"/>
              </w:rPr>
              <w:t>结果如下：</w:t>
            </w:r>
          </w:p>
          <w:p w14:paraId="5D9892AD">
            <w:pPr>
              <w:pStyle w:val="31"/>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Autospacing="0" w:after="0" w:afterAutospacing="0" w:line="360" w:lineRule="auto"/>
              <w:ind w:left="0" w:right="0" w:firstLine="480" w:firstLineChars="200"/>
              <w:textAlignment w:val="auto"/>
              <w:rPr>
                <w:rFonts w:hint="eastAsia" w:ascii="Times New Roman" w:cs="Times New Roman"/>
                <w:color w:val="auto"/>
                <w:kern w:val="2"/>
                <w:sz w:val="24"/>
                <w:szCs w:val="24"/>
                <w:lang w:val="en-US" w:eastAsia="zh-CN" w:bidi="ar-SA"/>
              </w:rPr>
            </w:pPr>
            <w:r>
              <w:rPr>
                <w:rFonts w:hint="eastAsia" w:ascii="Times New Roman" w:cs="Times New Roman"/>
                <w:color w:val="auto"/>
                <w:kern w:val="2"/>
                <w:sz w:val="24"/>
                <w:szCs w:val="24"/>
                <w:lang w:val="en-US" w:eastAsia="zh-CN" w:bidi="ar-SA"/>
              </w:rPr>
              <w:t>项目目前废气处理措施：混合废气：集气罩+布袋除尘器+15m高排气筒（DA001）；加热废气：集气罩+UV光解+活性炭处理设施+15m高排气筒（DA002）；1#注塑、脱胶废气：集气罩+UV光解+活性炭处理设施+15m高排气筒（DA003）；2#注塑、脱胶废气：集气罩+UV光解+活性炭处理设施+15m高排气筒（DA004）；喷塑废气：侧向集气罩+布袋除尘器+15m高排气筒（DA005）。具体监测数据如下：</w:t>
            </w:r>
          </w:p>
          <w:p w14:paraId="0DC3B7A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4"/>
                <w:szCs w:val="24"/>
                <w:lang w:eastAsia="zh-CN"/>
              </w:rPr>
            </w:pPr>
            <w:r>
              <w:rPr>
                <w:rFonts w:hint="eastAsia" w:ascii="Times New Roman" w:cs="Times New Roman"/>
                <w:b/>
                <w:bCs/>
                <w:color w:val="auto"/>
                <w:kern w:val="2"/>
                <w:sz w:val="24"/>
                <w:szCs w:val="24"/>
                <w:lang w:val="en-US" w:eastAsia="zh-CN" w:bidi="ar-SA"/>
              </w:rPr>
              <w:t xml:space="preserve">表2.9 </w:t>
            </w:r>
            <w:r>
              <w:rPr>
                <w:rFonts w:hint="eastAsia" w:ascii="Times New Roman" w:cs="Times New Roman"/>
                <w:color w:val="auto"/>
                <w:kern w:val="2"/>
                <w:sz w:val="24"/>
                <w:szCs w:val="24"/>
                <w:lang w:val="en-US" w:eastAsia="zh-CN" w:bidi="ar-SA"/>
              </w:rPr>
              <w:t xml:space="preserve"> </w:t>
            </w:r>
            <w:r>
              <w:rPr>
                <w:rFonts w:hint="eastAsia" w:cs="Times New Roman"/>
                <w:b/>
                <w:bCs/>
                <w:color w:val="auto"/>
                <w:sz w:val="24"/>
                <w:szCs w:val="24"/>
                <w:lang w:eastAsia="zh-CN"/>
              </w:rPr>
              <w:t>混合、加热工序</w:t>
            </w:r>
            <w:r>
              <w:rPr>
                <w:rFonts w:hint="eastAsia" w:cs="Times New Roman"/>
                <w:b/>
                <w:bCs/>
                <w:color w:val="auto"/>
                <w:sz w:val="24"/>
                <w:szCs w:val="24"/>
                <w:lang w:val="en-US" w:eastAsia="zh-CN"/>
              </w:rPr>
              <w:t>1#布袋处理设施进出口</w:t>
            </w:r>
            <w:r>
              <w:rPr>
                <w:rFonts w:hint="default" w:ascii="Times New Roman" w:hAnsi="Times New Roman" w:cs="Times New Roman"/>
                <w:b/>
                <w:bCs/>
                <w:color w:val="auto"/>
                <w:sz w:val="24"/>
                <w:szCs w:val="24"/>
                <w:lang w:eastAsia="zh-CN"/>
              </w:rPr>
              <w:t>（</w:t>
            </w:r>
            <w:r>
              <w:rPr>
                <w:rFonts w:hint="eastAsia" w:ascii="Times New Roman" w:hAnsi="Times New Roman" w:cs="Times New Roman"/>
                <w:b/>
                <w:bCs/>
                <w:color w:val="auto"/>
                <w:sz w:val="24"/>
                <w:szCs w:val="24"/>
                <w:lang w:val="en-US" w:eastAsia="zh-CN"/>
              </w:rPr>
              <w:t>20</w:t>
            </w:r>
            <w:r>
              <w:rPr>
                <w:rFonts w:hint="eastAsia" w:cs="Times New Roman"/>
                <w:b/>
                <w:bCs/>
                <w:color w:val="auto"/>
                <w:sz w:val="24"/>
                <w:szCs w:val="24"/>
                <w:lang w:val="en-US" w:eastAsia="zh-CN"/>
              </w:rPr>
              <w:t>25</w:t>
            </w:r>
            <w:r>
              <w:rPr>
                <w:rFonts w:hint="eastAsia" w:ascii="Times New Roman" w:hAnsi="Times New Roman" w:cs="Times New Roman"/>
                <w:b/>
                <w:bCs/>
                <w:color w:val="auto"/>
                <w:sz w:val="24"/>
                <w:szCs w:val="24"/>
                <w:lang w:val="en-US" w:eastAsia="zh-CN"/>
              </w:rPr>
              <w:t>年</w:t>
            </w:r>
            <w:r>
              <w:rPr>
                <w:rFonts w:hint="eastAsia" w:cs="Times New Roman"/>
                <w:b/>
                <w:bCs/>
                <w:color w:val="auto"/>
                <w:sz w:val="24"/>
                <w:szCs w:val="24"/>
                <w:lang w:val="en-US" w:eastAsia="zh-CN"/>
              </w:rPr>
              <w:t>5</w:t>
            </w:r>
            <w:r>
              <w:rPr>
                <w:rFonts w:hint="default" w:ascii="Times New Roman" w:hAnsi="Times New Roman" w:cs="Times New Roman"/>
                <w:b/>
                <w:bCs/>
                <w:color w:val="auto"/>
                <w:sz w:val="24"/>
                <w:szCs w:val="24"/>
                <w:lang w:val="en-US" w:eastAsia="zh-CN"/>
              </w:rPr>
              <w:t>月</w:t>
            </w:r>
            <w:r>
              <w:rPr>
                <w:rFonts w:hint="eastAsia" w:cs="Times New Roman"/>
                <w:b/>
                <w:bCs/>
                <w:color w:val="auto"/>
                <w:sz w:val="24"/>
                <w:szCs w:val="24"/>
                <w:lang w:val="en-US" w:eastAsia="zh-CN"/>
              </w:rPr>
              <w:t>29</w:t>
            </w:r>
            <w:r>
              <w:rPr>
                <w:rFonts w:hint="default" w:ascii="Times New Roman" w:hAnsi="Times New Roman" w:cs="Times New Roman"/>
                <w:b/>
                <w:bCs/>
                <w:color w:val="auto"/>
                <w:sz w:val="24"/>
                <w:szCs w:val="24"/>
                <w:lang w:val="en-US" w:eastAsia="zh-CN"/>
              </w:rPr>
              <w:t>日</w:t>
            </w:r>
            <w:r>
              <w:rPr>
                <w:rFonts w:hint="default" w:ascii="Times New Roman" w:hAnsi="Times New Roman" w:cs="Times New Roman"/>
                <w:b/>
                <w:bCs/>
                <w:color w:val="auto"/>
                <w:sz w:val="24"/>
                <w:szCs w:val="24"/>
                <w:lang w:eastAsia="zh-CN"/>
              </w:rPr>
              <w:t>）</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070"/>
              <w:gridCol w:w="1073"/>
              <w:gridCol w:w="1073"/>
              <w:gridCol w:w="1073"/>
              <w:gridCol w:w="1073"/>
              <w:gridCol w:w="1073"/>
              <w:gridCol w:w="1074"/>
            </w:tblGrid>
            <w:tr w14:paraId="30F8A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40" w:type="dxa"/>
                  <w:gridSpan w:val="2"/>
                  <w:noWrap w:val="0"/>
                  <w:vAlign w:val="center"/>
                </w:tcPr>
                <w:p w14:paraId="5E5289C6">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eastAsia" w:eastAsia="宋体" w:cs="Times New Roman"/>
                      <w:b w:val="0"/>
                      <w:bCs w:val="0"/>
                      <w:color w:val="auto"/>
                      <w:sz w:val="21"/>
                      <w:szCs w:val="21"/>
                      <w:lang w:eastAsia="zh-CN"/>
                    </w:rPr>
                    <w:t>项目名称</w:t>
                  </w:r>
                </w:p>
              </w:tc>
              <w:tc>
                <w:tcPr>
                  <w:tcW w:w="1134" w:type="dxa"/>
                  <w:gridSpan w:val="3"/>
                  <w:noWrap w:val="0"/>
                  <w:vAlign w:val="center"/>
                </w:tcPr>
                <w:p w14:paraId="633033D9">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废气处理设施进口</w:t>
                  </w:r>
                </w:p>
              </w:tc>
              <w:tc>
                <w:tcPr>
                  <w:tcW w:w="1134" w:type="dxa"/>
                  <w:gridSpan w:val="3"/>
                  <w:noWrap w:val="0"/>
                  <w:vAlign w:val="center"/>
                </w:tcPr>
                <w:p w14:paraId="12888236">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废气排放口</w:t>
                  </w:r>
                </w:p>
              </w:tc>
            </w:tr>
            <w:tr w14:paraId="0829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40" w:type="dxa"/>
                  <w:gridSpan w:val="2"/>
                  <w:noWrap w:val="0"/>
                  <w:vAlign w:val="center"/>
                </w:tcPr>
                <w:p w14:paraId="096DDD63">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eastAsia="宋体" w:cs="Times New Roman"/>
                      <w:b w:val="0"/>
                      <w:bCs w:val="0"/>
                      <w:color w:val="auto"/>
                      <w:sz w:val="21"/>
                      <w:szCs w:val="21"/>
                      <w:lang w:val="en-US" w:eastAsia="zh-CN"/>
                    </w:rPr>
                  </w:pPr>
                  <w:r>
                    <w:rPr>
                      <w:rFonts w:hint="eastAsia" w:eastAsia="宋体" w:cs="Times New Roman"/>
                      <w:b w:val="0"/>
                      <w:bCs w:val="0"/>
                      <w:color w:val="auto"/>
                      <w:sz w:val="21"/>
                      <w:szCs w:val="21"/>
                      <w:lang w:eastAsia="zh-CN"/>
                    </w:rPr>
                    <w:t>排气筒高度</w:t>
                  </w:r>
                  <w:r>
                    <w:rPr>
                      <w:rFonts w:hint="eastAsia" w:eastAsia="宋体" w:cs="Times New Roman"/>
                      <w:b w:val="0"/>
                      <w:bCs w:val="0"/>
                      <w:color w:val="auto"/>
                      <w:sz w:val="21"/>
                      <w:szCs w:val="21"/>
                      <w:lang w:val="en-US" w:eastAsia="zh-CN"/>
                    </w:rPr>
                    <w:t>m</w:t>
                  </w:r>
                </w:p>
              </w:tc>
              <w:tc>
                <w:tcPr>
                  <w:tcW w:w="1134" w:type="dxa"/>
                  <w:gridSpan w:val="6"/>
                  <w:noWrap w:val="0"/>
                  <w:vAlign w:val="center"/>
                </w:tcPr>
                <w:p w14:paraId="12473551">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15</w:t>
                  </w:r>
                </w:p>
              </w:tc>
            </w:tr>
            <w:tr w14:paraId="7909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0" w:type="dxa"/>
                  <w:gridSpan w:val="2"/>
                  <w:noWrap w:val="0"/>
                  <w:vAlign w:val="center"/>
                </w:tcPr>
                <w:p w14:paraId="527BAE6F">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color w:val="auto"/>
                      <w:kern w:val="2"/>
                      <w:sz w:val="21"/>
                      <w:szCs w:val="21"/>
                      <w:lang w:val="en-US" w:eastAsia="zh-CN" w:bidi="ar-SA"/>
                    </w:rPr>
                  </w:pPr>
                  <w:r>
                    <w:rPr>
                      <w:rFonts w:hint="eastAsia" w:eastAsia="宋体" w:cs="Times New Roman"/>
                      <w:b w:val="0"/>
                      <w:bCs w:val="0"/>
                      <w:color w:val="auto"/>
                      <w:sz w:val="21"/>
                      <w:szCs w:val="21"/>
                      <w:lang w:eastAsia="zh-CN"/>
                    </w:rPr>
                    <w:t>标干流量</w:t>
                  </w:r>
                  <w:r>
                    <w:rPr>
                      <w:rFonts w:hint="eastAsia" w:eastAsia="宋体" w:cs="Times New Roman"/>
                      <w:b w:val="0"/>
                      <w:bCs w:val="0"/>
                      <w:color w:val="auto"/>
                      <w:sz w:val="21"/>
                      <w:szCs w:val="21"/>
                      <w:lang w:val="en-US" w:eastAsia="zh-CN"/>
                    </w:rPr>
                    <w:t>m</w:t>
                  </w:r>
                  <w:r>
                    <w:rPr>
                      <w:rFonts w:hint="eastAsia" w:eastAsia="宋体" w:cs="Times New Roman"/>
                      <w:b w:val="0"/>
                      <w:bCs w:val="0"/>
                      <w:color w:val="auto"/>
                      <w:sz w:val="21"/>
                      <w:szCs w:val="21"/>
                      <w:vertAlign w:val="superscript"/>
                      <w:lang w:val="en-US" w:eastAsia="zh-CN"/>
                    </w:rPr>
                    <w:t>3</w:t>
                  </w:r>
                  <w:r>
                    <w:rPr>
                      <w:rFonts w:hint="eastAsia" w:eastAsia="宋体" w:cs="Times New Roman"/>
                      <w:b w:val="0"/>
                      <w:bCs w:val="0"/>
                      <w:color w:val="auto"/>
                      <w:sz w:val="21"/>
                      <w:szCs w:val="21"/>
                      <w:lang w:val="en-US" w:eastAsia="zh-CN"/>
                    </w:rPr>
                    <w:t>/h</w:t>
                  </w:r>
                </w:p>
              </w:tc>
              <w:tc>
                <w:tcPr>
                  <w:tcW w:w="1134" w:type="dxa"/>
                  <w:noWrap w:val="0"/>
                  <w:vAlign w:val="center"/>
                </w:tcPr>
                <w:p w14:paraId="6BB3D465">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2171</w:t>
                  </w:r>
                </w:p>
              </w:tc>
              <w:tc>
                <w:tcPr>
                  <w:tcW w:w="1134" w:type="dxa"/>
                  <w:noWrap w:val="0"/>
                  <w:vAlign w:val="center"/>
                </w:tcPr>
                <w:p w14:paraId="1A2051DC">
                  <w:pPr>
                    <w:pStyle w:val="43"/>
                    <w:keepNext w:val="0"/>
                    <w:keepLines w:val="0"/>
                    <w:pageBreakBefore w:val="0"/>
                    <w:widowControl w:val="0"/>
                    <w:kinsoku/>
                    <w:wordWrap/>
                    <w:overflowPunct/>
                    <w:topLinePunct w:val="0"/>
                    <w:autoSpaceDE/>
                    <w:autoSpaceDN/>
                    <w:bidi w:val="0"/>
                    <w:adjustRightInd/>
                    <w:snapToGrid w:val="0"/>
                    <w:ind w:left="86" w:leftChars="0" w:right="80" w:rightChars="0"/>
                    <w:jc w:val="center"/>
                    <w:textAlignment w:val="auto"/>
                    <w:rPr>
                      <w:rFonts w:hint="default" w:ascii="Times New Roman" w:hAnsi="Times New Roman" w:eastAsia="宋体"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2211</w:t>
                  </w:r>
                </w:p>
              </w:tc>
              <w:tc>
                <w:tcPr>
                  <w:tcW w:w="1134" w:type="dxa"/>
                  <w:noWrap w:val="0"/>
                  <w:vAlign w:val="center"/>
                </w:tcPr>
                <w:p w14:paraId="1CE2D160">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2231</w:t>
                  </w:r>
                </w:p>
              </w:tc>
              <w:tc>
                <w:tcPr>
                  <w:tcW w:w="1134" w:type="dxa"/>
                  <w:noWrap w:val="0"/>
                  <w:vAlign w:val="center"/>
                </w:tcPr>
                <w:p w14:paraId="2D74A863">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2471</w:t>
                  </w:r>
                </w:p>
              </w:tc>
              <w:tc>
                <w:tcPr>
                  <w:tcW w:w="1134" w:type="dxa"/>
                  <w:noWrap w:val="0"/>
                  <w:vAlign w:val="center"/>
                </w:tcPr>
                <w:p w14:paraId="68A484D1">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2428</w:t>
                  </w:r>
                </w:p>
              </w:tc>
              <w:tc>
                <w:tcPr>
                  <w:tcW w:w="1134" w:type="dxa"/>
                  <w:noWrap w:val="0"/>
                  <w:vAlign w:val="center"/>
                </w:tcPr>
                <w:p w14:paraId="63527F7B">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2486</w:t>
                  </w:r>
                </w:p>
              </w:tc>
            </w:tr>
            <w:tr w14:paraId="78BF8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vMerge w:val="restart"/>
                  <w:noWrap w:val="0"/>
                  <w:vAlign w:val="center"/>
                </w:tcPr>
                <w:p w14:paraId="03C58BB6">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eastAsia="zh-CN"/>
                    </w:rPr>
                    <w:t>颗粒物</w:t>
                  </w:r>
                </w:p>
              </w:tc>
              <w:tc>
                <w:tcPr>
                  <w:tcW w:w="1130" w:type="dxa"/>
                  <w:noWrap w:val="0"/>
                  <w:vAlign w:val="center"/>
                </w:tcPr>
                <w:p w14:paraId="1BCC0123">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实测浓度mg/m</w:t>
                  </w:r>
                  <w:r>
                    <w:rPr>
                      <w:rFonts w:hint="eastAsia" w:cs="Times New Roman"/>
                      <w:color w:val="auto"/>
                      <w:kern w:val="2"/>
                      <w:sz w:val="21"/>
                      <w:szCs w:val="21"/>
                      <w:vertAlign w:val="superscript"/>
                      <w:lang w:val="en-US" w:eastAsia="zh-CN" w:bidi="ar-SA"/>
                    </w:rPr>
                    <w:t>3</w:t>
                  </w:r>
                </w:p>
              </w:tc>
              <w:tc>
                <w:tcPr>
                  <w:tcW w:w="1134" w:type="dxa"/>
                  <w:noWrap w:val="0"/>
                  <w:vAlign w:val="center"/>
                </w:tcPr>
                <w:p w14:paraId="0538E4DE">
                  <w:pPr>
                    <w:keepNext w:val="0"/>
                    <w:keepLines w:val="0"/>
                    <w:pageBreakBefore w:val="0"/>
                    <w:widowControl w:val="0"/>
                    <w:kinsoku/>
                    <w:wordWrap/>
                    <w:overflowPunct/>
                    <w:topLinePunct w:val="0"/>
                    <w:bidi w:val="0"/>
                    <w:adjustRightInd w:val="0"/>
                    <w:snapToGrid w:val="0"/>
                    <w:spacing w:line="240" w:lineRule="auto"/>
                    <w:ind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color w:val="auto"/>
                      <w:kern w:val="2"/>
                      <w:sz w:val="21"/>
                      <w:szCs w:val="21"/>
                      <w:lang w:val="en-US" w:eastAsia="zh-CN" w:bidi="ar-SA"/>
                    </w:rPr>
                    <w:t>˂20</w:t>
                  </w:r>
                </w:p>
              </w:tc>
              <w:tc>
                <w:tcPr>
                  <w:tcW w:w="1134" w:type="dxa"/>
                  <w:noWrap w:val="0"/>
                  <w:vAlign w:val="center"/>
                </w:tcPr>
                <w:p w14:paraId="50E62E14">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eastAsia="宋体" w:cs="Times New Roman"/>
                      <w:color w:val="auto"/>
                      <w:kern w:val="2"/>
                      <w:sz w:val="21"/>
                      <w:szCs w:val="21"/>
                      <w:lang w:val="en-US" w:eastAsia="zh-CN" w:bidi="zh-CN"/>
                    </w:rPr>
                  </w:pPr>
                  <w:r>
                    <w:rPr>
                      <w:rFonts w:hint="default" w:ascii="Times New Roman" w:hAnsi="Times New Roman" w:cs="Times New Roman"/>
                      <w:color w:val="auto"/>
                      <w:kern w:val="2"/>
                      <w:sz w:val="21"/>
                      <w:szCs w:val="21"/>
                      <w:lang w:val="en-US" w:eastAsia="zh-CN" w:bidi="ar-SA"/>
                    </w:rPr>
                    <w:t>˂20</w:t>
                  </w:r>
                </w:p>
              </w:tc>
              <w:tc>
                <w:tcPr>
                  <w:tcW w:w="1134" w:type="dxa"/>
                  <w:noWrap w:val="0"/>
                  <w:vAlign w:val="center"/>
                </w:tcPr>
                <w:p w14:paraId="5A9969F0">
                  <w:pPr>
                    <w:autoSpaceDE w:val="0"/>
                    <w:autoSpaceDN w:val="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˂20</w:t>
                  </w:r>
                </w:p>
              </w:tc>
              <w:tc>
                <w:tcPr>
                  <w:tcW w:w="1134" w:type="dxa"/>
                  <w:noWrap w:val="0"/>
                  <w:vAlign w:val="center"/>
                </w:tcPr>
                <w:p w14:paraId="381D5EA9">
                  <w:pPr>
                    <w:autoSpaceDE w:val="0"/>
                    <w:autoSpaceDN w:val="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1.5</w:t>
                  </w:r>
                </w:p>
              </w:tc>
              <w:tc>
                <w:tcPr>
                  <w:tcW w:w="1134" w:type="dxa"/>
                  <w:noWrap w:val="0"/>
                  <w:vAlign w:val="center"/>
                </w:tcPr>
                <w:p w14:paraId="349168E2">
                  <w:pPr>
                    <w:autoSpaceDE w:val="0"/>
                    <w:autoSpaceDN w:val="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1.6</w:t>
                  </w:r>
                </w:p>
              </w:tc>
              <w:tc>
                <w:tcPr>
                  <w:tcW w:w="1134" w:type="dxa"/>
                  <w:noWrap w:val="0"/>
                  <w:vAlign w:val="center"/>
                </w:tcPr>
                <w:p w14:paraId="394EAE10">
                  <w:pPr>
                    <w:autoSpaceDE w:val="0"/>
                    <w:autoSpaceDN w:val="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1.2</w:t>
                  </w:r>
                </w:p>
              </w:tc>
            </w:tr>
            <w:tr w14:paraId="09BC3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vMerge w:val="continue"/>
                  <w:noWrap w:val="0"/>
                  <w:vAlign w:val="center"/>
                </w:tcPr>
                <w:p w14:paraId="1B59FCD2">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color w:val="auto"/>
                      <w:kern w:val="2"/>
                      <w:sz w:val="21"/>
                      <w:szCs w:val="21"/>
                      <w:lang w:val="en-US" w:eastAsia="zh-CN" w:bidi="ar-SA"/>
                    </w:rPr>
                  </w:pPr>
                </w:p>
              </w:tc>
              <w:tc>
                <w:tcPr>
                  <w:tcW w:w="1130" w:type="dxa"/>
                  <w:noWrap w:val="0"/>
                  <w:vAlign w:val="center"/>
                </w:tcPr>
                <w:p w14:paraId="54F60ED4">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排放速率kg/h</w:t>
                  </w:r>
                </w:p>
              </w:tc>
              <w:tc>
                <w:tcPr>
                  <w:tcW w:w="1134" w:type="dxa"/>
                  <w:noWrap w:val="0"/>
                  <w:vAlign w:val="center"/>
                </w:tcPr>
                <w:p w14:paraId="5EF22ED8">
                  <w:pPr>
                    <w:keepNext w:val="0"/>
                    <w:keepLines w:val="0"/>
                    <w:pageBreakBefore w:val="0"/>
                    <w:widowControl w:val="0"/>
                    <w:kinsoku/>
                    <w:wordWrap/>
                    <w:overflowPunct/>
                    <w:topLinePunct w:val="0"/>
                    <w:bidi w:val="0"/>
                    <w:adjustRightInd w:val="0"/>
                    <w:snapToGrid w:val="0"/>
                    <w:spacing w:line="240" w:lineRule="auto"/>
                    <w:ind w:right="0"/>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w:t>
                  </w:r>
                </w:p>
              </w:tc>
              <w:tc>
                <w:tcPr>
                  <w:tcW w:w="1134" w:type="dxa"/>
                  <w:noWrap w:val="0"/>
                  <w:vAlign w:val="center"/>
                </w:tcPr>
                <w:p w14:paraId="14340159">
                  <w:pPr>
                    <w:keepNext w:val="0"/>
                    <w:keepLines w:val="0"/>
                    <w:pageBreakBefore w:val="0"/>
                    <w:widowControl w:val="0"/>
                    <w:kinsoku/>
                    <w:wordWrap/>
                    <w:overflowPunct/>
                    <w:topLinePunct w:val="0"/>
                    <w:autoSpaceDE/>
                    <w:autoSpaceDN/>
                    <w:bidi w:val="0"/>
                    <w:adjustRightInd/>
                    <w:snapToGrid w:val="0"/>
                    <w:ind w:left="87" w:leftChars="0" w:right="80" w:rightChars="0"/>
                    <w:jc w:val="center"/>
                    <w:textAlignment w:val="auto"/>
                    <w:rPr>
                      <w:rFonts w:hint="default" w:ascii="Times New Roman" w:hAnsi="Times New Roman" w:eastAsia="宋体" w:cs="Times New Roman"/>
                      <w:color w:val="auto"/>
                      <w:kern w:val="2"/>
                      <w:sz w:val="21"/>
                      <w:szCs w:val="21"/>
                      <w:lang w:val="en-US" w:eastAsia="zh-CN" w:bidi="zh-CN"/>
                    </w:rPr>
                  </w:pPr>
                  <w:r>
                    <w:rPr>
                      <w:rFonts w:hint="eastAsia" w:cs="Times New Roman"/>
                      <w:color w:val="auto"/>
                      <w:kern w:val="2"/>
                      <w:sz w:val="21"/>
                      <w:szCs w:val="21"/>
                      <w:lang w:val="en-US" w:eastAsia="zh-CN" w:bidi="zh-CN"/>
                    </w:rPr>
                    <w:t>/</w:t>
                  </w:r>
                </w:p>
              </w:tc>
              <w:tc>
                <w:tcPr>
                  <w:tcW w:w="1134" w:type="dxa"/>
                  <w:noWrap w:val="0"/>
                  <w:vAlign w:val="center"/>
                </w:tcPr>
                <w:p w14:paraId="2CF5341B">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1134" w:type="dxa"/>
                  <w:noWrap w:val="0"/>
                  <w:vAlign w:val="center"/>
                </w:tcPr>
                <w:p w14:paraId="627D4EC2">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3.71</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w:t>
                  </w:r>
                  <w:r>
                    <w:rPr>
                      <w:rFonts w:hint="eastAsia" w:cs="Times New Roman"/>
                      <w:b w:val="0"/>
                      <w:bCs w:val="0"/>
                      <w:color w:val="auto"/>
                      <w:sz w:val="21"/>
                      <w:szCs w:val="21"/>
                      <w:vertAlign w:val="superscript"/>
                      <w:lang w:val="en-US" w:eastAsia="zh-CN"/>
                    </w:rPr>
                    <w:t>3</w:t>
                  </w:r>
                </w:p>
              </w:tc>
              <w:tc>
                <w:tcPr>
                  <w:tcW w:w="1134" w:type="dxa"/>
                  <w:noWrap w:val="0"/>
                  <w:vAlign w:val="center"/>
                </w:tcPr>
                <w:p w14:paraId="0852B368">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3.88</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w:t>
                  </w:r>
                  <w:r>
                    <w:rPr>
                      <w:rFonts w:hint="eastAsia" w:cs="Times New Roman"/>
                      <w:b w:val="0"/>
                      <w:bCs w:val="0"/>
                      <w:color w:val="auto"/>
                      <w:sz w:val="21"/>
                      <w:szCs w:val="21"/>
                      <w:vertAlign w:val="superscript"/>
                      <w:lang w:val="en-US" w:eastAsia="zh-CN"/>
                    </w:rPr>
                    <w:t>3</w:t>
                  </w:r>
                </w:p>
              </w:tc>
              <w:tc>
                <w:tcPr>
                  <w:tcW w:w="1134" w:type="dxa"/>
                  <w:noWrap w:val="0"/>
                  <w:vAlign w:val="center"/>
                </w:tcPr>
                <w:p w14:paraId="5DFB4F7D">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2.98</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cs="Times New Roman"/>
                      <w:b w:val="0"/>
                      <w:bCs w:val="0"/>
                      <w:color w:val="auto"/>
                      <w:sz w:val="21"/>
                      <w:szCs w:val="21"/>
                      <w:vertAlign w:val="superscript"/>
                      <w:lang w:val="en-US" w:eastAsia="zh-CN"/>
                    </w:rPr>
                    <w:t>-3</w:t>
                  </w:r>
                </w:p>
              </w:tc>
            </w:tr>
          </w:tbl>
          <w:p w14:paraId="0F6040D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center"/>
              <w:textAlignment w:val="auto"/>
              <w:rPr>
                <w:rFonts w:hint="eastAsia" w:ascii="Times New Roman" w:hAnsi="Times New Roman" w:eastAsia="宋体" w:cs="Times New Roman"/>
                <w:color w:val="auto"/>
                <w:sz w:val="24"/>
                <w:szCs w:val="24"/>
                <w:lang w:eastAsia="zh-CN"/>
              </w:rPr>
            </w:pPr>
            <w:r>
              <w:rPr>
                <w:rFonts w:hint="default" w:ascii="Times New Roman" w:hAnsi="Times New Roman" w:cs="Times New Roman"/>
                <w:b/>
                <w:bCs/>
                <w:color w:val="auto"/>
                <w:sz w:val="24"/>
                <w:szCs w:val="24"/>
              </w:rPr>
              <w:t>表</w:t>
            </w:r>
            <w:r>
              <w:rPr>
                <w:rFonts w:hint="eastAsia" w:cs="Times New Roman"/>
                <w:b/>
                <w:bCs/>
                <w:color w:val="auto"/>
                <w:sz w:val="24"/>
                <w:szCs w:val="24"/>
                <w:lang w:val="en-US" w:eastAsia="zh-CN"/>
              </w:rPr>
              <w:t xml:space="preserve">2.10 </w:t>
            </w:r>
            <w:r>
              <w:rPr>
                <w:rFonts w:hint="eastAsia" w:cs="Times New Roman"/>
                <w:b/>
                <w:bCs/>
                <w:color w:val="auto"/>
                <w:sz w:val="24"/>
                <w:szCs w:val="24"/>
                <w:lang w:eastAsia="zh-CN"/>
              </w:rPr>
              <w:t>混合、加热工序</w:t>
            </w:r>
            <w:r>
              <w:rPr>
                <w:rFonts w:hint="eastAsia" w:cs="Times New Roman"/>
                <w:b/>
                <w:bCs/>
                <w:color w:val="auto"/>
                <w:sz w:val="24"/>
                <w:szCs w:val="24"/>
                <w:lang w:val="en-US" w:eastAsia="zh-CN"/>
              </w:rPr>
              <w:t>2#UV光解+活性炭处理设施进出口</w:t>
            </w:r>
            <w:r>
              <w:rPr>
                <w:rFonts w:hint="default" w:ascii="Times New Roman" w:hAnsi="Times New Roman" w:cs="Times New Roman"/>
                <w:b/>
                <w:bCs/>
                <w:color w:val="auto"/>
                <w:sz w:val="24"/>
                <w:szCs w:val="24"/>
                <w:lang w:eastAsia="zh-CN"/>
              </w:rPr>
              <w:t>（</w:t>
            </w:r>
            <w:r>
              <w:rPr>
                <w:rFonts w:hint="eastAsia" w:ascii="Times New Roman" w:hAnsi="Times New Roman" w:cs="Times New Roman"/>
                <w:b/>
                <w:bCs/>
                <w:color w:val="auto"/>
                <w:sz w:val="24"/>
                <w:szCs w:val="24"/>
                <w:lang w:val="en-US" w:eastAsia="zh-CN"/>
              </w:rPr>
              <w:t>20</w:t>
            </w:r>
            <w:r>
              <w:rPr>
                <w:rFonts w:hint="eastAsia" w:cs="Times New Roman"/>
                <w:b/>
                <w:bCs/>
                <w:color w:val="auto"/>
                <w:sz w:val="24"/>
                <w:szCs w:val="24"/>
                <w:lang w:val="en-US" w:eastAsia="zh-CN"/>
              </w:rPr>
              <w:t>25</w:t>
            </w:r>
            <w:r>
              <w:rPr>
                <w:rFonts w:hint="eastAsia" w:ascii="Times New Roman" w:hAnsi="Times New Roman" w:cs="Times New Roman"/>
                <w:b/>
                <w:bCs/>
                <w:color w:val="auto"/>
                <w:sz w:val="24"/>
                <w:szCs w:val="24"/>
                <w:lang w:val="en-US" w:eastAsia="zh-CN"/>
              </w:rPr>
              <w:t>年</w:t>
            </w:r>
            <w:r>
              <w:rPr>
                <w:rFonts w:hint="eastAsia" w:cs="Times New Roman"/>
                <w:b/>
                <w:bCs/>
                <w:color w:val="auto"/>
                <w:sz w:val="24"/>
                <w:szCs w:val="24"/>
                <w:lang w:val="en-US" w:eastAsia="zh-CN"/>
              </w:rPr>
              <w:t>5</w:t>
            </w:r>
            <w:r>
              <w:rPr>
                <w:rFonts w:hint="default" w:ascii="Times New Roman" w:hAnsi="Times New Roman" w:cs="Times New Roman"/>
                <w:b/>
                <w:bCs/>
                <w:color w:val="auto"/>
                <w:sz w:val="24"/>
                <w:szCs w:val="24"/>
                <w:lang w:val="en-US" w:eastAsia="zh-CN"/>
              </w:rPr>
              <w:t>月</w:t>
            </w:r>
            <w:r>
              <w:rPr>
                <w:rFonts w:hint="eastAsia" w:cs="Times New Roman"/>
                <w:b/>
                <w:bCs/>
                <w:color w:val="auto"/>
                <w:sz w:val="24"/>
                <w:szCs w:val="24"/>
                <w:lang w:val="en-US" w:eastAsia="zh-CN"/>
              </w:rPr>
              <w:t>29</w:t>
            </w:r>
            <w:r>
              <w:rPr>
                <w:rFonts w:hint="default" w:ascii="Times New Roman" w:hAnsi="Times New Roman" w:cs="Times New Roman"/>
                <w:b/>
                <w:bCs/>
                <w:color w:val="auto"/>
                <w:sz w:val="24"/>
                <w:szCs w:val="24"/>
                <w:lang w:val="en-US" w:eastAsia="zh-CN"/>
              </w:rPr>
              <w:t>日</w:t>
            </w:r>
            <w:r>
              <w:rPr>
                <w:rFonts w:hint="default" w:ascii="Times New Roman" w:hAnsi="Times New Roman" w:cs="Times New Roman"/>
                <w:b/>
                <w:bCs/>
                <w:color w:val="auto"/>
                <w:sz w:val="24"/>
                <w:szCs w:val="24"/>
                <w:lang w:eastAsia="zh-CN"/>
              </w:rPr>
              <w:t>）</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070"/>
              <w:gridCol w:w="1073"/>
              <w:gridCol w:w="1073"/>
              <w:gridCol w:w="1073"/>
              <w:gridCol w:w="1073"/>
              <w:gridCol w:w="1073"/>
              <w:gridCol w:w="1074"/>
            </w:tblGrid>
            <w:tr w14:paraId="740C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41" w:type="dxa"/>
                  <w:gridSpan w:val="2"/>
                  <w:noWrap w:val="0"/>
                  <w:vAlign w:val="center"/>
                </w:tcPr>
                <w:p w14:paraId="54247D20">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eastAsia" w:eastAsia="宋体" w:cs="Times New Roman"/>
                      <w:b w:val="0"/>
                      <w:bCs w:val="0"/>
                      <w:color w:val="auto"/>
                      <w:sz w:val="21"/>
                      <w:szCs w:val="21"/>
                      <w:lang w:eastAsia="zh-CN"/>
                    </w:rPr>
                    <w:t>项目名称</w:t>
                  </w:r>
                </w:p>
              </w:tc>
              <w:tc>
                <w:tcPr>
                  <w:tcW w:w="3219" w:type="dxa"/>
                  <w:gridSpan w:val="3"/>
                  <w:shd w:val="clear" w:color="auto" w:fill="auto"/>
                  <w:noWrap w:val="0"/>
                  <w:vAlign w:val="center"/>
                </w:tcPr>
                <w:p w14:paraId="313BFB95">
                  <w:pPr>
                    <w:autoSpaceDE w:val="0"/>
                    <w:autoSpaceDN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废气处理设施进口</w:t>
                  </w:r>
                </w:p>
              </w:tc>
              <w:tc>
                <w:tcPr>
                  <w:tcW w:w="3220" w:type="dxa"/>
                  <w:gridSpan w:val="3"/>
                  <w:shd w:val="clear" w:color="auto" w:fill="auto"/>
                  <w:noWrap w:val="0"/>
                  <w:vAlign w:val="center"/>
                </w:tcPr>
                <w:p w14:paraId="27F5DEF5">
                  <w:pPr>
                    <w:autoSpaceDE w:val="0"/>
                    <w:autoSpaceDN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废气排放口</w:t>
                  </w:r>
                </w:p>
              </w:tc>
            </w:tr>
            <w:tr w14:paraId="0C20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41" w:type="dxa"/>
                  <w:gridSpan w:val="2"/>
                  <w:noWrap w:val="0"/>
                  <w:vAlign w:val="center"/>
                </w:tcPr>
                <w:p w14:paraId="7E38901E">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eastAsia="宋体" w:cs="Times New Roman"/>
                      <w:b w:val="0"/>
                      <w:bCs w:val="0"/>
                      <w:color w:val="auto"/>
                      <w:sz w:val="21"/>
                      <w:szCs w:val="21"/>
                      <w:lang w:val="en-US" w:eastAsia="zh-CN"/>
                    </w:rPr>
                  </w:pPr>
                  <w:r>
                    <w:rPr>
                      <w:rFonts w:hint="eastAsia" w:eastAsia="宋体" w:cs="Times New Roman"/>
                      <w:b w:val="0"/>
                      <w:bCs w:val="0"/>
                      <w:color w:val="auto"/>
                      <w:sz w:val="21"/>
                      <w:szCs w:val="21"/>
                      <w:lang w:eastAsia="zh-CN"/>
                    </w:rPr>
                    <w:t>排气筒高度</w:t>
                  </w:r>
                  <w:r>
                    <w:rPr>
                      <w:rFonts w:hint="eastAsia" w:eastAsia="宋体" w:cs="Times New Roman"/>
                      <w:b w:val="0"/>
                      <w:bCs w:val="0"/>
                      <w:color w:val="auto"/>
                      <w:sz w:val="21"/>
                      <w:szCs w:val="21"/>
                      <w:lang w:val="en-US" w:eastAsia="zh-CN"/>
                    </w:rPr>
                    <w:t>m</w:t>
                  </w:r>
                </w:p>
              </w:tc>
              <w:tc>
                <w:tcPr>
                  <w:tcW w:w="6439" w:type="dxa"/>
                  <w:gridSpan w:val="6"/>
                  <w:noWrap w:val="0"/>
                  <w:vAlign w:val="center"/>
                </w:tcPr>
                <w:p w14:paraId="3704CAFD">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15</w:t>
                  </w:r>
                </w:p>
              </w:tc>
            </w:tr>
            <w:tr w14:paraId="5DC30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1" w:type="dxa"/>
                  <w:gridSpan w:val="2"/>
                  <w:noWrap w:val="0"/>
                  <w:vAlign w:val="center"/>
                </w:tcPr>
                <w:p w14:paraId="730F6B0C">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color w:val="auto"/>
                      <w:kern w:val="2"/>
                      <w:sz w:val="21"/>
                      <w:szCs w:val="21"/>
                      <w:lang w:val="en-US" w:eastAsia="zh-CN" w:bidi="ar-SA"/>
                    </w:rPr>
                  </w:pPr>
                  <w:r>
                    <w:rPr>
                      <w:rFonts w:hint="eastAsia" w:eastAsia="宋体" w:cs="Times New Roman"/>
                      <w:b w:val="0"/>
                      <w:bCs w:val="0"/>
                      <w:color w:val="auto"/>
                      <w:sz w:val="21"/>
                      <w:szCs w:val="21"/>
                      <w:lang w:eastAsia="zh-CN"/>
                    </w:rPr>
                    <w:t>标干流量</w:t>
                  </w:r>
                  <w:r>
                    <w:rPr>
                      <w:rFonts w:hint="eastAsia" w:eastAsia="宋体" w:cs="Times New Roman"/>
                      <w:b w:val="0"/>
                      <w:bCs w:val="0"/>
                      <w:color w:val="auto"/>
                      <w:sz w:val="21"/>
                      <w:szCs w:val="21"/>
                      <w:lang w:val="en-US" w:eastAsia="zh-CN"/>
                    </w:rPr>
                    <w:t>m</w:t>
                  </w:r>
                  <w:r>
                    <w:rPr>
                      <w:rFonts w:hint="eastAsia" w:eastAsia="宋体" w:cs="Times New Roman"/>
                      <w:b w:val="0"/>
                      <w:bCs w:val="0"/>
                      <w:color w:val="auto"/>
                      <w:sz w:val="21"/>
                      <w:szCs w:val="21"/>
                      <w:vertAlign w:val="superscript"/>
                      <w:lang w:val="en-US" w:eastAsia="zh-CN"/>
                    </w:rPr>
                    <w:t>3</w:t>
                  </w:r>
                  <w:r>
                    <w:rPr>
                      <w:rFonts w:hint="eastAsia" w:eastAsia="宋体" w:cs="Times New Roman"/>
                      <w:b w:val="0"/>
                      <w:bCs w:val="0"/>
                      <w:color w:val="auto"/>
                      <w:sz w:val="21"/>
                      <w:szCs w:val="21"/>
                      <w:lang w:val="en-US" w:eastAsia="zh-CN"/>
                    </w:rPr>
                    <w:t>/h</w:t>
                  </w:r>
                </w:p>
              </w:tc>
              <w:tc>
                <w:tcPr>
                  <w:tcW w:w="1073" w:type="dxa"/>
                  <w:noWrap w:val="0"/>
                  <w:vAlign w:val="center"/>
                </w:tcPr>
                <w:p w14:paraId="0B97C585">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838</w:t>
                  </w:r>
                </w:p>
              </w:tc>
              <w:tc>
                <w:tcPr>
                  <w:tcW w:w="1073" w:type="dxa"/>
                  <w:noWrap w:val="0"/>
                  <w:vAlign w:val="center"/>
                </w:tcPr>
                <w:p w14:paraId="5BE63B24">
                  <w:pPr>
                    <w:pStyle w:val="43"/>
                    <w:keepNext w:val="0"/>
                    <w:keepLines w:val="0"/>
                    <w:pageBreakBefore w:val="0"/>
                    <w:widowControl w:val="0"/>
                    <w:kinsoku/>
                    <w:wordWrap/>
                    <w:overflowPunct/>
                    <w:topLinePunct w:val="0"/>
                    <w:autoSpaceDE/>
                    <w:autoSpaceDN/>
                    <w:bidi w:val="0"/>
                    <w:adjustRightInd/>
                    <w:snapToGrid w:val="0"/>
                    <w:ind w:left="86" w:leftChars="0" w:right="80" w:rightChars="0"/>
                    <w:jc w:val="center"/>
                    <w:textAlignment w:val="auto"/>
                    <w:rPr>
                      <w:rFonts w:hint="default" w:ascii="Times New Roman" w:hAnsi="Times New Roman" w:eastAsia="宋体"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750</w:t>
                  </w:r>
                </w:p>
              </w:tc>
              <w:tc>
                <w:tcPr>
                  <w:tcW w:w="1073" w:type="dxa"/>
                  <w:noWrap w:val="0"/>
                  <w:vAlign w:val="center"/>
                </w:tcPr>
                <w:p w14:paraId="4B7E9550">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794</w:t>
                  </w:r>
                </w:p>
              </w:tc>
              <w:tc>
                <w:tcPr>
                  <w:tcW w:w="1073" w:type="dxa"/>
                  <w:noWrap w:val="0"/>
                  <w:vAlign w:val="center"/>
                </w:tcPr>
                <w:p w14:paraId="429A61AC">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900</w:t>
                  </w:r>
                </w:p>
              </w:tc>
              <w:tc>
                <w:tcPr>
                  <w:tcW w:w="1073" w:type="dxa"/>
                  <w:noWrap w:val="0"/>
                  <w:vAlign w:val="center"/>
                </w:tcPr>
                <w:p w14:paraId="707450B9">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898</w:t>
                  </w:r>
                </w:p>
              </w:tc>
              <w:tc>
                <w:tcPr>
                  <w:tcW w:w="1074" w:type="dxa"/>
                  <w:noWrap w:val="0"/>
                  <w:vAlign w:val="center"/>
                </w:tcPr>
                <w:p w14:paraId="6E0EFE94">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945</w:t>
                  </w:r>
                </w:p>
              </w:tc>
            </w:tr>
            <w:tr w14:paraId="1074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1" w:type="dxa"/>
                  <w:vMerge w:val="restart"/>
                  <w:noWrap w:val="0"/>
                  <w:vAlign w:val="center"/>
                </w:tcPr>
                <w:p w14:paraId="12A6F062">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sz w:val="21"/>
                      <w:szCs w:val="21"/>
                      <w:lang w:eastAsia="zh-CN"/>
                    </w:rPr>
                    <w:t>挥发性有机物</w:t>
                  </w:r>
                </w:p>
              </w:tc>
              <w:tc>
                <w:tcPr>
                  <w:tcW w:w="1070" w:type="dxa"/>
                  <w:noWrap w:val="0"/>
                  <w:vAlign w:val="center"/>
                </w:tcPr>
                <w:p w14:paraId="0575470A">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实测浓度mg/m</w:t>
                  </w:r>
                  <w:r>
                    <w:rPr>
                      <w:rFonts w:hint="eastAsia" w:cs="Times New Roman"/>
                      <w:color w:val="auto"/>
                      <w:kern w:val="2"/>
                      <w:sz w:val="21"/>
                      <w:szCs w:val="21"/>
                      <w:vertAlign w:val="superscript"/>
                      <w:lang w:val="en-US" w:eastAsia="zh-CN" w:bidi="ar-SA"/>
                    </w:rPr>
                    <w:t>3</w:t>
                  </w:r>
                </w:p>
              </w:tc>
              <w:tc>
                <w:tcPr>
                  <w:tcW w:w="1073" w:type="dxa"/>
                  <w:noWrap w:val="0"/>
                  <w:vAlign w:val="center"/>
                </w:tcPr>
                <w:p w14:paraId="6EF5334A">
                  <w:pPr>
                    <w:keepNext w:val="0"/>
                    <w:keepLines w:val="0"/>
                    <w:pageBreakBefore w:val="0"/>
                    <w:widowControl w:val="0"/>
                    <w:kinsoku/>
                    <w:wordWrap/>
                    <w:overflowPunct/>
                    <w:topLinePunct w:val="0"/>
                    <w:bidi w:val="0"/>
                    <w:adjustRightInd w:val="0"/>
                    <w:snapToGrid w:val="0"/>
                    <w:spacing w:line="240" w:lineRule="auto"/>
                    <w:ind w:right="0"/>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4.6</w:t>
                  </w:r>
                </w:p>
              </w:tc>
              <w:tc>
                <w:tcPr>
                  <w:tcW w:w="1073" w:type="dxa"/>
                  <w:noWrap w:val="0"/>
                  <w:vAlign w:val="center"/>
                </w:tcPr>
                <w:p w14:paraId="71EEAB37">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eastAsia="宋体"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4.31</w:t>
                  </w:r>
                </w:p>
              </w:tc>
              <w:tc>
                <w:tcPr>
                  <w:tcW w:w="1073" w:type="dxa"/>
                  <w:noWrap w:val="0"/>
                  <w:vAlign w:val="center"/>
                </w:tcPr>
                <w:p w14:paraId="012E8C78">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2.47</w:t>
                  </w:r>
                </w:p>
              </w:tc>
              <w:tc>
                <w:tcPr>
                  <w:tcW w:w="1073" w:type="dxa"/>
                  <w:noWrap w:val="0"/>
                  <w:vAlign w:val="center"/>
                </w:tcPr>
                <w:p w14:paraId="423A6160">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0.859</w:t>
                  </w:r>
                </w:p>
              </w:tc>
              <w:tc>
                <w:tcPr>
                  <w:tcW w:w="1073" w:type="dxa"/>
                  <w:noWrap w:val="0"/>
                  <w:vAlign w:val="center"/>
                </w:tcPr>
                <w:p w14:paraId="1F8D20FF">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1.45</w:t>
                  </w:r>
                </w:p>
              </w:tc>
              <w:tc>
                <w:tcPr>
                  <w:tcW w:w="1074" w:type="dxa"/>
                  <w:noWrap w:val="0"/>
                  <w:vAlign w:val="center"/>
                </w:tcPr>
                <w:p w14:paraId="5965D863">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1.33</w:t>
                  </w:r>
                </w:p>
              </w:tc>
            </w:tr>
            <w:tr w14:paraId="73306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1" w:type="dxa"/>
                  <w:vMerge w:val="continue"/>
                  <w:noWrap w:val="0"/>
                  <w:vAlign w:val="center"/>
                </w:tcPr>
                <w:p w14:paraId="7C3CB490">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color w:val="auto"/>
                      <w:kern w:val="2"/>
                      <w:sz w:val="21"/>
                      <w:szCs w:val="21"/>
                      <w:lang w:val="en-US" w:eastAsia="zh-CN" w:bidi="ar-SA"/>
                    </w:rPr>
                  </w:pPr>
                </w:p>
              </w:tc>
              <w:tc>
                <w:tcPr>
                  <w:tcW w:w="1070" w:type="dxa"/>
                  <w:noWrap w:val="0"/>
                  <w:vAlign w:val="center"/>
                </w:tcPr>
                <w:p w14:paraId="0782A4F8">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排放速率kg/h</w:t>
                  </w:r>
                </w:p>
              </w:tc>
              <w:tc>
                <w:tcPr>
                  <w:tcW w:w="1073" w:type="dxa"/>
                  <w:noWrap w:val="0"/>
                  <w:vAlign w:val="center"/>
                </w:tcPr>
                <w:p w14:paraId="12C08003">
                  <w:pPr>
                    <w:keepNext w:val="0"/>
                    <w:keepLines w:val="0"/>
                    <w:pageBreakBefore w:val="0"/>
                    <w:widowControl w:val="0"/>
                    <w:kinsoku/>
                    <w:wordWrap/>
                    <w:overflowPunct/>
                    <w:topLinePunct w:val="0"/>
                    <w:bidi w:val="0"/>
                    <w:adjustRightInd w:val="0"/>
                    <w:snapToGrid w:val="0"/>
                    <w:spacing w:line="240" w:lineRule="auto"/>
                    <w:ind w:right="0"/>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3.85</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w:t>
                  </w:r>
                  <w:r>
                    <w:rPr>
                      <w:rFonts w:hint="eastAsia" w:cs="Times New Roman"/>
                      <w:b w:val="0"/>
                      <w:bCs w:val="0"/>
                      <w:color w:val="auto"/>
                      <w:sz w:val="21"/>
                      <w:szCs w:val="21"/>
                      <w:vertAlign w:val="superscript"/>
                      <w:lang w:val="en-US" w:eastAsia="zh-CN"/>
                    </w:rPr>
                    <w:t>3</w:t>
                  </w:r>
                </w:p>
              </w:tc>
              <w:tc>
                <w:tcPr>
                  <w:tcW w:w="1073" w:type="dxa"/>
                  <w:noWrap w:val="0"/>
                  <w:vAlign w:val="center"/>
                </w:tcPr>
                <w:p w14:paraId="6D2B1DC2">
                  <w:pPr>
                    <w:keepNext w:val="0"/>
                    <w:keepLines w:val="0"/>
                    <w:pageBreakBefore w:val="0"/>
                    <w:widowControl w:val="0"/>
                    <w:kinsoku/>
                    <w:wordWrap/>
                    <w:overflowPunct/>
                    <w:topLinePunct w:val="0"/>
                    <w:autoSpaceDE/>
                    <w:autoSpaceDN/>
                    <w:bidi w:val="0"/>
                    <w:adjustRightInd/>
                    <w:snapToGrid w:val="0"/>
                    <w:ind w:left="87" w:leftChars="0" w:right="80" w:rightChars="0"/>
                    <w:jc w:val="center"/>
                    <w:textAlignment w:val="auto"/>
                    <w:rPr>
                      <w:rFonts w:hint="default" w:ascii="Times New Roman" w:hAnsi="Times New Roman" w:eastAsia="宋体" w:cs="Times New Roman"/>
                      <w:color w:val="auto"/>
                      <w:kern w:val="2"/>
                      <w:sz w:val="21"/>
                      <w:szCs w:val="21"/>
                      <w:lang w:val="en-US" w:eastAsia="zh-CN" w:bidi="zh-CN"/>
                    </w:rPr>
                  </w:pPr>
                  <w:r>
                    <w:rPr>
                      <w:rFonts w:hint="eastAsia" w:cs="Times New Roman"/>
                      <w:b w:val="0"/>
                      <w:bCs w:val="0"/>
                      <w:color w:val="auto"/>
                      <w:sz w:val="21"/>
                      <w:szCs w:val="21"/>
                      <w:lang w:val="en-US" w:eastAsia="zh-CN"/>
                    </w:rPr>
                    <w:t>3.23</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w:t>
                  </w:r>
                  <w:r>
                    <w:rPr>
                      <w:rFonts w:hint="eastAsia" w:cs="Times New Roman"/>
                      <w:b w:val="0"/>
                      <w:bCs w:val="0"/>
                      <w:color w:val="auto"/>
                      <w:sz w:val="21"/>
                      <w:szCs w:val="21"/>
                      <w:vertAlign w:val="superscript"/>
                      <w:lang w:val="en-US" w:eastAsia="zh-CN"/>
                    </w:rPr>
                    <w:t>3</w:t>
                  </w:r>
                </w:p>
              </w:tc>
              <w:tc>
                <w:tcPr>
                  <w:tcW w:w="1073" w:type="dxa"/>
                  <w:noWrap w:val="0"/>
                  <w:vAlign w:val="center"/>
                </w:tcPr>
                <w:p w14:paraId="42B5FEE6">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b w:val="0"/>
                      <w:bCs w:val="0"/>
                      <w:color w:val="auto"/>
                      <w:sz w:val="21"/>
                      <w:szCs w:val="21"/>
                      <w:lang w:val="en-US" w:eastAsia="zh-CN"/>
                    </w:rPr>
                    <w:t>1.96</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w:t>
                  </w:r>
                  <w:r>
                    <w:rPr>
                      <w:rFonts w:hint="eastAsia" w:cs="Times New Roman"/>
                      <w:b w:val="0"/>
                      <w:bCs w:val="0"/>
                      <w:color w:val="auto"/>
                      <w:sz w:val="21"/>
                      <w:szCs w:val="21"/>
                      <w:vertAlign w:val="superscript"/>
                      <w:lang w:val="en-US" w:eastAsia="zh-CN"/>
                    </w:rPr>
                    <w:t>3</w:t>
                  </w:r>
                </w:p>
              </w:tc>
              <w:tc>
                <w:tcPr>
                  <w:tcW w:w="1073" w:type="dxa"/>
                  <w:noWrap w:val="0"/>
                  <w:vAlign w:val="center"/>
                </w:tcPr>
                <w:p w14:paraId="3E132324">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7.73</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-4</w:t>
                  </w:r>
                </w:p>
              </w:tc>
              <w:tc>
                <w:tcPr>
                  <w:tcW w:w="1073" w:type="dxa"/>
                  <w:noWrap w:val="0"/>
                  <w:vAlign w:val="center"/>
                </w:tcPr>
                <w:p w14:paraId="7B31C5D5">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1.30</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w:t>
                  </w:r>
                  <w:r>
                    <w:rPr>
                      <w:rFonts w:hint="eastAsia" w:cs="Times New Roman"/>
                      <w:b w:val="0"/>
                      <w:bCs w:val="0"/>
                      <w:color w:val="auto"/>
                      <w:sz w:val="21"/>
                      <w:szCs w:val="21"/>
                      <w:vertAlign w:val="superscript"/>
                      <w:lang w:val="en-US" w:eastAsia="zh-CN"/>
                    </w:rPr>
                    <w:t>3</w:t>
                  </w:r>
                </w:p>
              </w:tc>
              <w:tc>
                <w:tcPr>
                  <w:tcW w:w="1074" w:type="dxa"/>
                  <w:noWrap w:val="0"/>
                  <w:vAlign w:val="center"/>
                </w:tcPr>
                <w:p w14:paraId="6CD9CB31">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1.26</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w:t>
                  </w:r>
                  <w:r>
                    <w:rPr>
                      <w:rFonts w:hint="eastAsia" w:cs="Times New Roman"/>
                      <w:b w:val="0"/>
                      <w:bCs w:val="0"/>
                      <w:color w:val="auto"/>
                      <w:sz w:val="21"/>
                      <w:szCs w:val="21"/>
                      <w:vertAlign w:val="superscript"/>
                      <w:lang w:val="en-US" w:eastAsia="zh-CN"/>
                    </w:rPr>
                    <w:t>3</w:t>
                  </w:r>
                </w:p>
              </w:tc>
            </w:tr>
          </w:tbl>
          <w:p w14:paraId="186F6CD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center"/>
              <w:textAlignment w:val="auto"/>
              <w:rPr>
                <w:rFonts w:hint="eastAsia" w:ascii="Times New Roman" w:hAnsi="Times New Roman" w:eastAsia="宋体" w:cs="Times New Roman"/>
                <w:color w:val="auto"/>
                <w:sz w:val="24"/>
                <w:szCs w:val="24"/>
                <w:lang w:eastAsia="zh-CN"/>
              </w:rPr>
            </w:pPr>
            <w:r>
              <w:rPr>
                <w:rFonts w:hint="default" w:ascii="Times New Roman" w:hAnsi="Times New Roman" w:cs="Times New Roman"/>
                <w:b/>
                <w:bCs/>
                <w:color w:val="auto"/>
                <w:sz w:val="24"/>
                <w:szCs w:val="24"/>
              </w:rPr>
              <w:t>表</w:t>
            </w:r>
            <w:r>
              <w:rPr>
                <w:rFonts w:hint="eastAsia" w:cs="Times New Roman"/>
                <w:b/>
                <w:bCs/>
                <w:color w:val="auto"/>
                <w:sz w:val="24"/>
                <w:szCs w:val="24"/>
                <w:lang w:val="en-US" w:eastAsia="zh-CN"/>
              </w:rPr>
              <w:t>2.11</w:t>
            </w:r>
            <w:r>
              <w:rPr>
                <w:rFonts w:hint="default" w:ascii="Times New Roman" w:hAnsi="Times New Roman" w:cs="Times New Roman"/>
                <w:b/>
                <w:bCs/>
                <w:color w:val="auto"/>
                <w:sz w:val="24"/>
                <w:szCs w:val="24"/>
              </w:rPr>
              <w:t xml:space="preserve"> </w:t>
            </w:r>
            <w:r>
              <w:rPr>
                <w:rFonts w:hint="eastAsia" w:cs="Times New Roman"/>
                <w:b/>
                <w:bCs/>
                <w:color w:val="auto"/>
                <w:sz w:val="24"/>
                <w:szCs w:val="24"/>
                <w:lang w:eastAsia="zh-CN"/>
              </w:rPr>
              <w:t>脱胶、注塑工序</w:t>
            </w:r>
            <w:r>
              <w:rPr>
                <w:rFonts w:hint="eastAsia" w:cs="Times New Roman"/>
                <w:b/>
                <w:bCs/>
                <w:color w:val="auto"/>
                <w:sz w:val="24"/>
                <w:szCs w:val="24"/>
                <w:lang w:val="en-US" w:eastAsia="zh-CN"/>
              </w:rPr>
              <w:t>1#UV光解+活性炭处理设施进出口</w:t>
            </w:r>
            <w:r>
              <w:rPr>
                <w:rFonts w:hint="default" w:ascii="Times New Roman" w:hAnsi="Times New Roman" w:cs="Times New Roman"/>
                <w:b/>
                <w:bCs/>
                <w:color w:val="auto"/>
                <w:sz w:val="24"/>
                <w:szCs w:val="24"/>
                <w:lang w:eastAsia="zh-CN"/>
              </w:rPr>
              <w:t>（</w:t>
            </w:r>
            <w:r>
              <w:rPr>
                <w:rFonts w:hint="default" w:ascii="Times New Roman" w:hAnsi="Times New Roman" w:cs="Times New Roman"/>
                <w:b/>
                <w:bCs/>
                <w:color w:val="auto"/>
                <w:sz w:val="24"/>
                <w:szCs w:val="24"/>
                <w:lang w:val="en-US" w:eastAsia="zh-CN"/>
              </w:rPr>
              <w:t>2</w:t>
            </w:r>
            <w:r>
              <w:rPr>
                <w:rFonts w:hint="eastAsia" w:ascii="Times New Roman" w:hAnsi="Times New Roman" w:cs="Times New Roman"/>
                <w:b/>
                <w:bCs/>
                <w:color w:val="auto"/>
                <w:sz w:val="24"/>
                <w:szCs w:val="24"/>
                <w:lang w:val="en-US" w:eastAsia="zh-CN"/>
              </w:rPr>
              <w:t>0</w:t>
            </w:r>
            <w:r>
              <w:rPr>
                <w:rFonts w:hint="eastAsia" w:cs="Times New Roman"/>
                <w:b/>
                <w:bCs/>
                <w:color w:val="auto"/>
                <w:sz w:val="24"/>
                <w:szCs w:val="24"/>
                <w:lang w:val="en-US" w:eastAsia="zh-CN"/>
              </w:rPr>
              <w:t>25</w:t>
            </w:r>
            <w:r>
              <w:rPr>
                <w:rFonts w:hint="eastAsia" w:ascii="Times New Roman" w:hAnsi="Times New Roman" w:cs="Times New Roman"/>
                <w:b/>
                <w:bCs/>
                <w:color w:val="auto"/>
                <w:sz w:val="24"/>
                <w:szCs w:val="24"/>
                <w:lang w:val="en-US" w:eastAsia="zh-CN"/>
              </w:rPr>
              <w:t>年</w:t>
            </w:r>
            <w:r>
              <w:rPr>
                <w:rFonts w:hint="eastAsia" w:cs="Times New Roman"/>
                <w:b/>
                <w:bCs/>
                <w:color w:val="auto"/>
                <w:sz w:val="24"/>
                <w:szCs w:val="24"/>
                <w:lang w:val="en-US" w:eastAsia="zh-CN"/>
              </w:rPr>
              <w:t>5</w:t>
            </w:r>
            <w:r>
              <w:rPr>
                <w:rFonts w:hint="default" w:ascii="Times New Roman" w:hAnsi="Times New Roman" w:cs="Times New Roman"/>
                <w:b/>
                <w:bCs/>
                <w:color w:val="auto"/>
                <w:sz w:val="24"/>
                <w:szCs w:val="24"/>
                <w:lang w:val="en-US" w:eastAsia="zh-CN"/>
              </w:rPr>
              <w:t>月</w:t>
            </w:r>
            <w:r>
              <w:rPr>
                <w:rFonts w:hint="eastAsia" w:cs="Times New Roman"/>
                <w:b/>
                <w:bCs/>
                <w:color w:val="auto"/>
                <w:sz w:val="24"/>
                <w:szCs w:val="24"/>
                <w:lang w:val="en-US" w:eastAsia="zh-CN"/>
              </w:rPr>
              <w:t>29</w:t>
            </w:r>
            <w:r>
              <w:rPr>
                <w:rFonts w:hint="default" w:ascii="Times New Roman" w:hAnsi="Times New Roman" w:cs="Times New Roman"/>
                <w:b/>
                <w:bCs/>
                <w:color w:val="auto"/>
                <w:sz w:val="24"/>
                <w:szCs w:val="24"/>
                <w:lang w:val="en-US" w:eastAsia="zh-CN"/>
              </w:rPr>
              <w:t>日</w:t>
            </w:r>
            <w:r>
              <w:rPr>
                <w:rFonts w:hint="default" w:ascii="Times New Roman" w:hAnsi="Times New Roman" w:cs="Times New Roman"/>
                <w:b/>
                <w:bCs/>
                <w:color w:val="auto"/>
                <w:sz w:val="24"/>
                <w:szCs w:val="24"/>
                <w:lang w:eastAsia="zh-CN"/>
              </w:rPr>
              <w:t>）</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070"/>
              <w:gridCol w:w="1073"/>
              <w:gridCol w:w="1073"/>
              <w:gridCol w:w="1073"/>
              <w:gridCol w:w="1073"/>
              <w:gridCol w:w="1073"/>
              <w:gridCol w:w="1074"/>
            </w:tblGrid>
            <w:tr w14:paraId="52B1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41" w:type="dxa"/>
                  <w:gridSpan w:val="2"/>
                  <w:noWrap w:val="0"/>
                  <w:vAlign w:val="center"/>
                </w:tcPr>
                <w:p w14:paraId="605B003E">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eastAsia" w:eastAsia="宋体" w:cs="Times New Roman"/>
                      <w:b w:val="0"/>
                      <w:bCs w:val="0"/>
                      <w:color w:val="auto"/>
                      <w:sz w:val="21"/>
                      <w:szCs w:val="21"/>
                      <w:lang w:eastAsia="zh-CN"/>
                    </w:rPr>
                    <w:t>项目名称</w:t>
                  </w:r>
                </w:p>
              </w:tc>
              <w:tc>
                <w:tcPr>
                  <w:tcW w:w="3219" w:type="dxa"/>
                  <w:gridSpan w:val="3"/>
                  <w:noWrap w:val="0"/>
                  <w:vAlign w:val="center"/>
                </w:tcPr>
                <w:p w14:paraId="55AC9408">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废气处理设施进口</w:t>
                  </w:r>
                </w:p>
              </w:tc>
              <w:tc>
                <w:tcPr>
                  <w:tcW w:w="3220" w:type="dxa"/>
                  <w:gridSpan w:val="3"/>
                  <w:noWrap w:val="0"/>
                  <w:vAlign w:val="center"/>
                </w:tcPr>
                <w:p w14:paraId="14FD67E3">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废气排放口</w:t>
                  </w:r>
                </w:p>
              </w:tc>
            </w:tr>
            <w:tr w14:paraId="1280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41" w:type="dxa"/>
                  <w:gridSpan w:val="2"/>
                  <w:noWrap w:val="0"/>
                  <w:vAlign w:val="center"/>
                </w:tcPr>
                <w:p w14:paraId="088B9708">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eastAsia="宋体" w:cs="Times New Roman"/>
                      <w:b w:val="0"/>
                      <w:bCs w:val="0"/>
                      <w:color w:val="auto"/>
                      <w:sz w:val="21"/>
                      <w:szCs w:val="21"/>
                      <w:lang w:val="en-US" w:eastAsia="zh-CN"/>
                    </w:rPr>
                  </w:pPr>
                  <w:r>
                    <w:rPr>
                      <w:rFonts w:hint="eastAsia" w:eastAsia="宋体" w:cs="Times New Roman"/>
                      <w:b w:val="0"/>
                      <w:bCs w:val="0"/>
                      <w:color w:val="auto"/>
                      <w:sz w:val="21"/>
                      <w:szCs w:val="21"/>
                      <w:lang w:eastAsia="zh-CN"/>
                    </w:rPr>
                    <w:t>排气筒高度</w:t>
                  </w:r>
                  <w:r>
                    <w:rPr>
                      <w:rFonts w:hint="eastAsia" w:eastAsia="宋体" w:cs="Times New Roman"/>
                      <w:b w:val="0"/>
                      <w:bCs w:val="0"/>
                      <w:color w:val="auto"/>
                      <w:sz w:val="21"/>
                      <w:szCs w:val="21"/>
                      <w:lang w:val="en-US" w:eastAsia="zh-CN"/>
                    </w:rPr>
                    <w:t>m</w:t>
                  </w:r>
                </w:p>
              </w:tc>
              <w:tc>
                <w:tcPr>
                  <w:tcW w:w="6439" w:type="dxa"/>
                  <w:gridSpan w:val="6"/>
                  <w:noWrap w:val="0"/>
                  <w:vAlign w:val="center"/>
                </w:tcPr>
                <w:p w14:paraId="3C67A839">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15</w:t>
                  </w:r>
                </w:p>
              </w:tc>
            </w:tr>
            <w:tr w14:paraId="51EB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1" w:type="dxa"/>
                  <w:gridSpan w:val="2"/>
                  <w:noWrap w:val="0"/>
                  <w:vAlign w:val="center"/>
                </w:tcPr>
                <w:p w14:paraId="4DD4C3E5">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color w:val="auto"/>
                      <w:kern w:val="2"/>
                      <w:sz w:val="21"/>
                      <w:szCs w:val="21"/>
                      <w:lang w:val="en-US" w:eastAsia="zh-CN" w:bidi="ar-SA"/>
                    </w:rPr>
                  </w:pPr>
                  <w:r>
                    <w:rPr>
                      <w:rFonts w:hint="eastAsia" w:eastAsia="宋体" w:cs="Times New Roman"/>
                      <w:b w:val="0"/>
                      <w:bCs w:val="0"/>
                      <w:color w:val="auto"/>
                      <w:sz w:val="21"/>
                      <w:szCs w:val="21"/>
                      <w:lang w:eastAsia="zh-CN"/>
                    </w:rPr>
                    <w:t>标干流量</w:t>
                  </w:r>
                  <w:r>
                    <w:rPr>
                      <w:rFonts w:hint="eastAsia" w:eastAsia="宋体" w:cs="Times New Roman"/>
                      <w:b w:val="0"/>
                      <w:bCs w:val="0"/>
                      <w:color w:val="auto"/>
                      <w:sz w:val="21"/>
                      <w:szCs w:val="21"/>
                      <w:lang w:val="en-US" w:eastAsia="zh-CN"/>
                    </w:rPr>
                    <w:t>m</w:t>
                  </w:r>
                  <w:r>
                    <w:rPr>
                      <w:rFonts w:hint="eastAsia" w:eastAsia="宋体" w:cs="Times New Roman"/>
                      <w:b w:val="0"/>
                      <w:bCs w:val="0"/>
                      <w:color w:val="auto"/>
                      <w:sz w:val="21"/>
                      <w:szCs w:val="21"/>
                      <w:vertAlign w:val="superscript"/>
                      <w:lang w:val="en-US" w:eastAsia="zh-CN"/>
                    </w:rPr>
                    <w:t>3</w:t>
                  </w:r>
                  <w:r>
                    <w:rPr>
                      <w:rFonts w:hint="eastAsia" w:eastAsia="宋体" w:cs="Times New Roman"/>
                      <w:b w:val="0"/>
                      <w:bCs w:val="0"/>
                      <w:color w:val="auto"/>
                      <w:sz w:val="21"/>
                      <w:szCs w:val="21"/>
                      <w:lang w:val="en-US" w:eastAsia="zh-CN"/>
                    </w:rPr>
                    <w:t>/h</w:t>
                  </w:r>
                </w:p>
              </w:tc>
              <w:tc>
                <w:tcPr>
                  <w:tcW w:w="1073" w:type="dxa"/>
                  <w:noWrap w:val="0"/>
                  <w:vAlign w:val="center"/>
                </w:tcPr>
                <w:p w14:paraId="55D41849">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5414</w:t>
                  </w:r>
                </w:p>
              </w:tc>
              <w:tc>
                <w:tcPr>
                  <w:tcW w:w="1073" w:type="dxa"/>
                  <w:noWrap w:val="0"/>
                  <w:vAlign w:val="center"/>
                </w:tcPr>
                <w:p w14:paraId="3217C607">
                  <w:pPr>
                    <w:pStyle w:val="43"/>
                    <w:keepNext w:val="0"/>
                    <w:keepLines w:val="0"/>
                    <w:pageBreakBefore w:val="0"/>
                    <w:widowControl w:val="0"/>
                    <w:kinsoku/>
                    <w:wordWrap/>
                    <w:overflowPunct/>
                    <w:topLinePunct w:val="0"/>
                    <w:autoSpaceDE/>
                    <w:autoSpaceDN/>
                    <w:bidi w:val="0"/>
                    <w:adjustRightInd/>
                    <w:snapToGrid w:val="0"/>
                    <w:ind w:left="86" w:leftChars="0" w:right="80" w:rightChars="0"/>
                    <w:jc w:val="center"/>
                    <w:textAlignment w:val="auto"/>
                    <w:rPr>
                      <w:rFonts w:hint="default" w:ascii="Times New Roman" w:hAnsi="Times New Roman" w:eastAsia="宋体"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5409</w:t>
                  </w:r>
                </w:p>
              </w:tc>
              <w:tc>
                <w:tcPr>
                  <w:tcW w:w="1073" w:type="dxa"/>
                  <w:noWrap w:val="0"/>
                  <w:vAlign w:val="center"/>
                </w:tcPr>
                <w:p w14:paraId="0298AD28">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5576</w:t>
                  </w:r>
                </w:p>
              </w:tc>
              <w:tc>
                <w:tcPr>
                  <w:tcW w:w="1073" w:type="dxa"/>
                  <w:noWrap w:val="0"/>
                  <w:vAlign w:val="center"/>
                </w:tcPr>
                <w:p w14:paraId="5047A250">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6134</w:t>
                  </w:r>
                </w:p>
              </w:tc>
              <w:tc>
                <w:tcPr>
                  <w:tcW w:w="1073" w:type="dxa"/>
                  <w:noWrap w:val="0"/>
                  <w:vAlign w:val="center"/>
                </w:tcPr>
                <w:p w14:paraId="58868515">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6028</w:t>
                  </w:r>
                </w:p>
              </w:tc>
              <w:tc>
                <w:tcPr>
                  <w:tcW w:w="1074" w:type="dxa"/>
                  <w:noWrap w:val="0"/>
                  <w:vAlign w:val="center"/>
                </w:tcPr>
                <w:p w14:paraId="2A284E89">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5970</w:t>
                  </w:r>
                </w:p>
              </w:tc>
            </w:tr>
            <w:tr w14:paraId="7548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1" w:type="dxa"/>
                  <w:vMerge w:val="restart"/>
                  <w:noWrap w:val="0"/>
                  <w:vAlign w:val="center"/>
                </w:tcPr>
                <w:p w14:paraId="05D56FF6">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sz w:val="21"/>
                      <w:szCs w:val="21"/>
                      <w:lang w:eastAsia="zh-CN"/>
                    </w:rPr>
                    <w:t>挥发性有机物</w:t>
                  </w:r>
                </w:p>
              </w:tc>
              <w:tc>
                <w:tcPr>
                  <w:tcW w:w="1070" w:type="dxa"/>
                  <w:noWrap w:val="0"/>
                  <w:vAlign w:val="center"/>
                </w:tcPr>
                <w:p w14:paraId="63246EC6">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实测浓度mg/m</w:t>
                  </w:r>
                  <w:r>
                    <w:rPr>
                      <w:rFonts w:hint="eastAsia" w:cs="Times New Roman"/>
                      <w:color w:val="auto"/>
                      <w:kern w:val="2"/>
                      <w:sz w:val="21"/>
                      <w:szCs w:val="21"/>
                      <w:vertAlign w:val="superscript"/>
                      <w:lang w:val="en-US" w:eastAsia="zh-CN" w:bidi="ar-SA"/>
                    </w:rPr>
                    <w:t>3</w:t>
                  </w:r>
                </w:p>
              </w:tc>
              <w:tc>
                <w:tcPr>
                  <w:tcW w:w="1073" w:type="dxa"/>
                  <w:noWrap w:val="0"/>
                  <w:vAlign w:val="center"/>
                </w:tcPr>
                <w:p w14:paraId="3BBE3E60">
                  <w:pPr>
                    <w:keepNext w:val="0"/>
                    <w:keepLines w:val="0"/>
                    <w:pageBreakBefore w:val="0"/>
                    <w:widowControl w:val="0"/>
                    <w:kinsoku/>
                    <w:wordWrap/>
                    <w:overflowPunct/>
                    <w:topLinePunct w:val="0"/>
                    <w:bidi w:val="0"/>
                    <w:adjustRightInd w:val="0"/>
                    <w:snapToGrid w:val="0"/>
                    <w:spacing w:line="240" w:lineRule="auto"/>
                    <w:ind w:right="0"/>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8.54</w:t>
                  </w:r>
                </w:p>
              </w:tc>
              <w:tc>
                <w:tcPr>
                  <w:tcW w:w="1073" w:type="dxa"/>
                  <w:noWrap w:val="0"/>
                  <w:vAlign w:val="center"/>
                </w:tcPr>
                <w:p w14:paraId="3017DAA9">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eastAsia="宋体"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6.48</w:t>
                  </w:r>
                </w:p>
              </w:tc>
              <w:tc>
                <w:tcPr>
                  <w:tcW w:w="1073" w:type="dxa"/>
                  <w:noWrap w:val="0"/>
                  <w:vAlign w:val="center"/>
                </w:tcPr>
                <w:p w14:paraId="7453E5EC">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5.30</w:t>
                  </w:r>
                </w:p>
              </w:tc>
              <w:tc>
                <w:tcPr>
                  <w:tcW w:w="1073" w:type="dxa"/>
                  <w:noWrap w:val="0"/>
                  <w:vAlign w:val="center"/>
                </w:tcPr>
                <w:p w14:paraId="7DE8AABB">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1.24</w:t>
                  </w:r>
                </w:p>
              </w:tc>
              <w:tc>
                <w:tcPr>
                  <w:tcW w:w="1073" w:type="dxa"/>
                  <w:noWrap w:val="0"/>
                  <w:vAlign w:val="center"/>
                </w:tcPr>
                <w:p w14:paraId="72E6CD09">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0.523</w:t>
                  </w:r>
                </w:p>
              </w:tc>
              <w:tc>
                <w:tcPr>
                  <w:tcW w:w="1074" w:type="dxa"/>
                  <w:noWrap w:val="0"/>
                  <w:vAlign w:val="center"/>
                </w:tcPr>
                <w:p w14:paraId="164D429F">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1.32</w:t>
                  </w:r>
                </w:p>
              </w:tc>
            </w:tr>
            <w:tr w14:paraId="17A39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1" w:type="dxa"/>
                  <w:vMerge w:val="continue"/>
                  <w:noWrap w:val="0"/>
                  <w:vAlign w:val="center"/>
                </w:tcPr>
                <w:p w14:paraId="59D63699">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color w:val="auto"/>
                      <w:kern w:val="2"/>
                      <w:sz w:val="21"/>
                      <w:szCs w:val="21"/>
                      <w:lang w:val="en-US" w:eastAsia="zh-CN" w:bidi="ar-SA"/>
                    </w:rPr>
                  </w:pPr>
                </w:p>
              </w:tc>
              <w:tc>
                <w:tcPr>
                  <w:tcW w:w="1070" w:type="dxa"/>
                  <w:noWrap w:val="0"/>
                  <w:vAlign w:val="center"/>
                </w:tcPr>
                <w:p w14:paraId="5789EE47">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排放速率kg/h</w:t>
                  </w:r>
                </w:p>
              </w:tc>
              <w:tc>
                <w:tcPr>
                  <w:tcW w:w="1073" w:type="dxa"/>
                  <w:shd w:val="clear" w:color="auto" w:fill="auto"/>
                  <w:noWrap w:val="0"/>
                  <w:vAlign w:val="center"/>
                </w:tcPr>
                <w:p w14:paraId="5E9A995A">
                  <w:pPr>
                    <w:autoSpaceDE w:val="0"/>
                    <w:autoSpaceDN w:val="0"/>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b w:val="0"/>
                      <w:bCs w:val="0"/>
                      <w:color w:val="auto"/>
                      <w:sz w:val="21"/>
                      <w:szCs w:val="21"/>
                      <w:lang w:val="en-US" w:eastAsia="zh-CN"/>
                    </w:rPr>
                    <w:t>4.62</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-2</w:t>
                  </w:r>
                </w:p>
              </w:tc>
              <w:tc>
                <w:tcPr>
                  <w:tcW w:w="1073" w:type="dxa"/>
                  <w:shd w:val="clear" w:color="auto" w:fill="auto"/>
                  <w:noWrap w:val="0"/>
                  <w:vAlign w:val="center"/>
                </w:tcPr>
                <w:p w14:paraId="09C92FE3">
                  <w:pPr>
                    <w:autoSpaceDE w:val="0"/>
                    <w:autoSpaceDN w:val="0"/>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b w:val="0"/>
                      <w:bCs w:val="0"/>
                      <w:color w:val="auto"/>
                      <w:sz w:val="21"/>
                      <w:szCs w:val="21"/>
                      <w:lang w:val="en-US" w:eastAsia="zh-CN"/>
                    </w:rPr>
                    <w:t>3.51</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-2</w:t>
                  </w:r>
                </w:p>
              </w:tc>
              <w:tc>
                <w:tcPr>
                  <w:tcW w:w="1073" w:type="dxa"/>
                  <w:shd w:val="clear" w:color="auto" w:fill="auto"/>
                  <w:noWrap w:val="0"/>
                  <w:vAlign w:val="center"/>
                </w:tcPr>
                <w:p w14:paraId="5D3B1933">
                  <w:pPr>
                    <w:autoSpaceDE w:val="0"/>
                    <w:autoSpaceDN w:val="0"/>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b w:val="0"/>
                      <w:bCs w:val="0"/>
                      <w:color w:val="auto"/>
                      <w:sz w:val="21"/>
                      <w:szCs w:val="21"/>
                      <w:lang w:val="en-US" w:eastAsia="zh-CN"/>
                    </w:rPr>
                    <w:t>2.96</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-2</w:t>
                  </w:r>
                </w:p>
              </w:tc>
              <w:tc>
                <w:tcPr>
                  <w:tcW w:w="1073" w:type="dxa"/>
                  <w:shd w:val="clear" w:color="auto" w:fill="auto"/>
                  <w:noWrap w:val="0"/>
                  <w:vAlign w:val="center"/>
                </w:tcPr>
                <w:p w14:paraId="185C8A86">
                  <w:pPr>
                    <w:autoSpaceDE w:val="0"/>
                    <w:autoSpaceDN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7.61</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-3</w:t>
                  </w:r>
                </w:p>
              </w:tc>
              <w:tc>
                <w:tcPr>
                  <w:tcW w:w="1073" w:type="dxa"/>
                  <w:shd w:val="clear" w:color="auto" w:fill="auto"/>
                  <w:noWrap w:val="0"/>
                  <w:vAlign w:val="center"/>
                </w:tcPr>
                <w:p w14:paraId="3F7C9B72">
                  <w:pPr>
                    <w:autoSpaceDE w:val="0"/>
                    <w:autoSpaceDN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3.15</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-3</w:t>
                  </w:r>
                </w:p>
              </w:tc>
              <w:tc>
                <w:tcPr>
                  <w:tcW w:w="1074" w:type="dxa"/>
                  <w:shd w:val="clear" w:color="auto" w:fill="auto"/>
                  <w:noWrap w:val="0"/>
                  <w:vAlign w:val="center"/>
                </w:tcPr>
                <w:p w14:paraId="62F4DB61">
                  <w:pPr>
                    <w:autoSpaceDE w:val="0"/>
                    <w:autoSpaceDN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7.88</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-3</w:t>
                  </w:r>
                </w:p>
              </w:tc>
            </w:tr>
          </w:tbl>
          <w:p w14:paraId="345267F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center"/>
              <w:textAlignment w:val="auto"/>
              <w:rPr>
                <w:rFonts w:hint="eastAsia" w:ascii="Times New Roman" w:hAnsi="Times New Roman" w:eastAsia="宋体" w:cs="Times New Roman"/>
                <w:color w:val="auto"/>
                <w:sz w:val="24"/>
                <w:szCs w:val="24"/>
                <w:lang w:eastAsia="zh-CN"/>
              </w:rPr>
            </w:pPr>
            <w:r>
              <w:rPr>
                <w:rFonts w:hint="default" w:ascii="Times New Roman" w:hAnsi="Times New Roman" w:cs="Times New Roman"/>
                <w:b/>
                <w:bCs/>
                <w:color w:val="auto"/>
                <w:sz w:val="24"/>
                <w:szCs w:val="24"/>
              </w:rPr>
              <w:t>表</w:t>
            </w:r>
            <w:r>
              <w:rPr>
                <w:rFonts w:hint="eastAsia" w:cs="Times New Roman"/>
                <w:b/>
                <w:bCs/>
                <w:color w:val="auto"/>
                <w:sz w:val="24"/>
                <w:szCs w:val="24"/>
                <w:lang w:val="en-US" w:eastAsia="zh-CN"/>
              </w:rPr>
              <w:t>2.12</w:t>
            </w:r>
            <w:r>
              <w:rPr>
                <w:rFonts w:hint="default" w:ascii="Times New Roman" w:hAnsi="Times New Roman" w:cs="Times New Roman"/>
                <w:b/>
                <w:bCs/>
                <w:color w:val="auto"/>
                <w:sz w:val="24"/>
                <w:szCs w:val="24"/>
              </w:rPr>
              <w:t xml:space="preserve"> </w:t>
            </w:r>
            <w:r>
              <w:rPr>
                <w:rFonts w:hint="eastAsia" w:cs="Times New Roman"/>
                <w:b/>
                <w:bCs/>
                <w:color w:val="auto"/>
                <w:sz w:val="24"/>
                <w:szCs w:val="24"/>
                <w:lang w:eastAsia="zh-CN"/>
              </w:rPr>
              <w:t>脱胶、注塑工序</w:t>
            </w:r>
            <w:r>
              <w:rPr>
                <w:rFonts w:hint="eastAsia" w:cs="Times New Roman"/>
                <w:b/>
                <w:bCs/>
                <w:color w:val="auto"/>
                <w:sz w:val="24"/>
                <w:szCs w:val="24"/>
                <w:lang w:val="en-US" w:eastAsia="zh-CN"/>
              </w:rPr>
              <w:t>2#UV光解+活性炭处理设施进出口</w:t>
            </w:r>
            <w:r>
              <w:rPr>
                <w:rFonts w:hint="default" w:ascii="Times New Roman" w:hAnsi="Times New Roman" w:cs="Times New Roman"/>
                <w:b/>
                <w:bCs/>
                <w:color w:val="auto"/>
                <w:sz w:val="24"/>
                <w:szCs w:val="24"/>
                <w:lang w:eastAsia="zh-CN"/>
              </w:rPr>
              <w:t>（</w:t>
            </w:r>
            <w:r>
              <w:rPr>
                <w:rFonts w:hint="eastAsia" w:ascii="Times New Roman" w:hAnsi="Times New Roman" w:cs="Times New Roman"/>
                <w:b/>
                <w:bCs/>
                <w:color w:val="auto"/>
                <w:sz w:val="24"/>
                <w:szCs w:val="24"/>
                <w:lang w:val="en-US" w:eastAsia="zh-CN"/>
              </w:rPr>
              <w:t>20</w:t>
            </w:r>
            <w:r>
              <w:rPr>
                <w:rFonts w:hint="eastAsia" w:cs="Times New Roman"/>
                <w:b/>
                <w:bCs/>
                <w:color w:val="auto"/>
                <w:sz w:val="24"/>
                <w:szCs w:val="24"/>
                <w:lang w:val="en-US" w:eastAsia="zh-CN"/>
              </w:rPr>
              <w:t>25</w:t>
            </w:r>
            <w:r>
              <w:rPr>
                <w:rFonts w:hint="eastAsia" w:ascii="Times New Roman" w:hAnsi="Times New Roman" w:cs="Times New Roman"/>
                <w:b/>
                <w:bCs/>
                <w:color w:val="auto"/>
                <w:sz w:val="24"/>
                <w:szCs w:val="24"/>
                <w:lang w:val="en-US" w:eastAsia="zh-CN"/>
              </w:rPr>
              <w:t>年</w:t>
            </w:r>
            <w:r>
              <w:rPr>
                <w:rFonts w:hint="eastAsia" w:cs="Times New Roman"/>
                <w:b/>
                <w:bCs/>
                <w:color w:val="auto"/>
                <w:sz w:val="24"/>
                <w:szCs w:val="24"/>
                <w:lang w:val="en-US" w:eastAsia="zh-CN"/>
              </w:rPr>
              <w:t>5</w:t>
            </w:r>
            <w:r>
              <w:rPr>
                <w:rFonts w:hint="default" w:ascii="Times New Roman" w:hAnsi="Times New Roman" w:cs="Times New Roman"/>
                <w:b/>
                <w:bCs/>
                <w:color w:val="auto"/>
                <w:sz w:val="24"/>
                <w:szCs w:val="24"/>
                <w:lang w:val="en-US" w:eastAsia="zh-CN"/>
              </w:rPr>
              <w:t>月</w:t>
            </w:r>
            <w:r>
              <w:rPr>
                <w:rFonts w:hint="eastAsia" w:cs="Times New Roman"/>
                <w:b/>
                <w:bCs/>
                <w:color w:val="auto"/>
                <w:sz w:val="24"/>
                <w:szCs w:val="24"/>
                <w:lang w:val="en-US" w:eastAsia="zh-CN"/>
              </w:rPr>
              <w:t>29</w:t>
            </w:r>
            <w:r>
              <w:rPr>
                <w:rFonts w:hint="default" w:ascii="Times New Roman" w:hAnsi="Times New Roman" w:cs="Times New Roman"/>
                <w:b/>
                <w:bCs/>
                <w:color w:val="auto"/>
                <w:sz w:val="24"/>
                <w:szCs w:val="24"/>
                <w:lang w:val="en-US" w:eastAsia="zh-CN"/>
              </w:rPr>
              <w:t>日</w:t>
            </w:r>
            <w:r>
              <w:rPr>
                <w:rFonts w:hint="default" w:ascii="Times New Roman" w:hAnsi="Times New Roman" w:cs="Times New Roman"/>
                <w:b/>
                <w:bCs/>
                <w:color w:val="auto"/>
                <w:sz w:val="24"/>
                <w:szCs w:val="24"/>
                <w:lang w:eastAsia="zh-CN"/>
              </w:rPr>
              <w:t>）</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070"/>
              <w:gridCol w:w="1073"/>
              <w:gridCol w:w="1073"/>
              <w:gridCol w:w="1073"/>
              <w:gridCol w:w="1073"/>
              <w:gridCol w:w="1073"/>
              <w:gridCol w:w="1074"/>
            </w:tblGrid>
            <w:tr w14:paraId="36BA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41" w:type="dxa"/>
                  <w:gridSpan w:val="2"/>
                  <w:noWrap w:val="0"/>
                  <w:vAlign w:val="center"/>
                </w:tcPr>
                <w:p w14:paraId="70323A79">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eastAsia" w:eastAsia="宋体" w:cs="Times New Roman"/>
                      <w:b w:val="0"/>
                      <w:bCs w:val="0"/>
                      <w:color w:val="auto"/>
                      <w:sz w:val="21"/>
                      <w:szCs w:val="21"/>
                      <w:lang w:eastAsia="zh-CN"/>
                    </w:rPr>
                    <w:t>项目名称</w:t>
                  </w:r>
                </w:p>
              </w:tc>
              <w:tc>
                <w:tcPr>
                  <w:tcW w:w="3219" w:type="dxa"/>
                  <w:gridSpan w:val="3"/>
                  <w:noWrap w:val="0"/>
                  <w:vAlign w:val="center"/>
                </w:tcPr>
                <w:p w14:paraId="7BFE3A13">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废气处理设施进口</w:t>
                  </w:r>
                </w:p>
              </w:tc>
              <w:tc>
                <w:tcPr>
                  <w:tcW w:w="3220" w:type="dxa"/>
                  <w:gridSpan w:val="3"/>
                  <w:noWrap w:val="0"/>
                  <w:vAlign w:val="center"/>
                </w:tcPr>
                <w:p w14:paraId="38E54B97">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废气排放口</w:t>
                  </w:r>
                </w:p>
              </w:tc>
            </w:tr>
            <w:tr w14:paraId="7E222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41" w:type="dxa"/>
                  <w:gridSpan w:val="2"/>
                  <w:noWrap w:val="0"/>
                  <w:vAlign w:val="center"/>
                </w:tcPr>
                <w:p w14:paraId="7498D622">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eastAsia="宋体" w:cs="Times New Roman"/>
                      <w:b w:val="0"/>
                      <w:bCs w:val="0"/>
                      <w:color w:val="auto"/>
                      <w:sz w:val="21"/>
                      <w:szCs w:val="21"/>
                      <w:lang w:val="en-US" w:eastAsia="zh-CN"/>
                    </w:rPr>
                  </w:pPr>
                  <w:r>
                    <w:rPr>
                      <w:rFonts w:hint="eastAsia" w:eastAsia="宋体" w:cs="Times New Roman"/>
                      <w:b w:val="0"/>
                      <w:bCs w:val="0"/>
                      <w:color w:val="auto"/>
                      <w:sz w:val="21"/>
                      <w:szCs w:val="21"/>
                      <w:lang w:eastAsia="zh-CN"/>
                    </w:rPr>
                    <w:t>排气筒高度</w:t>
                  </w:r>
                  <w:r>
                    <w:rPr>
                      <w:rFonts w:hint="eastAsia" w:eastAsia="宋体" w:cs="Times New Roman"/>
                      <w:b w:val="0"/>
                      <w:bCs w:val="0"/>
                      <w:color w:val="auto"/>
                      <w:sz w:val="21"/>
                      <w:szCs w:val="21"/>
                      <w:lang w:val="en-US" w:eastAsia="zh-CN"/>
                    </w:rPr>
                    <w:t>m</w:t>
                  </w:r>
                </w:p>
              </w:tc>
              <w:tc>
                <w:tcPr>
                  <w:tcW w:w="6439" w:type="dxa"/>
                  <w:gridSpan w:val="6"/>
                  <w:noWrap w:val="0"/>
                  <w:vAlign w:val="center"/>
                </w:tcPr>
                <w:p w14:paraId="6F666585">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15</w:t>
                  </w:r>
                </w:p>
              </w:tc>
            </w:tr>
            <w:tr w14:paraId="6CD7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1" w:type="dxa"/>
                  <w:gridSpan w:val="2"/>
                  <w:noWrap w:val="0"/>
                  <w:vAlign w:val="center"/>
                </w:tcPr>
                <w:p w14:paraId="1FD5B33E">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color w:val="auto"/>
                      <w:kern w:val="2"/>
                      <w:sz w:val="21"/>
                      <w:szCs w:val="21"/>
                      <w:lang w:val="en-US" w:eastAsia="zh-CN" w:bidi="ar-SA"/>
                    </w:rPr>
                  </w:pPr>
                  <w:r>
                    <w:rPr>
                      <w:rFonts w:hint="eastAsia" w:eastAsia="宋体" w:cs="Times New Roman"/>
                      <w:b w:val="0"/>
                      <w:bCs w:val="0"/>
                      <w:color w:val="auto"/>
                      <w:sz w:val="21"/>
                      <w:szCs w:val="21"/>
                      <w:lang w:eastAsia="zh-CN"/>
                    </w:rPr>
                    <w:t>标干流量</w:t>
                  </w:r>
                  <w:r>
                    <w:rPr>
                      <w:rFonts w:hint="eastAsia" w:eastAsia="宋体" w:cs="Times New Roman"/>
                      <w:b w:val="0"/>
                      <w:bCs w:val="0"/>
                      <w:color w:val="auto"/>
                      <w:sz w:val="21"/>
                      <w:szCs w:val="21"/>
                      <w:lang w:val="en-US" w:eastAsia="zh-CN"/>
                    </w:rPr>
                    <w:t>m</w:t>
                  </w:r>
                  <w:r>
                    <w:rPr>
                      <w:rFonts w:hint="eastAsia" w:eastAsia="宋体" w:cs="Times New Roman"/>
                      <w:b w:val="0"/>
                      <w:bCs w:val="0"/>
                      <w:color w:val="auto"/>
                      <w:sz w:val="21"/>
                      <w:szCs w:val="21"/>
                      <w:vertAlign w:val="superscript"/>
                      <w:lang w:val="en-US" w:eastAsia="zh-CN"/>
                    </w:rPr>
                    <w:t>3</w:t>
                  </w:r>
                  <w:r>
                    <w:rPr>
                      <w:rFonts w:hint="eastAsia" w:eastAsia="宋体" w:cs="Times New Roman"/>
                      <w:b w:val="0"/>
                      <w:bCs w:val="0"/>
                      <w:color w:val="auto"/>
                      <w:sz w:val="21"/>
                      <w:szCs w:val="21"/>
                      <w:lang w:val="en-US" w:eastAsia="zh-CN"/>
                    </w:rPr>
                    <w:t>/h</w:t>
                  </w:r>
                </w:p>
              </w:tc>
              <w:tc>
                <w:tcPr>
                  <w:tcW w:w="1073" w:type="dxa"/>
                  <w:noWrap w:val="0"/>
                  <w:vAlign w:val="center"/>
                </w:tcPr>
                <w:p w14:paraId="6ACA5379">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5584</w:t>
                  </w:r>
                </w:p>
              </w:tc>
              <w:tc>
                <w:tcPr>
                  <w:tcW w:w="1073" w:type="dxa"/>
                  <w:noWrap w:val="0"/>
                  <w:vAlign w:val="center"/>
                </w:tcPr>
                <w:p w14:paraId="2DE7C60D">
                  <w:pPr>
                    <w:pStyle w:val="43"/>
                    <w:keepNext w:val="0"/>
                    <w:keepLines w:val="0"/>
                    <w:pageBreakBefore w:val="0"/>
                    <w:widowControl w:val="0"/>
                    <w:kinsoku/>
                    <w:wordWrap/>
                    <w:overflowPunct/>
                    <w:topLinePunct w:val="0"/>
                    <w:autoSpaceDE/>
                    <w:autoSpaceDN/>
                    <w:bidi w:val="0"/>
                    <w:adjustRightInd/>
                    <w:snapToGrid w:val="0"/>
                    <w:ind w:left="86" w:leftChars="0" w:right="80" w:rightChars="0"/>
                    <w:jc w:val="center"/>
                    <w:textAlignment w:val="auto"/>
                    <w:rPr>
                      <w:rFonts w:hint="default" w:ascii="Times New Roman" w:hAnsi="Times New Roman" w:eastAsia="宋体"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5581</w:t>
                  </w:r>
                </w:p>
              </w:tc>
              <w:tc>
                <w:tcPr>
                  <w:tcW w:w="1073" w:type="dxa"/>
                  <w:noWrap w:val="0"/>
                  <w:vAlign w:val="center"/>
                </w:tcPr>
                <w:p w14:paraId="28874105">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5751</w:t>
                  </w:r>
                </w:p>
              </w:tc>
              <w:tc>
                <w:tcPr>
                  <w:tcW w:w="1073" w:type="dxa"/>
                  <w:noWrap w:val="0"/>
                  <w:vAlign w:val="center"/>
                </w:tcPr>
                <w:p w14:paraId="00FE74E5">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6012</w:t>
                  </w:r>
                </w:p>
              </w:tc>
              <w:tc>
                <w:tcPr>
                  <w:tcW w:w="1073" w:type="dxa"/>
                  <w:noWrap w:val="0"/>
                  <w:vAlign w:val="center"/>
                </w:tcPr>
                <w:p w14:paraId="2C079A3C">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6538</w:t>
                  </w:r>
                </w:p>
              </w:tc>
              <w:tc>
                <w:tcPr>
                  <w:tcW w:w="1074" w:type="dxa"/>
                  <w:noWrap w:val="0"/>
                  <w:vAlign w:val="center"/>
                </w:tcPr>
                <w:p w14:paraId="780C3B64">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6088</w:t>
                  </w:r>
                </w:p>
              </w:tc>
            </w:tr>
            <w:tr w14:paraId="3F79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1" w:type="dxa"/>
                  <w:vMerge w:val="restart"/>
                  <w:noWrap w:val="0"/>
                  <w:vAlign w:val="center"/>
                </w:tcPr>
                <w:p w14:paraId="61C40B8A">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sz w:val="21"/>
                      <w:szCs w:val="21"/>
                      <w:lang w:eastAsia="zh-CN"/>
                    </w:rPr>
                    <w:t>挥发性有机物</w:t>
                  </w:r>
                </w:p>
              </w:tc>
              <w:tc>
                <w:tcPr>
                  <w:tcW w:w="1070" w:type="dxa"/>
                  <w:noWrap w:val="0"/>
                  <w:vAlign w:val="center"/>
                </w:tcPr>
                <w:p w14:paraId="0F7F83FB">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实测浓度mg/m</w:t>
                  </w:r>
                  <w:r>
                    <w:rPr>
                      <w:rFonts w:hint="eastAsia" w:cs="Times New Roman"/>
                      <w:color w:val="auto"/>
                      <w:kern w:val="2"/>
                      <w:sz w:val="21"/>
                      <w:szCs w:val="21"/>
                      <w:vertAlign w:val="superscript"/>
                      <w:lang w:val="en-US" w:eastAsia="zh-CN" w:bidi="ar-SA"/>
                    </w:rPr>
                    <w:t>3</w:t>
                  </w:r>
                </w:p>
              </w:tc>
              <w:tc>
                <w:tcPr>
                  <w:tcW w:w="1073" w:type="dxa"/>
                  <w:noWrap w:val="0"/>
                  <w:vAlign w:val="center"/>
                </w:tcPr>
                <w:p w14:paraId="4DC0856A">
                  <w:pPr>
                    <w:keepNext w:val="0"/>
                    <w:keepLines w:val="0"/>
                    <w:pageBreakBefore w:val="0"/>
                    <w:widowControl w:val="0"/>
                    <w:kinsoku/>
                    <w:wordWrap/>
                    <w:overflowPunct/>
                    <w:topLinePunct w:val="0"/>
                    <w:bidi w:val="0"/>
                    <w:adjustRightInd w:val="0"/>
                    <w:snapToGrid w:val="0"/>
                    <w:spacing w:line="240" w:lineRule="auto"/>
                    <w:ind w:right="0"/>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6.70</w:t>
                  </w:r>
                </w:p>
              </w:tc>
              <w:tc>
                <w:tcPr>
                  <w:tcW w:w="1073" w:type="dxa"/>
                  <w:noWrap w:val="0"/>
                  <w:vAlign w:val="center"/>
                </w:tcPr>
                <w:p w14:paraId="5744F445">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eastAsia="宋体"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5.08</w:t>
                  </w:r>
                </w:p>
              </w:tc>
              <w:tc>
                <w:tcPr>
                  <w:tcW w:w="1073" w:type="dxa"/>
                  <w:noWrap w:val="0"/>
                  <w:vAlign w:val="center"/>
                </w:tcPr>
                <w:p w14:paraId="06C0B746">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4.22</w:t>
                  </w:r>
                </w:p>
              </w:tc>
              <w:tc>
                <w:tcPr>
                  <w:tcW w:w="1073" w:type="dxa"/>
                  <w:noWrap w:val="0"/>
                  <w:vAlign w:val="center"/>
                </w:tcPr>
                <w:p w14:paraId="3C676274">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0.372</w:t>
                  </w:r>
                </w:p>
              </w:tc>
              <w:tc>
                <w:tcPr>
                  <w:tcW w:w="1073" w:type="dxa"/>
                  <w:noWrap w:val="0"/>
                  <w:vAlign w:val="center"/>
                </w:tcPr>
                <w:p w14:paraId="0873179B">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0.616</w:t>
                  </w:r>
                </w:p>
              </w:tc>
              <w:tc>
                <w:tcPr>
                  <w:tcW w:w="1074" w:type="dxa"/>
                  <w:noWrap w:val="0"/>
                  <w:vAlign w:val="center"/>
                </w:tcPr>
                <w:p w14:paraId="520C27F2">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0.440</w:t>
                  </w:r>
                </w:p>
              </w:tc>
            </w:tr>
            <w:tr w14:paraId="574F1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1" w:type="dxa"/>
                  <w:vMerge w:val="continue"/>
                  <w:noWrap w:val="0"/>
                  <w:vAlign w:val="center"/>
                </w:tcPr>
                <w:p w14:paraId="4BE93DEE">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color w:val="auto"/>
                      <w:kern w:val="2"/>
                      <w:sz w:val="21"/>
                      <w:szCs w:val="21"/>
                      <w:lang w:val="en-US" w:eastAsia="zh-CN" w:bidi="ar-SA"/>
                    </w:rPr>
                  </w:pPr>
                </w:p>
              </w:tc>
              <w:tc>
                <w:tcPr>
                  <w:tcW w:w="1070" w:type="dxa"/>
                  <w:noWrap w:val="0"/>
                  <w:vAlign w:val="center"/>
                </w:tcPr>
                <w:p w14:paraId="2A989DA4">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排放速率kg/h</w:t>
                  </w:r>
                </w:p>
              </w:tc>
              <w:tc>
                <w:tcPr>
                  <w:tcW w:w="1073" w:type="dxa"/>
                  <w:shd w:val="clear" w:color="auto" w:fill="auto"/>
                  <w:noWrap w:val="0"/>
                  <w:vAlign w:val="center"/>
                </w:tcPr>
                <w:p w14:paraId="0700AF30">
                  <w:pPr>
                    <w:autoSpaceDE w:val="0"/>
                    <w:autoSpaceDN w:val="0"/>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b w:val="0"/>
                      <w:bCs w:val="0"/>
                      <w:color w:val="auto"/>
                      <w:sz w:val="21"/>
                      <w:szCs w:val="21"/>
                      <w:lang w:val="en-US" w:eastAsia="zh-CN"/>
                    </w:rPr>
                    <w:t>3.74</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-2</w:t>
                  </w:r>
                </w:p>
              </w:tc>
              <w:tc>
                <w:tcPr>
                  <w:tcW w:w="1073" w:type="dxa"/>
                  <w:shd w:val="clear" w:color="auto" w:fill="auto"/>
                  <w:noWrap w:val="0"/>
                  <w:vAlign w:val="center"/>
                </w:tcPr>
                <w:p w14:paraId="64FA4064">
                  <w:pPr>
                    <w:autoSpaceDE w:val="0"/>
                    <w:autoSpaceDN w:val="0"/>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b w:val="0"/>
                      <w:bCs w:val="0"/>
                      <w:color w:val="auto"/>
                      <w:sz w:val="21"/>
                      <w:szCs w:val="21"/>
                      <w:lang w:val="en-US" w:eastAsia="zh-CN"/>
                    </w:rPr>
                    <w:t>2.84</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-2</w:t>
                  </w:r>
                </w:p>
              </w:tc>
              <w:tc>
                <w:tcPr>
                  <w:tcW w:w="1073" w:type="dxa"/>
                  <w:shd w:val="clear" w:color="auto" w:fill="auto"/>
                  <w:noWrap w:val="0"/>
                  <w:vAlign w:val="center"/>
                </w:tcPr>
                <w:p w14:paraId="36F8421E">
                  <w:pPr>
                    <w:autoSpaceDE w:val="0"/>
                    <w:autoSpaceDN w:val="0"/>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b w:val="0"/>
                      <w:bCs w:val="0"/>
                      <w:color w:val="auto"/>
                      <w:sz w:val="21"/>
                      <w:szCs w:val="21"/>
                      <w:lang w:val="en-US" w:eastAsia="zh-CN"/>
                    </w:rPr>
                    <w:t>2.43</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-2</w:t>
                  </w:r>
                </w:p>
              </w:tc>
              <w:tc>
                <w:tcPr>
                  <w:tcW w:w="1073" w:type="dxa"/>
                  <w:shd w:val="clear" w:color="auto" w:fill="auto"/>
                  <w:noWrap w:val="0"/>
                  <w:vAlign w:val="center"/>
                </w:tcPr>
                <w:p w14:paraId="6C66DC9D">
                  <w:pPr>
                    <w:autoSpaceDE w:val="0"/>
                    <w:autoSpaceDN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2.24</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-3</w:t>
                  </w:r>
                </w:p>
              </w:tc>
              <w:tc>
                <w:tcPr>
                  <w:tcW w:w="1073" w:type="dxa"/>
                  <w:shd w:val="clear" w:color="auto" w:fill="auto"/>
                  <w:noWrap w:val="0"/>
                  <w:vAlign w:val="center"/>
                </w:tcPr>
                <w:p w14:paraId="571D0D75">
                  <w:pPr>
                    <w:autoSpaceDE w:val="0"/>
                    <w:autoSpaceDN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4.03</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-3</w:t>
                  </w:r>
                </w:p>
              </w:tc>
              <w:tc>
                <w:tcPr>
                  <w:tcW w:w="1074" w:type="dxa"/>
                  <w:shd w:val="clear" w:color="auto" w:fill="auto"/>
                  <w:noWrap w:val="0"/>
                  <w:vAlign w:val="center"/>
                </w:tcPr>
                <w:p w14:paraId="37E6AD4B">
                  <w:pPr>
                    <w:autoSpaceDE w:val="0"/>
                    <w:autoSpaceDN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2.68</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-3</w:t>
                  </w:r>
                </w:p>
              </w:tc>
            </w:tr>
          </w:tbl>
          <w:p w14:paraId="4D10DBF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center"/>
              <w:textAlignment w:val="auto"/>
              <w:rPr>
                <w:rFonts w:hint="eastAsia" w:ascii="Times New Roman" w:hAnsi="Times New Roman" w:eastAsia="宋体" w:cs="Times New Roman"/>
                <w:color w:val="auto"/>
                <w:sz w:val="24"/>
                <w:szCs w:val="24"/>
                <w:lang w:eastAsia="zh-CN"/>
              </w:rPr>
            </w:pPr>
            <w:r>
              <w:rPr>
                <w:rFonts w:hint="default" w:ascii="Times New Roman" w:hAnsi="Times New Roman" w:cs="Times New Roman"/>
                <w:b/>
                <w:bCs/>
                <w:color w:val="auto"/>
                <w:sz w:val="24"/>
                <w:szCs w:val="24"/>
              </w:rPr>
              <w:t>表</w:t>
            </w:r>
            <w:r>
              <w:rPr>
                <w:rFonts w:hint="eastAsia" w:cs="Times New Roman"/>
                <w:b/>
                <w:bCs/>
                <w:color w:val="auto"/>
                <w:sz w:val="24"/>
                <w:szCs w:val="24"/>
                <w:lang w:val="en-US" w:eastAsia="zh-CN"/>
              </w:rPr>
              <w:t>2.13</w:t>
            </w:r>
            <w:r>
              <w:rPr>
                <w:rFonts w:hint="default" w:ascii="Times New Roman" w:hAnsi="Times New Roman" w:cs="Times New Roman"/>
                <w:b/>
                <w:bCs/>
                <w:color w:val="auto"/>
                <w:sz w:val="24"/>
                <w:szCs w:val="24"/>
              </w:rPr>
              <w:t xml:space="preserve"> </w:t>
            </w:r>
            <w:r>
              <w:rPr>
                <w:rFonts w:hint="eastAsia" w:ascii="Times New Roman" w:hAnsi="Times New Roman" w:cs="Times New Roman"/>
                <w:b/>
                <w:bCs/>
                <w:color w:val="auto"/>
                <w:sz w:val="24"/>
                <w:szCs w:val="24"/>
                <w:lang w:val="en-US" w:eastAsia="zh-CN"/>
              </w:rPr>
              <w:t xml:space="preserve"> </w:t>
            </w:r>
            <w:r>
              <w:rPr>
                <w:rFonts w:hint="eastAsia" w:cs="Times New Roman"/>
                <w:b/>
                <w:bCs/>
                <w:color w:val="auto"/>
                <w:sz w:val="24"/>
                <w:szCs w:val="24"/>
                <w:lang w:eastAsia="zh-CN"/>
              </w:rPr>
              <w:t>喷粉废气布袋处理</w:t>
            </w:r>
            <w:r>
              <w:rPr>
                <w:rFonts w:hint="eastAsia" w:cs="Times New Roman"/>
                <w:b/>
                <w:bCs/>
                <w:color w:val="auto"/>
                <w:sz w:val="24"/>
                <w:szCs w:val="24"/>
                <w:lang w:val="en-US" w:eastAsia="zh-CN"/>
              </w:rPr>
              <w:t>设施排放口</w:t>
            </w:r>
            <w:r>
              <w:rPr>
                <w:rFonts w:hint="default" w:ascii="Times New Roman" w:hAnsi="Times New Roman" w:cs="Times New Roman"/>
                <w:b/>
                <w:bCs/>
                <w:color w:val="auto"/>
                <w:sz w:val="24"/>
                <w:szCs w:val="24"/>
                <w:lang w:eastAsia="zh-CN"/>
              </w:rPr>
              <w:t>（</w:t>
            </w:r>
            <w:r>
              <w:rPr>
                <w:rFonts w:hint="eastAsia" w:ascii="Times New Roman" w:hAnsi="Times New Roman" w:cs="Times New Roman"/>
                <w:b/>
                <w:bCs/>
                <w:color w:val="auto"/>
                <w:sz w:val="24"/>
                <w:szCs w:val="24"/>
                <w:lang w:val="en-US" w:eastAsia="zh-CN"/>
              </w:rPr>
              <w:t>20</w:t>
            </w:r>
            <w:r>
              <w:rPr>
                <w:rFonts w:hint="eastAsia" w:cs="Times New Roman"/>
                <w:b/>
                <w:bCs/>
                <w:color w:val="auto"/>
                <w:sz w:val="24"/>
                <w:szCs w:val="24"/>
                <w:lang w:val="en-US" w:eastAsia="zh-CN"/>
              </w:rPr>
              <w:t>25</w:t>
            </w:r>
            <w:r>
              <w:rPr>
                <w:rFonts w:hint="eastAsia" w:ascii="Times New Roman" w:hAnsi="Times New Roman" w:cs="Times New Roman"/>
                <w:b/>
                <w:bCs/>
                <w:color w:val="auto"/>
                <w:sz w:val="24"/>
                <w:szCs w:val="24"/>
                <w:lang w:val="en-US" w:eastAsia="zh-CN"/>
              </w:rPr>
              <w:t>年</w:t>
            </w:r>
            <w:r>
              <w:rPr>
                <w:rFonts w:hint="eastAsia" w:cs="Times New Roman"/>
                <w:b/>
                <w:bCs/>
                <w:color w:val="auto"/>
                <w:sz w:val="24"/>
                <w:szCs w:val="24"/>
                <w:lang w:val="en-US" w:eastAsia="zh-CN"/>
              </w:rPr>
              <w:t>5</w:t>
            </w:r>
            <w:r>
              <w:rPr>
                <w:rFonts w:hint="default" w:ascii="Times New Roman" w:hAnsi="Times New Roman" w:cs="Times New Roman"/>
                <w:b/>
                <w:bCs/>
                <w:color w:val="auto"/>
                <w:sz w:val="24"/>
                <w:szCs w:val="24"/>
                <w:lang w:val="en-US" w:eastAsia="zh-CN"/>
              </w:rPr>
              <w:t>月</w:t>
            </w:r>
            <w:r>
              <w:rPr>
                <w:rFonts w:hint="eastAsia" w:cs="Times New Roman"/>
                <w:b/>
                <w:bCs/>
                <w:color w:val="auto"/>
                <w:sz w:val="24"/>
                <w:szCs w:val="24"/>
                <w:lang w:val="en-US" w:eastAsia="zh-CN"/>
              </w:rPr>
              <w:t>29</w:t>
            </w:r>
            <w:r>
              <w:rPr>
                <w:rFonts w:hint="default" w:ascii="Times New Roman" w:hAnsi="Times New Roman" w:cs="Times New Roman"/>
                <w:b/>
                <w:bCs/>
                <w:color w:val="auto"/>
                <w:sz w:val="24"/>
                <w:szCs w:val="24"/>
                <w:lang w:val="en-US" w:eastAsia="zh-CN"/>
              </w:rPr>
              <w:t>日</w:t>
            </w:r>
            <w:r>
              <w:rPr>
                <w:rFonts w:hint="default" w:ascii="Times New Roman" w:hAnsi="Times New Roman" w:cs="Times New Roman"/>
                <w:b/>
                <w:bCs/>
                <w:color w:val="auto"/>
                <w:sz w:val="24"/>
                <w:szCs w:val="24"/>
                <w:lang w:eastAsia="zh-CN"/>
              </w:rPr>
              <w:t>）</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751"/>
              <w:gridCol w:w="1756"/>
              <w:gridCol w:w="1756"/>
              <w:gridCol w:w="1756"/>
            </w:tblGrid>
            <w:tr w14:paraId="01CA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3012" w:type="dxa"/>
                  <w:gridSpan w:val="2"/>
                  <w:noWrap w:val="0"/>
                  <w:vAlign w:val="center"/>
                </w:tcPr>
                <w:p w14:paraId="449084EE">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eastAsia" w:eastAsia="宋体" w:cs="Times New Roman"/>
                      <w:b w:val="0"/>
                      <w:bCs w:val="0"/>
                      <w:color w:val="auto"/>
                      <w:sz w:val="21"/>
                      <w:szCs w:val="21"/>
                      <w:lang w:eastAsia="zh-CN"/>
                    </w:rPr>
                    <w:t>项目名称</w:t>
                  </w:r>
                </w:p>
              </w:tc>
              <w:tc>
                <w:tcPr>
                  <w:tcW w:w="5268" w:type="dxa"/>
                  <w:gridSpan w:val="3"/>
                  <w:noWrap w:val="0"/>
                  <w:vAlign w:val="center"/>
                </w:tcPr>
                <w:p w14:paraId="6051C226">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检测结果</w:t>
                  </w:r>
                </w:p>
              </w:tc>
            </w:tr>
            <w:tr w14:paraId="3696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3012" w:type="dxa"/>
                  <w:gridSpan w:val="2"/>
                  <w:noWrap w:val="0"/>
                  <w:vAlign w:val="center"/>
                </w:tcPr>
                <w:p w14:paraId="0C6418CE">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eastAsia="宋体" w:cs="Times New Roman"/>
                      <w:b w:val="0"/>
                      <w:bCs w:val="0"/>
                      <w:color w:val="auto"/>
                      <w:sz w:val="21"/>
                      <w:szCs w:val="21"/>
                      <w:lang w:val="en-US" w:eastAsia="zh-CN"/>
                    </w:rPr>
                  </w:pPr>
                  <w:r>
                    <w:rPr>
                      <w:rFonts w:hint="eastAsia" w:eastAsia="宋体" w:cs="Times New Roman"/>
                      <w:b w:val="0"/>
                      <w:bCs w:val="0"/>
                      <w:color w:val="auto"/>
                      <w:sz w:val="21"/>
                      <w:szCs w:val="21"/>
                      <w:lang w:eastAsia="zh-CN"/>
                    </w:rPr>
                    <w:t>排气筒高度</w:t>
                  </w:r>
                  <w:r>
                    <w:rPr>
                      <w:rFonts w:hint="eastAsia" w:eastAsia="宋体" w:cs="Times New Roman"/>
                      <w:b w:val="0"/>
                      <w:bCs w:val="0"/>
                      <w:color w:val="auto"/>
                      <w:sz w:val="21"/>
                      <w:szCs w:val="21"/>
                      <w:lang w:val="en-US" w:eastAsia="zh-CN"/>
                    </w:rPr>
                    <w:t>m</w:t>
                  </w:r>
                </w:p>
              </w:tc>
              <w:tc>
                <w:tcPr>
                  <w:tcW w:w="5268" w:type="dxa"/>
                  <w:gridSpan w:val="3"/>
                  <w:noWrap w:val="0"/>
                  <w:vAlign w:val="center"/>
                </w:tcPr>
                <w:p w14:paraId="265F12CE">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15</w:t>
                  </w:r>
                </w:p>
              </w:tc>
            </w:tr>
            <w:tr w14:paraId="3621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12" w:type="dxa"/>
                  <w:gridSpan w:val="2"/>
                  <w:noWrap w:val="0"/>
                  <w:vAlign w:val="center"/>
                </w:tcPr>
                <w:p w14:paraId="47E28A12">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color w:val="auto"/>
                      <w:kern w:val="2"/>
                      <w:sz w:val="21"/>
                      <w:szCs w:val="21"/>
                      <w:lang w:val="en-US" w:eastAsia="zh-CN" w:bidi="ar-SA"/>
                    </w:rPr>
                  </w:pPr>
                  <w:r>
                    <w:rPr>
                      <w:rFonts w:hint="eastAsia" w:eastAsia="宋体" w:cs="Times New Roman"/>
                      <w:b w:val="0"/>
                      <w:bCs w:val="0"/>
                      <w:color w:val="auto"/>
                      <w:sz w:val="21"/>
                      <w:szCs w:val="21"/>
                      <w:lang w:eastAsia="zh-CN"/>
                    </w:rPr>
                    <w:t>标干流量</w:t>
                  </w:r>
                  <w:r>
                    <w:rPr>
                      <w:rFonts w:hint="eastAsia" w:eastAsia="宋体" w:cs="Times New Roman"/>
                      <w:b w:val="0"/>
                      <w:bCs w:val="0"/>
                      <w:color w:val="auto"/>
                      <w:sz w:val="21"/>
                      <w:szCs w:val="21"/>
                      <w:lang w:val="en-US" w:eastAsia="zh-CN"/>
                    </w:rPr>
                    <w:t>m</w:t>
                  </w:r>
                  <w:r>
                    <w:rPr>
                      <w:rFonts w:hint="eastAsia" w:eastAsia="宋体" w:cs="Times New Roman"/>
                      <w:b w:val="0"/>
                      <w:bCs w:val="0"/>
                      <w:color w:val="auto"/>
                      <w:sz w:val="21"/>
                      <w:szCs w:val="21"/>
                      <w:vertAlign w:val="superscript"/>
                      <w:lang w:val="en-US" w:eastAsia="zh-CN"/>
                    </w:rPr>
                    <w:t>3</w:t>
                  </w:r>
                  <w:r>
                    <w:rPr>
                      <w:rFonts w:hint="eastAsia" w:eastAsia="宋体" w:cs="Times New Roman"/>
                      <w:b w:val="0"/>
                      <w:bCs w:val="0"/>
                      <w:color w:val="auto"/>
                      <w:sz w:val="21"/>
                      <w:szCs w:val="21"/>
                      <w:lang w:val="en-US" w:eastAsia="zh-CN"/>
                    </w:rPr>
                    <w:t>/h</w:t>
                  </w:r>
                </w:p>
              </w:tc>
              <w:tc>
                <w:tcPr>
                  <w:tcW w:w="1756" w:type="dxa"/>
                  <w:noWrap w:val="0"/>
                  <w:vAlign w:val="center"/>
                </w:tcPr>
                <w:p w14:paraId="3EE9C985">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2278</w:t>
                  </w:r>
                </w:p>
              </w:tc>
              <w:tc>
                <w:tcPr>
                  <w:tcW w:w="1756" w:type="dxa"/>
                  <w:noWrap w:val="0"/>
                  <w:vAlign w:val="center"/>
                </w:tcPr>
                <w:p w14:paraId="61484588">
                  <w:pPr>
                    <w:pStyle w:val="43"/>
                    <w:keepNext w:val="0"/>
                    <w:keepLines w:val="0"/>
                    <w:pageBreakBefore w:val="0"/>
                    <w:widowControl w:val="0"/>
                    <w:kinsoku/>
                    <w:wordWrap/>
                    <w:overflowPunct/>
                    <w:topLinePunct w:val="0"/>
                    <w:autoSpaceDE/>
                    <w:autoSpaceDN/>
                    <w:bidi w:val="0"/>
                    <w:adjustRightInd/>
                    <w:snapToGrid w:val="0"/>
                    <w:ind w:left="86" w:leftChars="0" w:right="80" w:rightChars="0"/>
                    <w:jc w:val="center"/>
                    <w:textAlignment w:val="auto"/>
                    <w:rPr>
                      <w:rFonts w:hint="default" w:ascii="Times New Roman" w:hAnsi="Times New Roman" w:eastAsia="宋体"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2274</w:t>
                  </w:r>
                </w:p>
              </w:tc>
              <w:tc>
                <w:tcPr>
                  <w:tcW w:w="1756" w:type="dxa"/>
                  <w:noWrap w:val="0"/>
                  <w:vAlign w:val="center"/>
                </w:tcPr>
                <w:p w14:paraId="5B70C212">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2203</w:t>
                  </w:r>
                </w:p>
              </w:tc>
            </w:tr>
            <w:tr w14:paraId="236F8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1" w:type="dxa"/>
                  <w:vMerge w:val="restart"/>
                  <w:noWrap w:val="0"/>
                  <w:vAlign w:val="center"/>
                </w:tcPr>
                <w:p w14:paraId="2322F7DD">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sz w:val="21"/>
                      <w:szCs w:val="21"/>
                      <w:lang w:eastAsia="zh-CN"/>
                    </w:rPr>
                    <w:t>颗粒物</w:t>
                  </w:r>
                </w:p>
              </w:tc>
              <w:tc>
                <w:tcPr>
                  <w:tcW w:w="1751" w:type="dxa"/>
                  <w:noWrap w:val="0"/>
                  <w:vAlign w:val="center"/>
                </w:tcPr>
                <w:p w14:paraId="3D73F7C6">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实测浓度mg/m</w:t>
                  </w:r>
                  <w:r>
                    <w:rPr>
                      <w:rFonts w:hint="eastAsia" w:cs="Times New Roman"/>
                      <w:color w:val="auto"/>
                      <w:kern w:val="2"/>
                      <w:sz w:val="21"/>
                      <w:szCs w:val="21"/>
                      <w:vertAlign w:val="superscript"/>
                      <w:lang w:val="en-US" w:eastAsia="zh-CN" w:bidi="ar-SA"/>
                    </w:rPr>
                    <w:t>3</w:t>
                  </w:r>
                </w:p>
              </w:tc>
              <w:tc>
                <w:tcPr>
                  <w:tcW w:w="1756" w:type="dxa"/>
                  <w:noWrap w:val="0"/>
                  <w:vAlign w:val="center"/>
                </w:tcPr>
                <w:p w14:paraId="4E906E78">
                  <w:pPr>
                    <w:keepNext w:val="0"/>
                    <w:keepLines w:val="0"/>
                    <w:pageBreakBefore w:val="0"/>
                    <w:widowControl w:val="0"/>
                    <w:kinsoku/>
                    <w:wordWrap/>
                    <w:overflowPunct/>
                    <w:topLinePunct w:val="0"/>
                    <w:bidi w:val="0"/>
                    <w:adjustRightInd w:val="0"/>
                    <w:snapToGrid w:val="0"/>
                    <w:spacing w:line="240" w:lineRule="auto"/>
                    <w:ind w:right="0"/>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1.8</w:t>
                  </w:r>
                </w:p>
              </w:tc>
              <w:tc>
                <w:tcPr>
                  <w:tcW w:w="1756" w:type="dxa"/>
                  <w:noWrap w:val="0"/>
                  <w:vAlign w:val="center"/>
                </w:tcPr>
                <w:p w14:paraId="68395795">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eastAsia="宋体"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1.5</w:t>
                  </w:r>
                </w:p>
              </w:tc>
              <w:tc>
                <w:tcPr>
                  <w:tcW w:w="1756" w:type="dxa"/>
                  <w:noWrap w:val="0"/>
                  <w:vAlign w:val="center"/>
                </w:tcPr>
                <w:p w14:paraId="1B76385C">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1.7</w:t>
                  </w:r>
                </w:p>
              </w:tc>
            </w:tr>
            <w:tr w14:paraId="398A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1" w:type="dxa"/>
                  <w:vMerge w:val="continue"/>
                  <w:noWrap w:val="0"/>
                  <w:vAlign w:val="center"/>
                </w:tcPr>
                <w:p w14:paraId="29432207">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color w:val="auto"/>
                      <w:kern w:val="2"/>
                      <w:sz w:val="21"/>
                      <w:szCs w:val="21"/>
                      <w:lang w:val="en-US" w:eastAsia="zh-CN" w:bidi="ar-SA"/>
                    </w:rPr>
                  </w:pPr>
                </w:p>
              </w:tc>
              <w:tc>
                <w:tcPr>
                  <w:tcW w:w="1751" w:type="dxa"/>
                  <w:noWrap w:val="0"/>
                  <w:vAlign w:val="center"/>
                </w:tcPr>
                <w:p w14:paraId="09B1E1F7">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排放速率kg/h</w:t>
                  </w:r>
                </w:p>
              </w:tc>
              <w:tc>
                <w:tcPr>
                  <w:tcW w:w="1756" w:type="dxa"/>
                  <w:shd w:val="clear" w:color="auto" w:fill="auto"/>
                  <w:noWrap w:val="0"/>
                  <w:vAlign w:val="center"/>
                </w:tcPr>
                <w:p w14:paraId="25B57770">
                  <w:pPr>
                    <w:autoSpaceDE w:val="0"/>
                    <w:autoSpaceDN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4.10</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-3</w:t>
                  </w:r>
                </w:p>
              </w:tc>
              <w:tc>
                <w:tcPr>
                  <w:tcW w:w="1756" w:type="dxa"/>
                  <w:shd w:val="clear" w:color="auto" w:fill="auto"/>
                  <w:noWrap w:val="0"/>
                  <w:vAlign w:val="center"/>
                </w:tcPr>
                <w:p w14:paraId="5E11EE44">
                  <w:pPr>
                    <w:autoSpaceDE w:val="0"/>
                    <w:autoSpaceDN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3.41</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-3</w:t>
                  </w:r>
                </w:p>
              </w:tc>
              <w:tc>
                <w:tcPr>
                  <w:tcW w:w="1756" w:type="dxa"/>
                  <w:shd w:val="clear" w:color="auto" w:fill="auto"/>
                  <w:noWrap w:val="0"/>
                  <w:vAlign w:val="center"/>
                </w:tcPr>
                <w:p w14:paraId="1A016F04">
                  <w:pPr>
                    <w:autoSpaceDE w:val="0"/>
                    <w:autoSpaceDN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3.75</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-3</w:t>
                  </w:r>
                </w:p>
              </w:tc>
            </w:tr>
          </w:tbl>
          <w:p w14:paraId="1270BC16">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color w:val="auto"/>
                <w:sz w:val="24"/>
                <w:szCs w:val="28"/>
                <w:highlight w:val="none"/>
                <w:lang w:val="en-US" w:eastAsia="zh-CN"/>
              </w:rPr>
              <w:t>废气检测</w:t>
            </w:r>
            <w:r>
              <w:rPr>
                <w:rFonts w:hint="eastAsia" w:ascii="Times New Roman" w:hAnsi="Times New Roman" w:eastAsia="宋体" w:cs="Times New Roman"/>
                <w:color w:val="auto"/>
                <w:kern w:val="2"/>
                <w:sz w:val="24"/>
                <w:szCs w:val="24"/>
                <w:lang w:val="en-US" w:eastAsia="zh-CN" w:bidi="ar-SA"/>
              </w:rPr>
              <w:t>期间，</w:t>
            </w:r>
            <w:r>
              <w:rPr>
                <w:rFonts w:hint="default" w:ascii="Times New Roman" w:hAnsi="Times New Roman" w:eastAsia="宋体" w:cs="Times New Roman"/>
                <w:snapToGrid/>
                <w:color w:val="auto"/>
                <w:spacing w:val="0"/>
                <w:kern w:val="0"/>
                <w:position w:val="0"/>
                <w:sz w:val="24"/>
                <w:szCs w:val="24"/>
                <w:lang w:val="en-US" w:eastAsia="zh-CN"/>
              </w:rPr>
              <w:t>钨合金渔坠实际产量为</w:t>
            </w:r>
            <w:r>
              <w:rPr>
                <w:rFonts w:hint="eastAsia" w:ascii="Times New Roman" w:hAnsi="Times New Roman" w:eastAsia="宋体" w:cs="Times New Roman"/>
                <w:snapToGrid/>
                <w:color w:val="auto"/>
                <w:spacing w:val="0"/>
                <w:kern w:val="0"/>
                <w:position w:val="0"/>
                <w:sz w:val="24"/>
                <w:szCs w:val="24"/>
                <w:lang w:val="en-US" w:eastAsia="zh-CN"/>
              </w:rPr>
              <w:t>0.07</w:t>
            </w:r>
            <w:r>
              <w:rPr>
                <w:rFonts w:hint="default" w:ascii="Times New Roman" w:hAnsi="Times New Roman" w:eastAsia="宋体" w:cs="Times New Roman"/>
                <w:snapToGrid/>
                <w:color w:val="auto"/>
                <w:spacing w:val="0"/>
                <w:kern w:val="0"/>
                <w:position w:val="0"/>
                <w:sz w:val="24"/>
                <w:szCs w:val="24"/>
                <w:lang w:val="en-US" w:eastAsia="zh-CN"/>
              </w:rPr>
              <w:t>t/d，生产负荷为</w:t>
            </w:r>
            <w:r>
              <w:rPr>
                <w:rFonts w:hint="eastAsia" w:ascii="Times New Roman" w:hAnsi="Times New Roman" w:eastAsia="宋体" w:cs="Times New Roman"/>
                <w:snapToGrid/>
                <w:color w:val="auto"/>
                <w:spacing w:val="0"/>
                <w:kern w:val="0"/>
                <w:position w:val="0"/>
                <w:sz w:val="24"/>
                <w:szCs w:val="24"/>
                <w:lang w:val="en-US" w:eastAsia="zh-CN"/>
              </w:rPr>
              <w:t>70</w:t>
            </w:r>
            <w:r>
              <w:rPr>
                <w:rFonts w:hint="default" w:ascii="Times New Roman" w:hAnsi="Times New Roman" w:eastAsia="宋体" w:cs="Times New Roman"/>
                <w:snapToGrid/>
                <w:color w:val="auto"/>
                <w:spacing w:val="0"/>
                <w:kern w:val="0"/>
                <w:position w:val="0"/>
                <w:sz w:val="24"/>
                <w:szCs w:val="24"/>
                <w:lang w:val="en-US" w:eastAsia="zh-CN"/>
              </w:rPr>
              <w:t>%。</w:t>
            </w:r>
            <w:r>
              <w:rPr>
                <w:rFonts w:hint="default" w:ascii="Times New Roman" w:hAnsi="Times New Roman" w:eastAsia="宋体" w:cs="Times New Roman"/>
                <w:b w:val="0"/>
                <w:bCs w:val="0"/>
                <w:snapToGrid/>
                <w:color w:val="auto"/>
                <w:spacing w:val="0"/>
                <w:kern w:val="0"/>
                <w:position w:val="0"/>
                <w:sz w:val="24"/>
              </w:rPr>
              <w:t>根据监测结果可知，</w:t>
            </w:r>
            <w:r>
              <w:rPr>
                <w:rFonts w:hint="eastAsia" w:ascii="Times New Roman" w:hAnsi="Times New Roman" w:eastAsia="宋体" w:cs="Times New Roman"/>
                <w:color w:val="auto"/>
                <w:kern w:val="2"/>
                <w:sz w:val="24"/>
                <w:szCs w:val="24"/>
                <w:lang w:val="en-US" w:eastAsia="zh-CN" w:bidi="ar-SA"/>
              </w:rPr>
              <w:t>项目</w:t>
            </w:r>
            <w:r>
              <w:rPr>
                <w:rFonts w:hint="eastAsia" w:ascii="Times New Roman" w:cs="Times New Roman"/>
                <w:color w:val="auto"/>
                <w:kern w:val="2"/>
                <w:sz w:val="24"/>
                <w:szCs w:val="24"/>
                <w:lang w:val="en-US" w:eastAsia="zh-CN" w:bidi="ar-SA"/>
              </w:rPr>
              <w:t>混合</w:t>
            </w:r>
            <w:r>
              <w:rPr>
                <w:rFonts w:hint="eastAsia" w:ascii="Times New Roman" w:hAnsi="Times New Roman" w:eastAsia="宋体" w:cs="Times New Roman"/>
                <w:color w:val="auto"/>
                <w:kern w:val="2"/>
                <w:sz w:val="24"/>
                <w:szCs w:val="24"/>
                <w:lang w:val="en-US" w:eastAsia="zh-CN" w:bidi="ar-SA"/>
              </w:rPr>
              <w:t>产生的有组织废气中的</w:t>
            </w:r>
            <w:r>
              <w:rPr>
                <w:rFonts w:hint="eastAsia" w:cs="Times New Roman"/>
                <w:color w:val="auto"/>
                <w:kern w:val="2"/>
                <w:sz w:val="24"/>
                <w:szCs w:val="24"/>
                <w:lang w:val="en-US" w:eastAsia="zh-CN" w:bidi="ar-SA"/>
              </w:rPr>
              <w:t>颗粒物、加热</w:t>
            </w:r>
            <w:r>
              <w:rPr>
                <w:rFonts w:hint="eastAsia" w:ascii="Times New Roman" w:hAnsi="Times New Roman" w:eastAsia="宋体" w:cs="Times New Roman"/>
                <w:color w:val="auto"/>
                <w:kern w:val="2"/>
                <w:sz w:val="24"/>
                <w:szCs w:val="24"/>
                <w:lang w:val="en-US" w:eastAsia="zh-CN" w:bidi="ar-SA"/>
              </w:rPr>
              <w:t>产生的有组织废气中的挥发性有机物、</w:t>
            </w:r>
            <w:r>
              <w:rPr>
                <w:rFonts w:hint="eastAsia" w:cs="Times New Roman"/>
                <w:color w:val="auto"/>
                <w:kern w:val="2"/>
                <w:sz w:val="24"/>
                <w:szCs w:val="24"/>
                <w:lang w:val="en-US" w:eastAsia="zh-CN" w:bidi="ar-SA"/>
              </w:rPr>
              <w:t>喷塑废气</w:t>
            </w:r>
            <w:r>
              <w:rPr>
                <w:rFonts w:hint="eastAsia" w:ascii="Times New Roman" w:hAnsi="Times New Roman" w:eastAsia="宋体" w:cs="Times New Roman"/>
                <w:color w:val="auto"/>
                <w:kern w:val="2"/>
                <w:sz w:val="24"/>
                <w:szCs w:val="24"/>
                <w:lang w:val="en-US" w:eastAsia="zh-CN" w:bidi="ar-SA"/>
              </w:rPr>
              <w:t>产生的有组织废气中的</w:t>
            </w:r>
            <w:r>
              <w:rPr>
                <w:rFonts w:hint="eastAsia" w:cs="Times New Roman"/>
                <w:color w:val="auto"/>
                <w:kern w:val="2"/>
                <w:sz w:val="24"/>
                <w:szCs w:val="24"/>
                <w:lang w:val="en-US" w:eastAsia="zh-CN" w:bidi="ar-SA"/>
              </w:rPr>
              <w:t>颗粒物</w:t>
            </w:r>
            <w:r>
              <w:rPr>
                <w:rFonts w:hint="eastAsia" w:ascii="Times New Roman" w:hAnsi="Times New Roman" w:eastAsia="宋体" w:cs="Times New Roman"/>
                <w:color w:val="auto"/>
                <w:kern w:val="2"/>
                <w:sz w:val="24"/>
                <w:szCs w:val="24"/>
                <w:lang w:val="en-US" w:eastAsia="zh-CN" w:bidi="ar-SA"/>
              </w:rPr>
              <w:t>最大排放浓度、速率均满足</w:t>
            </w:r>
            <w:r>
              <w:rPr>
                <w:rFonts w:hint="default" w:ascii="Times New Roman" w:hAnsi="Times New Roman" w:eastAsia="宋体" w:cs="Times New Roman"/>
                <w:color w:val="auto"/>
                <w:kern w:val="2"/>
                <w:sz w:val="24"/>
                <w:szCs w:val="24"/>
                <w:lang w:val="en-US" w:eastAsia="zh-CN" w:bidi="ar-SA"/>
              </w:rPr>
              <w:t>《大气污染物综合排放标准》（GB16297-1996）表2中二级排放标准</w:t>
            </w:r>
            <w:r>
              <w:rPr>
                <w:rFonts w:hint="eastAsia" w:cs="Times New Roman"/>
                <w:color w:val="auto"/>
                <w:kern w:val="2"/>
                <w:sz w:val="24"/>
                <w:szCs w:val="24"/>
                <w:lang w:val="en-US" w:eastAsia="zh-CN" w:bidi="ar-SA"/>
              </w:rPr>
              <w:t>，脱胶</w:t>
            </w:r>
            <w:r>
              <w:rPr>
                <w:rFonts w:hint="eastAsia" w:ascii="Times New Roman" w:hAnsi="Times New Roman" w:eastAsia="宋体" w:cs="Times New Roman"/>
                <w:color w:val="auto"/>
                <w:kern w:val="2"/>
                <w:sz w:val="24"/>
                <w:szCs w:val="24"/>
                <w:lang w:val="en-US" w:eastAsia="zh-CN" w:bidi="ar-SA"/>
              </w:rPr>
              <w:t>、注塑产生的有组织废气中的挥发性有机物满足</w:t>
            </w:r>
            <w:r>
              <w:rPr>
                <w:rFonts w:hint="default" w:ascii="Times New Roman" w:hAnsi="Times New Roman" w:cs="Times New Roman"/>
                <w:color w:val="auto"/>
                <w:sz w:val="24"/>
                <w:szCs w:val="24"/>
                <w:lang w:val="en-US" w:eastAsia="zh-CN"/>
              </w:rPr>
              <w:t>《合成树脂工业污染物排放标准》（GB31572-2015）中表5 大气污染物特别排放限值</w:t>
            </w:r>
            <w:r>
              <w:rPr>
                <w:rFonts w:hint="eastAsia" w:ascii="Times New Roman" w:hAnsi="Times New Roman" w:eastAsia="宋体" w:cs="Times New Roman"/>
                <w:color w:val="auto"/>
                <w:kern w:val="2"/>
                <w:sz w:val="24"/>
                <w:szCs w:val="24"/>
                <w:lang w:val="en-US" w:eastAsia="zh-CN" w:bidi="ar-SA"/>
              </w:rPr>
              <w:t>。</w:t>
            </w:r>
          </w:p>
          <w:p w14:paraId="5718B4D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color w:val="auto"/>
                <w:sz w:val="24"/>
                <w:szCs w:val="28"/>
                <w:highlight w:val="none"/>
                <w:lang w:val="en-US" w:eastAsia="zh-CN"/>
              </w:rPr>
            </w:pPr>
            <w:r>
              <w:rPr>
                <w:rFonts w:hint="eastAsia" w:ascii="Times New Roman" w:hAnsi="Times New Roman" w:eastAsia="宋体" w:cs="Times New Roman"/>
                <w:snapToGrid/>
                <w:color w:val="auto"/>
                <w:spacing w:val="0"/>
                <w:kern w:val="0"/>
                <w:position w:val="0"/>
                <w:sz w:val="24"/>
                <w:szCs w:val="24"/>
                <w:lang w:val="en-US" w:eastAsia="zh-CN"/>
              </w:rPr>
              <w:t>现有工程</w:t>
            </w:r>
            <w:r>
              <w:rPr>
                <w:rFonts w:hint="default" w:ascii="Times New Roman" w:hAnsi="Times New Roman" w:eastAsia="宋体" w:cs="Times New Roman"/>
                <w:color w:val="auto"/>
                <w:kern w:val="2"/>
                <w:sz w:val="24"/>
                <w:szCs w:val="24"/>
                <w:vertAlign w:val="baseline"/>
                <w:lang w:val="en-US" w:eastAsia="zh-CN" w:bidi="ar-SA"/>
              </w:rPr>
              <w:t>年生产</w:t>
            </w:r>
            <w:r>
              <w:rPr>
                <w:rFonts w:hint="eastAsia" w:ascii="Times New Roman" w:hAnsi="Times New Roman" w:eastAsia="宋体" w:cs="Times New Roman"/>
                <w:color w:val="auto"/>
                <w:kern w:val="2"/>
                <w:sz w:val="24"/>
                <w:szCs w:val="24"/>
                <w:vertAlign w:val="baseline"/>
                <w:lang w:val="en-US" w:eastAsia="zh-CN" w:bidi="ar-SA"/>
              </w:rPr>
              <w:t>30</w:t>
            </w:r>
            <w:r>
              <w:rPr>
                <w:rFonts w:hint="default" w:ascii="Times New Roman" w:hAnsi="Times New Roman" w:eastAsia="宋体" w:cs="Times New Roman"/>
                <w:color w:val="auto"/>
                <w:kern w:val="2"/>
                <w:sz w:val="24"/>
                <w:szCs w:val="24"/>
                <w:vertAlign w:val="baseline"/>
                <w:lang w:val="en-US" w:eastAsia="zh-CN" w:bidi="ar-SA"/>
              </w:rPr>
              <w:t>0天，混合、加热</w:t>
            </w:r>
            <w:r>
              <w:rPr>
                <w:rFonts w:hint="eastAsia" w:cs="Times New Roman"/>
                <w:color w:val="auto"/>
                <w:kern w:val="2"/>
                <w:sz w:val="24"/>
                <w:szCs w:val="24"/>
                <w:vertAlign w:val="baseline"/>
                <w:lang w:val="en-US" w:eastAsia="zh-CN" w:bidi="ar-SA"/>
              </w:rPr>
              <w:t>工序</w:t>
            </w:r>
            <w:r>
              <w:rPr>
                <w:rFonts w:hint="default" w:ascii="Times New Roman" w:hAnsi="Times New Roman" w:eastAsia="宋体" w:cs="Times New Roman"/>
                <w:color w:val="auto"/>
                <w:kern w:val="2"/>
                <w:sz w:val="24"/>
                <w:szCs w:val="24"/>
                <w:vertAlign w:val="baseline"/>
                <w:lang w:val="en-US" w:eastAsia="zh-CN" w:bidi="ar-SA"/>
              </w:rPr>
              <w:t>每天</w:t>
            </w:r>
            <w:r>
              <w:rPr>
                <w:rFonts w:hint="eastAsia" w:ascii="Times New Roman" w:hAnsi="Times New Roman" w:eastAsia="宋体" w:cs="Times New Roman"/>
                <w:color w:val="auto"/>
                <w:kern w:val="2"/>
                <w:sz w:val="24"/>
                <w:szCs w:val="24"/>
                <w:vertAlign w:val="baseline"/>
                <w:lang w:val="en-US" w:eastAsia="zh-CN" w:bidi="ar-SA"/>
              </w:rPr>
              <w:t>16</w:t>
            </w:r>
            <w:r>
              <w:rPr>
                <w:rFonts w:hint="default" w:ascii="Times New Roman" w:hAnsi="Times New Roman" w:eastAsia="宋体" w:cs="Times New Roman"/>
                <w:color w:val="auto"/>
                <w:kern w:val="2"/>
                <w:sz w:val="24"/>
                <w:szCs w:val="24"/>
                <w:vertAlign w:val="baseline"/>
                <w:lang w:val="en-US" w:eastAsia="zh-CN" w:bidi="ar-SA"/>
              </w:rPr>
              <w:t>个小时计</w:t>
            </w:r>
            <w:r>
              <w:rPr>
                <w:rFonts w:hint="eastAsia" w:cs="Times New Roman"/>
                <w:color w:val="auto"/>
                <w:kern w:val="2"/>
                <w:sz w:val="24"/>
                <w:szCs w:val="24"/>
                <w:vertAlign w:val="baseline"/>
                <w:lang w:val="en-US" w:eastAsia="zh-CN" w:bidi="ar-SA"/>
              </w:rPr>
              <w:t>，</w:t>
            </w:r>
            <w:r>
              <w:rPr>
                <w:rFonts w:hint="eastAsia" w:cs="Times New Roman"/>
                <w:b w:val="0"/>
                <w:bCs w:val="0"/>
                <w:color w:val="auto"/>
                <w:sz w:val="24"/>
                <w:szCs w:val="24"/>
                <w:lang w:eastAsia="zh-CN"/>
              </w:rPr>
              <w:t>脱胶、注塑工序</w:t>
            </w:r>
            <w:r>
              <w:rPr>
                <w:rFonts w:hint="default" w:ascii="Times New Roman" w:hAnsi="Times New Roman" w:eastAsia="宋体" w:cs="Times New Roman"/>
                <w:color w:val="auto"/>
                <w:kern w:val="2"/>
                <w:sz w:val="24"/>
                <w:szCs w:val="24"/>
                <w:vertAlign w:val="baseline"/>
                <w:lang w:val="en-US" w:eastAsia="zh-CN" w:bidi="ar-SA"/>
              </w:rPr>
              <w:t>每天</w:t>
            </w:r>
            <w:r>
              <w:rPr>
                <w:rFonts w:hint="eastAsia" w:ascii="Times New Roman" w:hAnsi="Times New Roman" w:eastAsia="宋体" w:cs="Times New Roman"/>
                <w:color w:val="auto"/>
                <w:kern w:val="2"/>
                <w:sz w:val="24"/>
                <w:szCs w:val="24"/>
                <w:vertAlign w:val="baseline"/>
                <w:lang w:val="en-US" w:eastAsia="zh-CN" w:bidi="ar-SA"/>
              </w:rPr>
              <w:t>24</w:t>
            </w:r>
            <w:r>
              <w:rPr>
                <w:rFonts w:hint="default" w:ascii="Times New Roman" w:hAnsi="Times New Roman" w:eastAsia="宋体" w:cs="Times New Roman"/>
                <w:color w:val="auto"/>
                <w:kern w:val="2"/>
                <w:sz w:val="24"/>
                <w:szCs w:val="24"/>
                <w:vertAlign w:val="baseline"/>
                <w:lang w:val="en-US" w:eastAsia="zh-CN" w:bidi="ar-SA"/>
              </w:rPr>
              <w:t>个小时计</w:t>
            </w:r>
            <w:r>
              <w:rPr>
                <w:rFonts w:hint="eastAsia" w:ascii="Times New Roman" w:hAnsi="Times New Roman" w:eastAsia="宋体" w:cs="Times New Roman"/>
                <w:color w:val="auto"/>
                <w:kern w:val="2"/>
                <w:sz w:val="24"/>
                <w:szCs w:val="24"/>
                <w:vertAlign w:val="baseline"/>
                <w:lang w:val="en-US" w:eastAsia="zh-CN" w:bidi="ar-SA"/>
              </w:rPr>
              <w:t>，喷塑</w:t>
            </w:r>
            <w:r>
              <w:rPr>
                <w:rFonts w:hint="eastAsia" w:cs="Times New Roman"/>
                <w:b w:val="0"/>
                <w:bCs w:val="0"/>
                <w:color w:val="auto"/>
                <w:sz w:val="24"/>
                <w:szCs w:val="24"/>
                <w:lang w:eastAsia="zh-CN"/>
              </w:rPr>
              <w:t>工序</w:t>
            </w:r>
            <w:r>
              <w:rPr>
                <w:rFonts w:hint="default" w:ascii="Times New Roman" w:hAnsi="Times New Roman" w:eastAsia="宋体" w:cs="Times New Roman"/>
                <w:color w:val="auto"/>
                <w:kern w:val="2"/>
                <w:sz w:val="24"/>
                <w:szCs w:val="24"/>
                <w:vertAlign w:val="baseline"/>
                <w:lang w:val="en-US" w:eastAsia="zh-CN" w:bidi="ar-SA"/>
              </w:rPr>
              <w:t>每天</w:t>
            </w:r>
            <w:r>
              <w:rPr>
                <w:rFonts w:hint="eastAsia" w:cs="Times New Roman"/>
                <w:color w:val="auto"/>
                <w:kern w:val="2"/>
                <w:sz w:val="24"/>
                <w:szCs w:val="24"/>
                <w:vertAlign w:val="baseline"/>
                <w:lang w:val="en-US" w:eastAsia="zh-CN" w:bidi="ar-SA"/>
              </w:rPr>
              <w:t>8</w:t>
            </w:r>
            <w:r>
              <w:rPr>
                <w:rFonts w:hint="default" w:ascii="Times New Roman" w:hAnsi="Times New Roman" w:eastAsia="宋体" w:cs="Times New Roman"/>
                <w:color w:val="auto"/>
                <w:kern w:val="2"/>
                <w:sz w:val="24"/>
                <w:szCs w:val="24"/>
                <w:vertAlign w:val="baseline"/>
                <w:lang w:val="en-US" w:eastAsia="zh-CN" w:bidi="ar-SA"/>
              </w:rPr>
              <w:t>个小时计，</w:t>
            </w:r>
            <w:r>
              <w:rPr>
                <w:rFonts w:hint="default" w:ascii="Times New Roman" w:hAnsi="Times New Roman" w:eastAsia="宋体" w:cs="Times New Roman"/>
                <w:b w:val="0"/>
                <w:bCs w:val="0"/>
                <w:snapToGrid w:val="0"/>
                <w:color w:val="auto"/>
                <w:kern w:val="2"/>
                <w:sz w:val="24"/>
                <w:szCs w:val="24"/>
                <w:lang w:val="en-US" w:eastAsia="zh-CN"/>
              </w:rPr>
              <w:t>则根据检测结果，</w:t>
            </w:r>
            <w:r>
              <w:rPr>
                <w:rFonts w:hint="eastAsia" w:ascii="Times New Roman" w:hAnsi="Times New Roman" w:eastAsia="宋体" w:cs="Times New Roman"/>
                <w:color w:val="auto"/>
                <w:sz w:val="24"/>
                <w:lang w:eastAsia="zh-CN"/>
              </w:rPr>
              <w:t>混合</w:t>
            </w:r>
            <w:r>
              <w:rPr>
                <w:rFonts w:hint="eastAsia" w:cs="Times New Roman"/>
                <w:color w:val="auto"/>
                <w:sz w:val="24"/>
                <w:lang w:eastAsia="zh-CN"/>
              </w:rPr>
              <w:t>、</w:t>
            </w:r>
            <w:r>
              <w:rPr>
                <w:rFonts w:hint="eastAsia" w:ascii="Times New Roman" w:hAnsi="Times New Roman" w:eastAsia="宋体" w:cs="Times New Roman"/>
                <w:b w:val="0"/>
                <w:bCs w:val="0"/>
                <w:snapToGrid w:val="0"/>
                <w:color w:val="auto"/>
                <w:kern w:val="2"/>
                <w:sz w:val="24"/>
                <w:szCs w:val="24"/>
                <w:lang w:val="en-US" w:eastAsia="zh-CN"/>
              </w:rPr>
              <w:t>加热</w:t>
            </w:r>
            <w:r>
              <w:rPr>
                <w:rFonts w:hint="default" w:ascii="Times New Roman" w:hAnsi="Times New Roman" w:eastAsia="宋体" w:cs="Times New Roman"/>
                <w:color w:val="auto"/>
                <w:sz w:val="24"/>
                <w:szCs w:val="24"/>
                <w:lang w:eastAsia="zh-CN"/>
              </w:rPr>
              <w:t>工序</w:t>
            </w:r>
            <w:r>
              <w:rPr>
                <w:rFonts w:hint="default" w:ascii="Times New Roman" w:hAnsi="Times New Roman" w:eastAsia="宋体" w:cs="Times New Roman"/>
                <w:b w:val="0"/>
                <w:bCs w:val="0"/>
                <w:snapToGrid w:val="0"/>
                <w:color w:val="auto"/>
                <w:kern w:val="2"/>
                <w:sz w:val="24"/>
                <w:szCs w:val="24"/>
                <w:lang w:val="en-US" w:eastAsia="zh-CN"/>
              </w:rPr>
              <w:t>产生</w:t>
            </w:r>
            <w:r>
              <w:rPr>
                <w:rFonts w:hint="eastAsia" w:ascii="Times New Roman" w:hAnsi="Times New Roman" w:eastAsia="宋体" w:cs="Times New Roman"/>
                <w:b w:val="0"/>
                <w:bCs w:val="0"/>
                <w:snapToGrid w:val="0"/>
                <w:color w:val="auto"/>
                <w:kern w:val="2"/>
                <w:sz w:val="24"/>
                <w:szCs w:val="24"/>
                <w:lang w:val="en-US" w:eastAsia="zh-CN"/>
              </w:rPr>
              <w:t>颗粒物</w:t>
            </w:r>
            <w:r>
              <w:rPr>
                <w:rFonts w:hint="eastAsia" w:cs="Times New Roman"/>
                <w:b w:val="0"/>
                <w:bCs w:val="0"/>
                <w:snapToGrid w:val="0"/>
                <w:color w:val="auto"/>
                <w:kern w:val="2"/>
                <w:sz w:val="24"/>
                <w:szCs w:val="24"/>
                <w:lang w:val="en-US" w:eastAsia="zh-CN"/>
              </w:rPr>
              <w:t>排放</w:t>
            </w:r>
            <w:r>
              <w:rPr>
                <w:rFonts w:hint="default" w:ascii="Times New Roman" w:hAnsi="Times New Roman" w:eastAsia="宋体" w:cs="Times New Roman"/>
                <w:b w:val="0"/>
                <w:bCs w:val="0"/>
                <w:snapToGrid w:val="0"/>
                <w:color w:val="auto"/>
                <w:kern w:val="2"/>
                <w:sz w:val="24"/>
                <w:szCs w:val="24"/>
                <w:lang w:val="en-US" w:eastAsia="zh-CN"/>
              </w:rPr>
              <w:t>量约为</w:t>
            </w:r>
            <w:r>
              <w:rPr>
                <w:rFonts w:hint="eastAsia" w:cs="Times New Roman"/>
                <w:b w:val="0"/>
                <w:bCs w:val="0"/>
                <w:snapToGrid w:val="0"/>
                <w:color w:val="auto"/>
                <w:kern w:val="2"/>
                <w:sz w:val="24"/>
                <w:szCs w:val="24"/>
                <w:lang w:val="en-US" w:eastAsia="zh-CN"/>
              </w:rPr>
              <w:t>0.027</w:t>
            </w:r>
            <w:r>
              <w:rPr>
                <w:rFonts w:hint="default" w:ascii="Times New Roman" w:hAnsi="Times New Roman" w:eastAsia="宋体" w:cs="Times New Roman"/>
                <w:b w:val="0"/>
                <w:bCs w:val="0"/>
                <w:snapToGrid w:val="0"/>
                <w:color w:val="auto"/>
                <w:kern w:val="2"/>
                <w:sz w:val="24"/>
                <w:szCs w:val="24"/>
                <w:lang w:val="en-US" w:eastAsia="zh-CN"/>
              </w:rPr>
              <w:t>t/a</w:t>
            </w:r>
            <w:r>
              <w:rPr>
                <w:rFonts w:hint="eastAsia" w:ascii="Times New Roman" w:hAnsi="Times New Roman" w:eastAsia="宋体" w:cs="Times New Roman"/>
                <w:b w:val="0"/>
                <w:bCs w:val="0"/>
                <w:snapToGrid w:val="0"/>
                <w:color w:val="auto"/>
                <w:kern w:val="2"/>
                <w:sz w:val="24"/>
                <w:szCs w:val="24"/>
                <w:lang w:val="en-US" w:eastAsia="zh-CN"/>
              </w:rPr>
              <w:t>，挥发性有机物</w:t>
            </w:r>
            <w:r>
              <w:rPr>
                <w:rFonts w:hint="default" w:ascii="Times New Roman" w:hAnsi="Times New Roman" w:eastAsia="宋体" w:cs="Times New Roman"/>
                <w:b w:val="0"/>
                <w:bCs w:val="0"/>
                <w:snapToGrid w:val="0"/>
                <w:color w:val="auto"/>
                <w:kern w:val="2"/>
                <w:sz w:val="24"/>
                <w:szCs w:val="24"/>
                <w:lang w:val="en-US" w:eastAsia="zh-CN"/>
              </w:rPr>
              <w:t>合计量约为</w:t>
            </w:r>
            <w:r>
              <w:rPr>
                <w:rFonts w:hint="eastAsia" w:ascii="Times New Roman" w:hAnsi="Times New Roman" w:eastAsia="宋体" w:cs="Times New Roman"/>
                <w:b w:val="0"/>
                <w:bCs w:val="0"/>
                <w:snapToGrid w:val="0"/>
                <w:color w:val="auto"/>
                <w:kern w:val="2"/>
                <w:sz w:val="24"/>
                <w:szCs w:val="24"/>
                <w:lang w:val="en-US" w:eastAsia="zh-CN"/>
              </w:rPr>
              <w:t>0.00</w:t>
            </w:r>
            <w:r>
              <w:rPr>
                <w:rFonts w:hint="eastAsia" w:cs="Times New Roman"/>
                <w:b w:val="0"/>
                <w:bCs w:val="0"/>
                <w:snapToGrid w:val="0"/>
                <w:color w:val="auto"/>
                <w:kern w:val="2"/>
                <w:sz w:val="24"/>
                <w:szCs w:val="24"/>
                <w:lang w:val="en-US" w:eastAsia="zh-CN"/>
              </w:rPr>
              <w:t>9</w:t>
            </w:r>
            <w:r>
              <w:rPr>
                <w:rFonts w:hint="default" w:ascii="Times New Roman" w:hAnsi="Times New Roman" w:eastAsia="宋体" w:cs="Times New Roman"/>
                <w:b w:val="0"/>
                <w:bCs w:val="0"/>
                <w:snapToGrid w:val="0"/>
                <w:color w:val="auto"/>
                <w:kern w:val="2"/>
                <w:sz w:val="24"/>
                <w:szCs w:val="24"/>
                <w:lang w:val="en-US" w:eastAsia="zh-CN"/>
              </w:rPr>
              <w:t>t/a</w:t>
            </w:r>
            <w:r>
              <w:rPr>
                <w:rFonts w:hint="eastAsia" w:ascii="Times New Roman" w:hAnsi="Times New Roman" w:eastAsia="宋体" w:cs="Times New Roman"/>
                <w:b w:val="0"/>
                <w:bCs w:val="0"/>
                <w:snapToGrid w:val="0"/>
                <w:color w:val="auto"/>
                <w:kern w:val="2"/>
                <w:sz w:val="24"/>
                <w:szCs w:val="24"/>
                <w:lang w:val="en-US" w:eastAsia="zh-CN"/>
              </w:rPr>
              <w:t>，1#</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、注塑工序</w:t>
            </w:r>
            <w:r>
              <w:rPr>
                <w:rFonts w:hint="default" w:ascii="Times New Roman" w:hAnsi="Times New Roman" w:eastAsia="宋体" w:cs="Times New Roman"/>
                <w:b w:val="0"/>
                <w:bCs w:val="0"/>
                <w:snapToGrid w:val="0"/>
                <w:color w:val="auto"/>
                <w:kern w:val="2"/>
                <w:sz w:val="24"/>
                <w:szCs w:val="24"/>
                <w:lang w:val="en-US" w:eastAsia="zh-CN"/>
              </w:rPr>
              <w:t>产生</w:t>
            </w:r>
            <w:r>
              <w:rPr>
                <w:rFonts w:hint="eastAsia" w:ascii="Times New Roman" w:hAnsi="Times New Roman" w:eastAsia="宋体" w:cs="Times New Roman"/>
                <w:b w:val="0"/>
                <w:bCs w:val="0"/>
                <w:snapToGrid w:val="0"/>
                <w:color w:val="auto"/>
                <w:kern w:val="2"/>
                <w:sz w:val="24"/>
                <w:szCs w:val="24"/>
                <w:lang w:val="en-US" w:eastAsia="zh-CN"/>
              </w:rPr>
              <w:t>挥发性有机物</w:t>
            </w:r>
            <w:r>
              <w:rPr>
                <w:rFonts w:hint="eastAsia" w:cs="Times New Roman"/>
                <w:b w:val="0"/>
                <w:bCs w:val="0"/>
                <w:snapToGrid w:val="0"/>
                <w:color w:val="auto"/>
                <w:kern w:val="2"/>
                <w:sz w:val="24"/>
                <w:szCs w:val="24"/>
                <w:lang w:val="en-US" w:eastAsia="zh-CN"/>
              </w:rPr>
              <w:t>排放</w:t>
            </w:r>
            <w:r>
              <w:rPr>
                <w:rFonts w:hint="default" w:ascii="Times New Roman" w:hAnsi="Times New Roman" w:eastAsia="宋体" w:cs="Times New Roman"/>
                <w:b w:val="0"/>
                <w:bCs w:val="0"/>
                <w:snapToGrid w:val="0"/>
                <w:color w:val="auto"/>
                <w:kern w:val="2"/>
                <w:sz w:val="24"/>
                <w:szCs w:val="24"/>
                <w:lang w:val="en-US" w:eastAsia="zh-CN"/>
              </w:rPr>
              <w:t>量约为</w:t>
            </w:r>
            <w:r>
              <w:rPr>
                <w:rFonts w:hint="eastAsia" w:cs="Times New Roman"/>
                <w:b w:val="0"/>
                <w:bCs w:val="0"/>
                <w:snapToGrid w:val="0"/>
                <w:color w:val="auto"/>
                <w:kern w:val="2"/>
                <w:sz w:val="24"/>
                <w:szCs w:val="24"/>
                <w:lang w:val="en-US" w:eastAsia="zh-CN"/>
              </w:rPr>
              <w:t>0.081</w:t>
            </w:r>
            <w:r>
              <w:rPr>
                <w:rFonts w:hint="default" w:ascii="Times New Roman" w:hAnsi="Times New Roman" w:eastAsia="宋体" w:cs="Times New Roman"/>
                <w:b w:val="0"/>
                <w:bCs w:val="0"/>
                <w:snapToGrid w:val="0"/>
                <w:color w:val="auto"/>
                <w:kern w:val="2"/>
                <w:sz w:val="24"/>
                <w:szCs w:val="24"/>
                <w:lang w:val="en-US" w:eastAsia="zh-CN"/>
              </w:rPr>
              <w:t>t/a</w:t>
            </w:r>
            <w:r>
              <w:rPr>
                <w:rFonts w:hint="eastAsia" w:ascii="Times New Roman" w:hAnsi="Times New Roman" w:eastAsia="宋体" w:cs="Times New Roman"/>
                <w:b w:val="0"/>
                <w:bCs w:val="0"/>
                <w:snapToGrid w:val="0"/>
                <w:color w:val="auto"/>
                <w:kern w:val="2"/>
                <w:sz w:val="24"/>
                <w:szCs w:val="24"/>
                <w:lang w:val="en-US" w:eastAsia="zh-CN"/>
              </w:rPr>
              <w:t>，2#</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、注塑工序</w:t>
            </w:r>
            <w:r>
              <w:rPr>
                <w:rFonts w:hint="default" w:ascii="Times New Roman" w:hAnsi="Times New Roman" w:eastAsia="宋体" w:cs="Times New Roman"/>
                <w:b w:val="0"/>
                <w:bCs w:val="0"/>
                <w:snapToGrid w:val="0"/>
                <w:color w:val="auto"/>
                <w:kern w:val="2"/>
                <w:sz w:val="24"/>
                <w:szCs w:val="24"/>
                <w:lang w:val="en-US" w:eastAsia="zh-CN"/>
              </w:rPr>
              <w:t>产生</w:t>
            </w:r>
            <w:r>
              <w:rPr>
                <w:rFonts w:hint="eastAsia" w:ascii="Times New Roman" w:hAnsi="Times New Roman" w:eastAsia="宋体" w:cs="Times New Roman"/>
                <w:b w:val="0"/>
                <w:bCs w:val="0"/>
                <w:snapToGrid w:val="0"/>
                <w:color w:val="auto"/>
                <w:kern w:val="2"/>
                <w:sz w:val="24"/>
                <w:szCs w:val="24"/>
                <w:lang w:val="en-US" w:eastAsia="zh-CN"/>
              </w:rPr>
              <w:t>挥发性有机物</w:t>
            </w:r>
            <w:r>
              <w:rPr>
                <w:rFonts w:hint="eastAsia" w:cs="Times New Roman"/>
                <w:b w:val="0"/>
                <w:bCs w:val="0"/>
                <w:snapToGrid w:val="0"/>
                <w:color w:val="auto"/>
                <w:kern w:val="2"/>
                <w:sz w:val="24"/>
                <w:szCs w:val="24"/>
                <w:lang w:val="en-US" w:eastAsia="zh-CN"/>
              </w:rPr>
              <w:t>排放</w:t>
            </w:r>
            <w:r>
              <w:rPr>
                <w:rFonts w:hint="default" w:ascii="Times New Roman" w:hAnsi="Times New Roman" w:eastAsia="宋体" w:cs="Times New Roman"/>
                <w:b w:val="0"/>
                <w:bCs w:val="0"/>
                <w:snapToGrid w:val="0"/>
                <w:color w:val="auto"/>
                <w:kern w:val="2"/>
                <w:sz w:val="24"/>
                <w:szCs w:val="24"/>
                <w:lang w:val="en-US" w:eastAsia="zh-CN"/>
              </w:rPr>
              <w:t>量约为</w:t>
            </w:r>
            <w:r>
              <w:rPr>
                <w:rFonts w:hint="eastAsia" w:cs="Times New Roman"/>
                <w:b w:val="0"/>
                <w:bCs w:val="0"/>
                <w:snapToGrid w:val="0"/>
                <w:color w:val="auto"/>
                <w:kern w:val="2"/>
                <w:sz w:val="24"/>
                <w:szCs w:val="24"/>
                <w:lang w:val="en-US" w:eastAsia="zh-CN"/>
              </w:rPr>
              <w:t>0.042</w:t>
            </w:r>
            <w:r>
              <w:rPr>
                <w:rFonts w:hint="default" w:ascii="Times New Roman" w:hAnsi="Times New Roman" w:eastAsia="宋体" w:cs="Times New Roman"/>
                <w:b w:val="0"/>
                <w:bCs w:val="0"/>
                <w:snapToGrid w:val="0"/>
                <w:color w:val="auto"/>
                <w:kern w:val="2"/>
                <w:sz w:val="24"/>
                <w:szCs w:val="24"/>
                <w:lang w:val="en-US" w:eastAsia="zh-CN"/>
              </w:rPr>
              <w:t>t/a</w:t>
            </w:r>
            <w:r>
              <w:rPr>
                <w:rFonts w:hint="eastAsia" w:ascii="Times New Roman" w:hAnsi="Times New Roman" w:eastAsia="宋体" w:cs="Times New Roman"/>
                <w:b w:val="0"/>
                <w:bCs w:val="0"/>
                <w:snapToGrid w:val="0"/>
                <w:color w:val="auto"/>
                <w:kern w:val="2"/>
                <w:sz w:val="24"/>
                <w:szCs w:val="24"/>
                <w:lang w:val="en-US" w:eastAsia="zh-CN"/>
              </w:rPr>
              <w:t>，</w:t>
            </w:r>
            <w:r>
              <w:rPr>
                <w:rFonts w:hint="eastAsia" w:cs="Times New Roman"/>
                <w:b w:val="0"/>
                <w:bCs w:val="0"/>
                <w:color w:val="auto"/>
                <w:sz w:val="24"/>
                <w:szCs w:val="24"/>
                <w:lang w:eastAsia="zh-CN"/>
              </w:rPr>
              <w:t>喷塑</w:t>
            </w:r>
            <w:r>
              <w:rPr>
                <w:rFonts w:hint="default" w:ascii="Times New Roman" w:hAnsi="Times New Roman" w:eastAsia="宋体" w:cs="Times New Roman"/>
                <w:color w:val="auto"/>
                <w:sz w:val="24"/>
                <w:szCs w:val="24"/>
                <w:lang w:eastAsia="zh-CN"/>
              </w:rPr>
              <w:t>工序</w:t>
            </w:r>
            <w:r>
              <w:rPr>
                <w:rFonts w:hint="default" w:ascii="Times New Roman" w:hAnsi="Times New Roman" w:eastAsia="宋体" w:cs="Times New Roman"/>
                <w:b w:val="0"/>
                <w:bCs w:val="0"/>
                <w:snapToGrid w:val="0"/>
                <w:color w:val="auto"/>
                <w:kern w:val="2"/>
                <w:sz w:val="24"/>
                <w:szCs w:val="24"/>
                <w:lang w:val="en-US" w:eastAsia="zh-CN"/>
              </w:rPr>
              <w:t>产生</w:t>
            </w:r>
            <w:r>
              <w:rPr>
                <w:rFonts w:hint="eastAsia" w:ascii="Times New Roman" w:hAnsi="Times New Roman" w:eastAsia="宋体" w:cs="Times New Roman"/>
                <w:b w:val="0"/>
                <w:bCs w:val="0"/>
                <w:snapToGrid w:val="0"/>
                <w:color w:val="auto"/>
                <w:kern w:val="2"/>
                <w:sz w:val="24"/>
                <w:szCs w:val="24"/>
                <w:lang w:val="en-US" w:eastAsia="zh-CN"/>
              </w:rPr>
              <w:t>颗粒物</w:t>
            </w:r>
            <w:r>
              <w:rPr>
                <w:rFonts w:hint="eastAsia" w:cs="Times New Roman"/>
                <w:b w:val="0"/>
                <w:bCs w:val="0"/>
                <w:snapToGrid w:val="0"/>
                <w:color w:val="auto"/>
                <w:kern w:val="2"/>
                <w:sz w:val="24"/>
                <w:szCs w:val="24"/>
                <w:lang w:val="en-US" w:eastAsia="zh-CN"/>
              </w:rPr>
              <w:t>排放</w:t>
            </w:r>
            <w:r>
              <w:rPr>
                <w:rFonts w:hint="default" w:ascii="Times New Roman" w:hAnsi="Times New Roman" w:eastAsia="宋体" w:cs="Times New Roman"/>
                <w:b w:val="0"/>
                <w:bCs w:val="0"/>
                <w:snapToGrid w:val="0"/>
                <w:color w:val="auto"/>
                <w:kern w:val="2"/>
                <w:sz w:val="24"/>
                <w:szCs w:val="24"/>
                <w:lang w:val="en-US" w:eastAsia="zh-CN"/>
              </w:rPr>
              <w:t>量约为</w:t>
            </w:r>
            <w:r>
              <w:rPr>
                <w:rFonts w:hint="eastAsia" w:ascii="Times New Roman" w:hAnsi="Times New Roman" w:eastAsia="宋体" w:cs="Times New Roman"/>
                <w:b w:val="0"/>
                <w:bCs w:val="0"/>
                <w:snapToGrid w:val="0"/>
                <w:color w:val="auto"/>
                <w:kern w:val="2"/>
                <w:sz w:val="24"/>
                <w:szCs w:val="24"/>
                <w:lang w:val="en-US" w:eastAsia="zh-CN"/>
              </w:rPr>
              <w:t>0.0</w:t>
            </w:r>
            <w:r>
              <w:rPr>
                <w:rFonts w:hint="eastAsia" w:cs="Times New Roman"/>
                <w:b w:val="0"/>
                <w:bCs w:val="0"/>
                <w:snapToGrid w:val="0"/>
                <w:color w:val="auto"/>
                <w:kern w:val="2"/>
                <w:sz w:val="24"/>
                <w:szCs w:val="24"/>
                <w:lang w:val="en-US" w:eastAsia="zh-CN"/>
              </w:rPr>
              <w:t>14</w:t>
            </w:r>
            <w:r>
              <w:rPr>
                <w:rFonts w:hint="default" w:ascii="Times New Roman" w:hAnsi="Times New Roman" w:eastAsia="宋体" w:cs="Times New Roman"/>
                <w:b w:val="0"/>
                <w:bCs w:val="0"/>
                <w:snapToGrid w:val="0"/>
                <w:color w:val="auto"/>
                <w:kern w:val="2"/>
                <w:sz w:val="24"/>
                <w:szCs w:val="24"/>
                <w:lang w:val="en-US" w:eastAsia="zh-CN"/>
              </w:rPr>
              <w:t>t/a</w:t>
            </w:r>
            <w:r>
              <w:rPr>
                <w:rFonts w:hint="eastAsia" w:ascii="Times New Roman" w:hAnsi="Times New Roman" w:eastAsia="宋体" w:cs="Times New Roman"/>
                <w:b w:val="0"/>
                <w:bCs w:val="0"/>
                <w:snapToGrid w:val="0"/>
                <w:color w:val="auto"/>
                <w:kern w:val="2"/>
                <w:sz w:val="24"/>
                <w:szCs w:val="24"/>
                <w:lang w:val="en-US" w:eastAsia="zh-CN"/>
              </w:rPr>
              <w:t>。</w:t>
            </w:r>
          </w:p>
          <w:p w14:paraId="5BDE551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color w:val="auto"/>
                <w:sz w:val="24"/>
                <w:szCs w:val="24"/>
                <w:lang w:eastAsia="zh-CN"/>
              </w:rPr>
            </w:pPr>
            <w:r>
              <w:rPr>
                <w:rFonts w:hint="default" w:ascii="Times New Roman" w:hAnsi="Times New Roman" w:cs="Times New Roman"/>
                <w:b/>
                <w:bCs/>
                <w:color w:val="auto"/>
                <w:sz w:val="24"/>
                <w:szCs w:val="24"/>
              </w:rPr>
              <w:t>表</w:t>
            </w:r>
            <w:r>
              <w:rPr>
                <w:rFonts w:hint="eastAsia" w:cs="Times New Roman"/>
                <w:b/>
                <w:bCs/>
                <w:color w:val="auto"/>
                <w:sz w:val="24"/>
                <w:szCs w:val="24"/>
                <w:lang w:val="en-US" w:eastAsia="zh-CN"/>
              </w:rPr>
              <w:t>2.14</w:t>
            </w:r>
            <w:r>
              <w:rPr>
                <w:rFonts w:hint="default" w:ascii="Times New Roman" w:hAnsi="Times New Roman" w:cs="Times New Roman"/>
                <w:b/>
                <w:bCs/>
                <w:color w:val="auto"/>
                <w:sz w:val="24"/>
                <w:szCs w:val="24"/>
              </w:rPr>
              <w:t xml:space="preserve"> </w:t>
            </w:r>
            <w:r>
              <w:rPr>
                <w:rFonts w:hint="eastAsia" w:ascii="Times New Roman" w:hAnsi="Times New Roman" w:cs="Times New Roman"/>
                <w:b/>
                <w:bCs/>
                <w:color w:val="auto"/>
                <w:sz w:val="24"/>
                <w:szCs w:val="24"/>
                <w:lang w:val="en-US" w:eastAsia="zh-CN"/>
              </w:rPr>
              <w:t xml:space="preserve"> </w:t>
            </w:r>
            <w:r>
              <w:rPr>
                <w:rFonts w:hint="eastAsia" w:cs="Times New Roman"/>
                <w:b/>
                <w:bCs/>
                <w:color w:val="auto"/>
                <w:sz w:val="24"/>
                <w:szCs w:val="24"/>
                <w:lang w:eastAsia="zh-CN"/>
              </w:rPr>
              <w:t>无组织废气</w:t>
            </w:r>
            <w:r>
              <w:rPr>
                <w:rFonts w:hint="default" w:ascii="Times New Roman" w:hAnsi="Times New Roman" w:cs="Times New Roman"/>
                <w:b/>
                <w:bCs/>
                <w:color w:val="auto"/>
                <w:sz w:val="24"/>
                <w:szCs w:val="24"/>
                <w:lang w:eastAsia="zh-CN"/>
              </w:rPr>
              <w:t>（</w:t>
            </w:r>
            <w:r>
              <w:rPr>
                <w:rFonts w:hint="eastAsia" w:ascii="Times New Roman" w:hAnsi="Times New Roman" w:cs="Times New Roman"/>
                <w:b/>
                <w:bCs/>
                <w:color w:val="auto"/>
                <w:sz w:val="24"/>
                <w:szCs w:val="24"/>
                <w:lang w:val="en-US" w:eastAsia="zh-CN"/>
              </w:rPr>
              <w:t>20</w:t>
            </w:r>
            <w:r>
              <w:rPr>
                <w:rFonts w:hint="eastAsia" w:cs="Times New Roman"/>
                <w:b/>
                <w:bCs/>
                <w:color w:val="auto"/>
                <w:sz w:val="24"/>
                <w:szCs w:val="24"/>
                <w:lang w:val="en-US" w:eastAsia="zh-CN"/>
              </w:rPr>
              <w:t>25</w:t>
            </w:r>
            <w:r>
              <w:rPr>
                <w:rFonts w:hint="eastAsia" w:ascii="Times New Roman" w:hAnsi="Times New Roman" w:cs="Times New Roman"/>
                <w:b/>
                <w:bCs/>
                <w:color w:val="auto"/>
                <w:sz w:val="24"/>
                <w:szCs w:val="24"/>
                <w:lang w:val="en-US" w:eastAsia="zh-CN"/>
              </w:rPr>
              <w:t>年</w:t>
            </w:r>
            <w:r>
              <w:rPr>
                <w:rFonts w:hint="eastAsia" w:cs="Times New Roman"/>
                <w:b/>
                <w:bCs/>
                <w:color w:val="auto"/>
                <w:sz w:val="24"/>
                <w:szCs w:val="24"/>
                <w:lang w:val="en-US" w:eastAsia="zh-CN"/>
              </w:rPr>
              <w:t>5</w:t>
            </w:r>
            <w:r>
              <w:rPr>
                <w:rFonts w:hint="default" w:ascii="Times New Roman" w:hAnsi="Times New Roman" w:cs="Times New Roman"/>
                <w:b/>
                <w:bCs/>
                <w:color w:val="auto"/>
                <w:sz w:val="24"/>
                <w:szCs w:val="24"/>
                <w:lang w:val="en-US" w:eastAsia="zh-CN"/>
              </w:rPr>
              <w:t>月</w:t>
            </w:r>
            <w:r>
              <w:rPr>
                <w:rFonts w:hint="eastAsia" w:cs="Times New Roman"/>
                <w:b/>
                <w:bCs/>
                <w:color w:val="auto"/>
                <w:sz w:val="24"/>
                <w:szCs w:val="24"/>
                <w:lang w:val="en-US" w:eastAsia="zh-CN"/>
              </w:rPr>
              <w:t>29</w:t>
            </w:r>
            <w:r>
              <w:rPr>
                <w:rFonts w:hint="default" w:ascii="Times New Roman" w:hAnsi="Times New Roman" w:cs="Times New Roman"/>
                <w:b/>
                <w:bCs/>
                <w:color w:val="auto"/>
                <w:sz w:val="24"/>
                <w:szCs w:val="24"/>
                <w:lang w:val="en-US" w:eastAsia="zh-CN"/>
              </w:rPr>
              <w:t>日</w:t>
            </w:r>
            <w:r>
              <w:rPr>
                <w:rFonts w:hint="default" w:ascii="Times New Roman" w:hAnsi="Times New Roman" w:cs="Times New Roman"/>
                <w:b/>
                <w:bCs/>
                <w:color w:val="auto"/>
                <w:sz w:val="24"/>
                <w:szCs w:val="24"/>
                <w:lang w:eastAsia="zh-CN"/>
              </w:rPr>
              <w:t>）</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853"/>
              <w:gridCol w:w="972"/>
              <w:gridCol w:w="1220"/>
              <w:gridCol w:w="1220"/>
              <w:gridCol w:w="1220"/>
            </w:tblGrid>
            <w:tr w14:paraId="7EEC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5" w:type="dxa"/>
                  <w:noWrap w:val="0"/>
                  <w:vAlign w:val="center"/>
                </w:tcPr>
                <w:p w14:paraId="0E97C66C">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sz w:val="21"/>
                      <w:szCs w:val="21"/>
                      <w:lang w:eastAsia="zh-CN"/>
                    </w:rPr>
                    <w:t>测点位置</w:t>
                  </w:r>
                </w:p>
              </w:tc>
              <w:tc>
                <w:tcPr>
                  <w:tcW w:w="1853" w:type="dxa"/>
                  <w:noWrap w:val="0"/>
                  <w:vAlign w:val="center"/>
                </w:tcPr>
                <w:p w14:paraId="79F08350">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项目名称</w:t>
                  </w:r>
                </w:p>
              </w:tc>
              <w:tc>
                <w:tcPr>
                  <w:tcW w:w="972" w:type="dxa"/>
                  <w:noWrap w:val="0"/>
                  <w:vAlign w:val="center"/>
                </w:tcPr>
                <w:p w14:paraId="350ED764">
                  <w:pPr>
                    <w:keepNext w:val="0"/>
                    <w:keepLines w:val="0"/>
                    <w:pageBreakBefore w:val="0"/>
                    <w:widowControl w:val="0"/>
                    <w:kinsoku/>
                    <w:wordWrap/>
                    <w:overflowPunct/>
                    <w:topLinePunct w:val="0"/>
                    <w:bidi w:val="0"/>
                    <w:adjustRightInd w:val="0"/>
                    <w:snapToGrid w:val="0"/>
                    <w:spacing w:line="240" w:lineRule="auto"/>
                    <w:ind w:right="0"/>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单位</w:t>
                  </w:r>
                </w:p>
              </w:tc>
              <w:tc>
                <w:tcPr>
                  <w:tcW w:w="3660" w:type="dxa"/>
                  <w:gridSpan w:val="3"/>
                  <w:noWrap w:val="0"/>
                  <w:vAlign w:val="center"/>
                </w:tcPr>
                <w:p w14:paraId="0BCC827E">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eastAsia"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检测结果</w:t>
                  </w:r>
                </w:p>
              </w:tc>
            </w:tr>
            <w:tr w14:paraId="07E1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5" w:type="dxa"/>
                  <w:vMerge w:val="restart"/>
                  <w:noWrap w:val="0"/>
                  <w:vAlign w:val="center"/>
                </w:tcPr>
                <w:p w14:paraId="363E09CC">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cs="Times New Roman"/>
                      <w:b w:val="0"/>
                      <w:bCs w:val="0"/>
                      <w:color w:val="auto"/>
                      <w:sz w:val="21"/>
                      <w:szCs w:val="21"/>
                      <w:lang w:val="en-US" w:eastAsia="zh-CN"/>
                    </w:rPr>
                  </w:pPr>
                  <w:r>
                    <w:rPr>
                      <w:rFonts w:hint="eastAsia" w:cs="Times New Roman"/>
                      <w:b w:val="0"/>
                      <w:bCs w:val="0"/>
                      <w:color w:val="auto"/>
                      <w:sz w:val="21"/>
                      <w:szCs w:val="21"/>
                      <w:lang w:eastAsia="zh-CN"/>
                    </w:rPr>
                    <w:t>厂界上方向</w:t>
                  </w:r>
                  <w:r>
                    <w:rPr>
                      <w:rFonts w:hint="eastAsia" w:cs="Times New Roman"/>
                      <w:b w:val="0"/>
                      <w:bCs w:val="0"/>
                      <w:color w:val="auto"/>
                      <w:sz w:val="21"/>
                      <w:szCs w:val="21"/>
                      <w:lang w:val="en-US" w:eastAsia="zh-CN"/>
                    </w:rPr>
                    <w:t>G1</w:t>
                  </w:r>
                </w:p>
              </w:tc>
              <w:tc>
                <w:tcPr>
                  <w:tcW w:w="1853" w:type="dxa"/>
                  <w:noWrap w:val="0"/>
                  <w:vAlign w:val="center"/>
                </w:tcPr>
                <w:p w14:paraId="51BC2CFC">
                  <w:pPr>
                    <w:keepNext w:val="0"/>
                    <w:keepLines w:val="0"/>
                    <w:pageBreakBefore w:val="0"/>
                    <w:widowControl w:val="0"/>
                    <w:kinsoku/>
                    <w:wordWrap/>
                    <w:overflowPunct/>
                    <w:topLinePunct w:val="0"/>
                    <w:bidi w:val="0"/>
                    <w:adjustRightInd w:val="0"/>
                    <w:snapToGrid w:val="0"/>
                    <w:spacing w:line="240" w:lineRule="auto"/>
                    <w:ind w:right="0" w:rightChars="0"/>
                    <w:jc w:val="center"/>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总悬浮颗粒物</w:t>
                  </w:r>
                </w:p>
              </w:tc>
              <w:tc>
                <w:tcPr>
                  <w:tcW w:w="972" w:type="dxa"/>
                  <w:noWrap w:val="0"/>
                  <w:vAlign w:val="center"/>
                </w:tcPr>
                <w:p w14:paraId="5A6DC572">
                  <w:pPr>
                    <w:keepNext w:val="0"/>
                    <w:keepLines w:val="0"/>
                    <w:pageBreakBefore w:val="0"/>
                    <w:widowControl w:val="0"/>
                    <w:kinsoku/>
                    <w:wordWrap/>
                    <w:overflowPunct/>
                    <w:topLinePunct w:val="0"/>
                    <w:bidi w:val="0"/>
                    <w:adjustRightInd w:val="0"/>
                    <w:snapToGrid w:val="0"/>
                    <w:spacing w:line="240" w:lineRule="auto"/>
                    <w:ind w:right="0"/>
                    <w:jc w:val="center"/>
                    <w:rPr>
                      <w:rFonts w:hint="eastAsia" w:cs="Times New Roman"/>
                      <w:b w:val="0"/>
                      <w:bCs w:val="0"/>
                      <w:color w:val="auto"/>
                      <w:sz w:val="21"/>
                      <w:szCs w:val="21"/>
                      <w:lang w:val="en-US" w:eastAsia="zh-CN"/>
                    </w:rPr>
                  </w:pPr>
                  <w:r>
                    <w:rPr>
                      <w:rFonts w:hint="default" w:ascii="Times New Roman" w:hAnsi="Times New Roman" w:eastAsia="宋体" w:cs="Times New Roman"/>
                      <w:color w:val="auto"/>
                      <w:kern w:val="0"/>
                      <w:sz w:val="21"/>
                      <w:szCs w:val="21"/>
                      <w:lang w:val="en-US" w:eastAsia="zh-CN"/>
                    </w:rPr>
                    <w:t>μg/m</w:t>
                  </w:r>
                  <w:r>
                    <w:rPr>
                      <w:rFonts w:hint="default" w:ascii="Times New Roman" w:hAnsi="Times New Roman" w:eastAsia="宋体" w:cs="Times New Roman"/>
                      <w:color w:val="auto"/>
                      <w:kern w:val="0"/>
                      <w:sz w:val="21"/>
                      <w:szCs w:val="21"/>
                      <w:vertAlign w:val="superscript"/>
                      <w:lang w:val="en-US" w:eastAsia="zh-CN"/>
                    </w:rPr>
                    <w:t>3</w:t>
                  </w:r>
                </w:p>
              </w:tc>
              <w:tc>
                <w:tcPr>
                  <w:tcW w:w="1220" w:type="dxa"/>
                  <w:noWrap w:val="0"/>
                  <w:vAlign w:val="center"/>
                </w:tcPr>
                <w:p w14:paraId="1C0296F7">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174</w:t>
                  </w:r>
                </w:p>
              </w:tc>
              <w:tc>
                <w:tcPr>
                  <w:tcW w:w="1220" w:type="dxa"/>
                  <w:noWrap w:val="0"/>
                  <w:vAlign w:val="center"/>
                </w:tcPr>
                <w:p w14:paraId="7BB449A3">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180</w:t>
                  </w:r>
                </w:p>
              </w:tc>
              <w:tc>
                <w:tcPr>
                  <w:tcW w:w="1220" w:type="dxa"/>
                  <w:noWrap w:val="0"/>
                  <w:vAlign w:val="center"/>
                </w:tcPr>
                <w:p w14:paraId="46ECAFFD">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194</w:t>
                  </w:r>
                </w:p>
              </w:tc>
            </w:tr>
            <w:tr w14:paraId="46E8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5" w:type="dxa"/>
                  <w:vMerge w:val="continue"/>
                  <w:noWrap w:val="0"/>
                  <w:vAlign w:val="center"/>
                </w:tcPr>
                <w:p w14:paraId="4EA18EBB">
                  <w:pPr>
                    <w:keepNext w:val="0"/>
                    <w:keepLines w:val="0"/>
                    <w:pageBreakBefore w:val="0"/>
                    <w:widowControl w:val="0"/>
                    <w:kinsoku/>
                    <w:wordWrap/>
                    <w:overflowPunct/>
                    <w:topLinePunct w:val="0"/>
                    <w:bidi w:val="0"/>
                    <w:adjustRightInd w:val="0"/>
                    <w:snapToGrid w:val="0"/>
                    <w:spacing w:line="240" w:lineRule="auto"/>
                    <w:ind w:right="0" w:rightChars="0"/>
                    <w:jc w:val="center"/>
                    <w:rPr>
                      <w:rFonts w:hint="eastAsia" w:cs="Times New Roman"/>
                      <w:b w:val="0"/>
                      <w:bCs w:val="0"/>
                      <w:color w:val="auto"/>
                      <w:sz w:val="21"/>
                      <w:szCs w:val="21"/>
                      <w:lang w:eastAsia="zh-CN"/>
                    </w:rPr>
                  </w:pPr>
                </w:p>
              </w:tc>
              <w:tc>
                <w:tcPr>
                  <w:tcW w:w="1853" w:type="dxa"/>
                  <w:noWrap w:val="0"/>
                  <w:vAlign w:val="center"/>
                </w:tcPr>
                <w:p w14:paraId="6637D519">
                  <w:pPr>
                    <w:keepNext w:val="0"/>
                    <w:keepLines w:val="0"/>
                    <w:pageBreakBefore w:val="0"/>
                    <w:widowControl w:val="0"/>
                    <w:kinsoku/>
                    <w:wordWrap/>
                    <w:overflowPunct/>
                    <w:topLinePunct w:val="0"/>
                    <w:bidi w:val="0"/>
                    <w:adjustRightInd w:val="0"/>
                    <w:snapToGrid w:val="0"/>
                    <w:spacing w:line="240" w:lineRule="auto"/>
                    <w:ind w:right="0" w:rightChars="0"/>
                    <w:jc w:val="center"/>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挥发性有机物</w:t>
                  </w:r>
                </w:p>
              </w:tc>
              <w:tc>
                <w:tcPr>
                  <w:tcW w:w="972" w:type="dxa"/>
                  <w:noWrap w:val="0"/>
                  <w:vAlign w:val="center"/>
                </w:tcPr>
                <w:p w14:paraId="2E168BB2">
                  <w:pPr>
                    <w:keepNext w:val="0"/>
                    <w:keepLines w:val="0"/>
                    <w:pageBreakBefore w:val="0"/>
                    <w:widowControl w:val="0"/>
                    <w:kinsoku/>
                    <w:wordWrap/>
                    <w:overflowPunct/>
                    <w:topLinePunct w:val="0"/>
                    <w:bidi w:val="0"/>
                    <w:adjustRightInd w:val="0"/>
                    <w:snapToGrid w:val="0"/>
                    <w:spacing w:line="240" w:lineRule="auto"/>
                    <w:ind w:right="0"/>
                    <w:jc w:val="center"/>
                    <w:rPr>
                      <w:rFonts w:hint="eastAsia" w:cs="Times New Roman"/>
                      <w:b w:val="0"/>
                      <w:bCs w:val="0"/>
                      <w:color w:val="auto"/>
                      <w:sz w:val="21"/>
                      <w:szCs w:val="21"/>
                      <w:lang w:val="en-US" w:eastAsia="zh-CN"/>
                    </w:rPr>
                  </w:pPr>
                  <w:r>
                    <w:rPr>
                      <w:rFonts w:hint="default" w:ascii="Times New Roman" w:hAnsi="Times New Roman" w:eastAsia="宋体" w:cs="Times New Roman"/>
                      <w:color w:val="auto"/>
                      <w:kern w:val="0"/>
                      <w:sz w:val="21"/>
                      <w:szCs w:val="21"/>
                      <w:lang w:val="en-US" w:eastAsia="zh-CN"/>
                    </w:rPr>
                    <w:t>μg/m</w:t>
                  </w:r>
                  <w:r>
                    <w:rPr>
                      <w:rFonts w:hint="default" w:ascii="Times New Roman" w:hAnsi="Times New Roman" w:eastAsia="宋体" w:cs="Times New Roman"/>
                      <w:color w:val="auto"/>
                      <w:kern w:val="0"/>
                      <w:sz w:val="21"/>
                      <w:szCs w:val="21"/>
                      <w:vertAlign w:val="superscript"/>
                      <w:lang w:val="en-US" w:eastAsia="zh-CN"/>
                    </w:rPr>
                    <w:t>3</w:t>
                  </w:r>
                </w:p>
              </w:tc>
              <w:tc>
                <w:tcPr>
                  <w:tcW w:w="1220" w:type="dxa"/>
                  <w:noWrap w:val="0"/>
                  <w:vAlign w:val="center"/>
                </w:tcPr>
                <w:p w14:paraId="6F26C43F">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20.5</w:t>
                  </w:r>
                </w:p>
              </w:tc>
              <w:tc>
                <w:tcPr>
                  <w:tcW w:w="1220" w:type="dxa"/>
                  <w:noWrap w:val="0"/>
                  <w:vAlign w:val="center"/>
                </w:tcPr>
                <w:p w14:paraId="3E20637E">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18.3</w:t>
                  </w:r>
                </w:p>
              </w:tc>
              <w:tc>
                <w:tcPr>
                  <w:tcW w:w="1220" w:type="dxa"/>
                  <w:noWrap w:val="0"/>
                  <w:vAlign w:val="center"/>
                </w:tcPr>
                <w:p w14:paraId="3FB36709">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27.8</w:t>
                  </w:r>
                </w:p>
              </w:tc>
            </w:tr>
            <w:tr w14:paraId="496B7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5" w:type="dxa"/>
                  <w:vMerge w:val="continue"/>
                  <w:noWrap w:val="0"/>
                  <w:vAlign w:val="center"/>
                </w:tcPr>
                <w:p w14:paraId="7BFF9320">
                  <w:pPr>
                    <w:keepNext w:val="0"/>
                    <w:keepLines w:val="0"/>
                    <w:pageBreakBefore w:val="0"/>
                    <w:widowControl w:val="0"/>
                    <w:kinsoku/>
                    <w:wordWrap/>
                    <w:overflowPunct/>
                    <w:topLinePunct w:val="0"/>
                    <w:bidi w:val="0"/>
                    <w:adjustRightInd w:val="0"/>
                    <w:snapToGrid w:val="0"/>
                    <w:spacing w:line="240" w:lineRule="auto"/>
                    <w:ind w:right="0" w:rightChars="0"/>
                    <w:jc w:val="center"/>
                    <w:rPr>
                      <w:rFonts w:hint="eastAsia" w:cs="Times New Roman"/>
                      <w:b w:val="0"/>
                      <w:bCs w:val="0"/>
                      <w:color w:val="auto"/>
                      <w:sz w:val="21"/>
                      <w:szCs w:val="21"/>
                      <w:lang w:eastAsia="zh-CN"/>
                    </w:rPr>
                  </w:pPr>
                </w:p>
              </w:tc>
              <w:tc>
                <w:tcPr>
                  <w:tcW w:w="1853" w:type="dxa"/>
                  <w:noWrap w:val="0"/>
                  <w:vAlign w:val="center"/>
                </w:tcPr>
                <w:p w14:paraId="64FDE213">
                  <w:pPr>
                    <w:keepNext w:val="0"/>
                    <w:keepLines w:val="0"/>
                    <w:pageBreakBefore w:val="0"/>
                    <w:widowControl w:val="0"/>
                    <w:kinsoku/>
                    <w:wordWrap/>
                    <w:overflowPunct/>
                    <w:topLinePunct w:val="0"/>
                    <w:bidi w:val="0"/>
                    <w:adjustRightInd w:val="0"/>
                    <w:snapToGrid w:val="0"/>
                    <w:spacing w:line="240" w:lineRule="auto"/>
                    <w:ind w:right="0" w:rightChars="0"/>
                    <w:jc w:val="center"/>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氨</w:t>
                  </w:r>
                </w:p>
              </w:tc>
              <w:tc>
                <w:tcPr>
                  <w:tcW w:w="972" w:type="dxa"/>
                  <w:noWrap w:val="0"/>
                  <w:vAlign w:val="center"/>
                </w:tcPr>
                <w:p w14:paraId="5B40FF48">
                  <w:pPr>
                    <w:keepNext w:val="0"/>
                    <w:keepLines w:val="0"/>
                    <w:pageBreakBefore w:val="0"/>
                    <w:widowControl w:val="0"/>
                    <w:kinsoku/>
                    <w:wordWrap/>
                    <w:overflowPunct/>
                    <w:topLinePunct w:val="0"/>
                    <w:bidi w:val="0"/>
                    <w:adjustRightInd w:val="0"/>
                    <w:snapToGrid w:val="0"/>
                    <w:spacing w:line="240" w:lineRule="auto"/>
                    <w:ind w:right="0"/>
                    <w:jc w:val="center"/>
                    <w:rPr>
                      <w:rFonts w:hint="eastAsia" w:cs="Times New Roman"/>
                      <w:b w:val="0"/>
                      <w:bCs w:val="0"/>
                      <w:color w:val="auto"/>
                      <w:sz w:val="21"/>
                      <w:szCs w:val="21"/>
                      <w:lang w:val="en-US" w:eastAsia="zh-CN"/>
                    </w:rPr>
                  </w:pPr>
                  <w:r>
                    <w:rPr>
                      <w:rFonts w:hint="eastAsia" w:ascii="Times New Roman" w:hAnsi="Times New Roman" w:eastAsia="宋体" w:cs="Times New Roman"/>
                      <w:color w:val="auto"/>
                      <w:kern w:val="0"/>
                      <w:sz w:val="21"/>
                      <w:szCs w:val="21"/>
                      <w:lang w:val="en-US" w:eastAsia="zh-CN"/>
                    </w:rPr>
                    <w:t>m</w:t>
                  </w:r>
                  <w:r>
                    <w:rPr>
                      <w:rFonts w:hint="default" w:ascii="Times New Roman" w:hAnsi="Times New Roman" w:eastAsia="宋体" w:cs="Times New Roman"/>
                      <w:color w:val="auto"/>
                      <w:kern w:val="0"/>
                      <w:sz w:val="21"/>
                      <w:szCs w:val="21"/>
                      <w:lang w:val="en-US" w:eastAsia="zh-CN"/>
                    </w:rPr>
                    <w:t>g/m</w:t>
                  </w:r>
                  <w:r>
                    <w:rPr>
                      <w:rFonts w:hint="default" w:ascii="Times New Roman" w:hAnsi="Times New Roman" w:eastAsia="宋体" w:cs="Times New Roman"/>
                      <w:color w:val="auto"/>
                      <w:kern w:val="0"/>
                      <w:sz w:val="21"/>
                      <w:szCs w:val="21"/>
                      <w:vertAlign w:val="superscript"/>
                      <w:lang w:val="en-US" w:eastAsia="zh-CN"/>
                    </w:rPr>
                    <w:t>3</w:t>
                  </w:r>
                </w:p>
              </w:tc>
              <w:tc>
                <w:tcPr>
                  <w:tcW w:w="1220" w:type="dxa"/>
                  <w:noWrap w:val="0"/>
                  <w:vAlign w:val="center"/>
                </w:tcPr>
                <w:p w14:paraId="01B5FF83">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0.05</w:t>
                  </w:r>
                </w:p>
              </w:tc>
              <w:tc>
                <w:tcPr>
                  <w:tcW w:w="1220" w:type="dxa"/>
                  <w:noWrap w:val="0"/>
                  <w:vAlign w:val="center"/>
                </w:tcPr>
                <w:p w14:paraId="572BC75A">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0.07</w:t>
                  </w:r>
                </w:p>
              </w:tc>
              <w:tc>
                <w:tcPr>
                  <w:tcW w:w="1220" w:type="dxa"/>
                  <w:noWrap w:val="0"/>
                  <w:vAlign w:val="center"/>
                </w:tcPr>
                <w:p w14:paraId="529B8398">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0.06</w:t>
                  </w:r>
                </w:p>
              </w:tc>
            </w:tr>
            <w:tr w14:paraId="7F41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5" w:type="dxa"/>
                  <w:vMerge w:val="restart"/>
                  <w:noWrap w:val="0"/>
                  <w:vAlign w:val="center"/>
                </w:tcPr>
                <w:p w14:paraId="2E6A54CD">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cs="Times New Roman"/>
                      <w:b w:val="0"/>
                      <w:bCs w:val="0"/>
                      <w:color w:val="auto"/>
                      <w:sz w:val="21"/>
                      <w:szCs w:val="21"/>
                      <w:lang w:val="en-US" w:eastAsia="zh-CN"/>
                    </w:rPr>
                  </w:pPr>
                  <w:r>
                    <w:rPr>
                      <w:rFonts w:hint="eastAsia" w:cs="Times New Roman"/>
                      <w:b w:val="0"/>
                      <w:bCs w:val="0"/>
                      <w:color w:val="auto"/>
                      <w:sz w:val="21"/>
                      <w:szCs w:val="21"/>
                      <w:lang w:eastAsia="zh-CN"/>
                    </w:rPr>
                    <w:t>厂界下方向</w:t>
                  </w:r>
                  <w:r>
                    <w:rPr>
                      <w:rFonts w:hint="eastAsia" w:cs="Times New Roman"/>
                      <w:b w:val="0"/>
                      <w:bCs w:val="0"/>
                      <w:color w:val="auto"/>
                      <w:sz w:val="21"/>
                      <w:szCs w:val="21"/>
                      <w:lang w:val="en-US" w:eastAsia="zh-CN"/>
                    </w:rPr>
                    <w:t>G2</w:t>
                  </w:r>
                </w:p>
              </w:tc>
              <w:tc>
                <w:tcPr>
                  <w:tcW w:w="1853" w:type="dxa"/>
                  <w:shd w:val="clear" w:color="auto" w:fill="auto"/>
                  <w:noWrap w:val="0"/>
                  <w:vAlign w:val="center"/>
                </w:tcPr>
                <w:p w14:paraId="198AE3E1">
                  <w:pPr>
                    <w:keepNext w:val="0"/>
                    <w:keepLines w:val="0"/>
                    <w:pageBreakBefore w:val="0"/>
                    <w:widowControl w:val="0"/>
                    <w:kinsoku/>
                    <w:wordWrap/>
                    <w:overflowPunct/>
                    <w:topLinePunct w:val="0"/>
                    <w:bidi w:val="0"/>
                    <w:adjustRightInd w:val="0"/>
                    <w:snapToGrid w:val="0"/>
                    <w:spacing w:line="240" w:lineRule="auto"/>
                    <w:ind w:right="0" w:right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总悬浮颗粒物</w:t>
                  </w:r>
                </w:p>
              </w:tc>
              <w:tc>
                <w:tcPr>
                  <w:tcW w:w="972" w:type="dxa"/>
                  <w:shd w:val="clear" w:color="auto" w:fill="auto"/>
                  <w:noWrap w:val="0"/>
                  <w:vAlign w:val="center"/>
                </w:tcPr>
                <w:p w14:paraId="289AE103">
                  <w:pPr>
                    <w:keepNext w:val="0"/>
                    <w:keepLines w:val="0"/>
                    <w:pageBreakBefore w:val="0"/>
                    <w:widowControl w:val="0"/>
                    <w:kinsoku/>
                    <w:wordWrap/>
                    <w:overflowPunct/>
                    <w:topLinePunct w:val="0"/>
                    <w:bidi w:val="0"/>
                    <w:adjustRightInd w:val="0"/>
                    <w:snapToGrid w:val="0"/>
                    <w:spacing w:line="240" w:lineRule="auto"/>
                    <w:ind w:right="0" w:rightChars="0"/>
                    <w:jc w:val="center"/>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rPr>
                    <w:t>μg/m</w:t>
                  </w:r>
                  <w:r>
                    <w:rPr>
                      <w:rFonts w:hint="default" w:ascii="Times New Roman" w:hAnsi="Times New Roman" w:eastAsia="宋体" w:cs="Times New Roman"/>
                      <w:color w:val="auto"/>
                      <w:kern w:val="0"/>
                      <w:sz w:val="21"/>
                      <w:szCs w:val="21"/>
                      <w:vertAlign w:val="superscript"/>
                      <w:lang w:val="en-US" w:eastAsia="zh-CN"/>
                    </w:rPr>
                    <w:t>3</w:t>
                  </w:r>
                </w:p>
              </w:tc>
              <w:tc>
                <w:tcPr>
                  <w:tcW w:w="1220" w:type="dxa"/>
                  <w:noWrap w:val="0"/>
                  <w:vAlign w:val="center"/>
                </w:tcPr>
                <w:p w14:paraId="17D55972">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274</w:t>
                  </w:r>
                </w:p>
              </w:tc>
              <w:tc>
                <w:tcPr>
                  <w:tcW w:w="1220" w:type="dxa"/>
                  <w:noWrap w:val="0"/>
                  <w:vAlign w:val="center"/>
                </w:tcPr>
                <w:p w14:paraId="4C0D72E5">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326</w:t>
                  </w:r>
                </w:p>
              </w:tc>
              <w:tc>
                <w:tcPr>
                  <w:tcW w:w="1220" w:type="dxa"/>
                  <w:noWrap w:val="0"/>
                  <w:vAlign w:val="center"/>
                </w:tcPr>
                <w:p w14:paraId="054A942E">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308</w:t>
                  </w:r>
                </w:p>
              </w:tc>
            </w:tr>
            <w:tr w14:paraId="51E0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5" w:type="dxa"/>
                  <w:vMerge w:val="continue"/>
                  <w:noWrap w:val="0"/>
                  <w:vAlign w:val="center"/>
                </w:tcPr>
                <w:p w14:paraId="32859F07">
                  <w:pPr>
                    <w:keepNext w:val="0"/>
                    <w:keepLines w:val="0"/>
                    <w:pageBreakBefore w:val="0"/>
                    <w:widowControl w:val="0"/>
                    <w:kinsoku/>
                    <w:wordWrap/>
                    <w:overflowPunct/>
                    <w:topLinePunct w:val="0"/>
                    <w:bidi w:val="0"/>
                    <w:adjustRightInd w:val="0"/>
                    <w:snapToGrid w:val="0"/>
                    <w:spacing w:line="240" w:lineRule="auto"/>
                    <w:ind w:right="0" w:rightChars="0"/>
                    <w:jc w:val="center"/>
                    <w:rPr>
                      <w:rFonts w:hint="eastAsia" w:cs="Times New Roman"/>
                      <w:b w:val="0"/>
                      <w:bCs w:val="0"/>
                      <w:color w:val="auto"/>
                      <w:sz w:val="21"/>
                      <w:szCs w:val="21"/>
                      <w:lang w:eastAsia="zh-CN"/>
                    </w:rPr>
                  </w:pPr>
                </w:p>
              </w:tc>
              <w:tc>
                <w:tcPr>
                  <w:tcW w:w="1853" w:type="dxa"/>
                  <w:shd w:val="clear" w:color="auto" w:fill="auto"/>
                  <w:noWrap w:val="0"/>
                  <w:vAlign w:val="center"/>
                </w:tcPr>
                <w:p w14:paraId="77DA0640">
                  <w:pPr>
                    <w:keepNext w:val="0"/>
                    <w:keepLines w:val="0"/>
                    <w:pageBreakBefore w:val="0"/>
                    <w:widowControl w:val="0"/>
                    <w:kinsoku/>
                    <w:wordWrap/>
                    <w:overflowPunct/>
                    <w:topLinePunct w:val="0"/>
                    <w:bidi w:val="0"/>
                    <w:adjustRightInd w:val="0"/>
                    <w:snapToGrid w:val="0"/>
                    <w:spacing w:line="240" w:lineRule="auto"/>
                    <w:ind w:right="0" w:right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挥发性有机物</w:t>
                  </w:r>
                </w:p>
              </w:tc>
              <w:tc>
                <w:tcPr>
                  <w:tcW w:w="972" w:type="dxa"/>
                  <w:shd w:val="clear" w:color="auto" w:fill="auto"/>
                  <w:noWrap w:val="0"/>
                  <w:vAlign w:val="center"/>
                </w:tcPr>
                <w:p w14:paraId="77C6E8C1">
                  <w:pPr>
                    <w:keepNext w:val="0"/>
                    <w:keepLines w:val="0"/>
                    <w:pageBreakBefore w:val="0"/>
                    <w:widowControl w:val="0"/>
                    <w:kinsoku/>
                    <w:wordWrap/>
                    <w:overflowPunct/>
                    <w:topLinePunct w:val="0"/>
                    <w:bidi w:val="0"/>
                    <w:adjustRightInd w:val="0"/>
                    <w:snapToGrid w:val="0"/>
                    <w:spacing w:line="240" w:lineRule="auto"/>
                    <w:ind w:right="0" w:rightChars="0"/>
                    <w:jc w:val="center"/>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rPr>
                    <w:t>μg/m</w:t>
                  </w:r>
                  <w:r>
                    <w:rPr>
                      <w:rFonts w:hint="default" w:ascii="Times New Roman" w:hAnsi="Times New Roman" w:eastAsia="宋体" w:cs="Times New Roman"/>
                      <w:color w:val="auto"/>
                      <w:kern w:val="0"/>
                      <w:sz w:val="21"/>
                      <w:szCs w:val="21"/>
                      <w:vertAlign w:val="superscript"/>
                      <w:lang w:val="en-US" w:eastAsia="zh-CN"/>
                    </w:rPr>
                    <w:t>3</w:t>
                  </w:r>
                </w:p>
              </w:tc>
              <w:tc>
                <w:tcPr>
                  <w:tcW w:w="1220" w:type="dxa"/>
                  <w:noWrap w:val="0"/>
                  <w:vAlign w:val="center"/>
                </w:tcPr>
                <w:p w14:paraId="09C58339">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49.0</w:t>
                  </w:r>
                </w:p>
              </w:tc>
              <w:tc>
                <w:tcPr>
                  <w:tcW w:w="1220" w:type="dxa"/>
                  <w:noWrap w:val="0"/>
                  <w:vAlign w:val="center"/>
                </w:tcPr>
                <w:p w14:paraId="08F826F9">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91.6</w:t>
                  </w:r>
                </w:p>
              </w:tc>
              <w:tc>
                <w:tcPr>
                  <w:tcW w:w="1220" w:type="dxa"/>
                  <w:noWrap w:val="0"/>
                  <w:vAlign w:val="center"/>
                </w:tcPr>
                <w:p w14:paraId="18C9DFDB">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43.7</w:t>
                  </w:r>
                </w:p>
              </w:tc>
            </w:tr>
            <w:tr w14:paraId="2F23E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5" w:type="dxa"/>
                  <w:vMerge w:val="continue"/>
                  <w:noWrap w:val="0"/>
                  <w:vAlign w:val="center"/>
                </w:tcPr>
                <w:p w14:paraId="47D6C8F6">
                  <w:pPr>
                    <w:keepNext w:val="0"/>
                    <w:keepLines w:val="0"/>
                    <w:pageBreakBefore w:val="0"/>
                    <w:widowControl w:val="0"/>
                    <w:kinsoku/>
                    <w:wordWrap/>
                    <w:overflowPunct/>
                    <w:topLinePunct w:val="0"/>
                    <w:bidi w:val="0"/>
                    <w:adjustRightInd w:val="0"/>
                    <w:snapToGrid w:val="0"/>
                    <w:spacing w:line="240" w:lineRule="auto"/>
                    <w:ind w:right="0" w:rightChars="0"/>
                    <w:jc w:val="center"/>
                    <w:rPr>
                      <w:rFonts w:hint="eastAsia" w:cs="Times New Roman"/>
                      <w:b w:val="0"/>
                      <w:bCs w:val="0"/>
                      <w:color w:val="auto"/>
                      <w:sz w:val="21"/>
                      <w:szCs w:val="21"/>
                      <w:lang w:eastAsia="zh-CN"/>
                    </w:rPr>
                  </w:pPr>
                </w:p>
              </w:tc>
              <w:tc>
                <w:tcPr>
                  <w:tcW w:w="1853" w:type="dxa"/>
                  <w:shd w:val="clear" w:color="auto" w:fill="auto"/>
                  <w:noWrap w:val="0"/>
                  <w:vAlign w:val="center"/>
                </w:tcPr>
                <w:p w14:paraId="61D544CC">
                  <w:pPr>
                    <w:keepNext w:val="0"/>
                    <w:keepLines w:val="0"/>
                    <w:pageBreakBefore w:val="0"/>
                    <w:widowControl w:val="0"/>
                    <w:kinsoku/>
                    <w:wordWrap/>
                    <w:overflowPunct/>
                    <w:topLinePunct w:val="0"/>
                    <w:bidi w:val="0"/>
                    <w:adjustRightInd w:val="0"/>
                    <w:snapToGrid w:val="0"/>
                    <w:spacing w:line="240" w:lineRule="auto"/>
                    <w:ind w:right="0" w:right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氨</w:t>
                  </w:r>
                </w:p>
              </w:tc>
              <w:tc>
                <w:tcPr>
                  <w:tcW w:w="972" w:type="dxa"/>
                  <w:shd w:val="clear" w:color="auto" w:fill="auto"/>
                  <w:noWrap w:val="0"/>
                  <w:vAlign w:val="center"/>
                </w:tcPr>
                <w:p w14:paraId="27C12491">
                  <w:pPr>
                    <w:keepNext w:val="0"/>
                    <w:keepLines w:val="0"/>
                    <w:pageBreakBefore w:val="0"/>
                    <w:widowControl w:val="0"/>
                    <w:kinsoku/>
                    <w:wordWrap/>
                    <w:overflowPunct/>
                    <w:topLinePunct w:val="0"/>
                    <w:bidi w:val="0"/>
                    <w:adjustRightInd w:val="0"/>
                    <w:snapToGrid w:val="0"/>
                    <w:spacing w:line="240" w:lineRule="auto"/>
                    <w:ind w:right="0" w:rightChars="0"/>
                    <w:jc w:val="center"/>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color w:val="auto"/>
                      <w:kern w:val="0"/>
                      <w:sz w:val="21"/>
                      <w:szCs w:val="21"/>
                      <w:lang w:val="en-US" w:eastAsia="zh-CN"/>
                    </w:rPr>
                    <w:t>m</w:t>
                  </w:r>
                  <w:r>
                    <w:rPr>
                      <w:rFonts w:hint="default" w:ascii="Times New Roman" w:hAnsi="Times New Roman" w:eastAsia="宋体" w:cs="Times New Roman"/>
                      <w:color w:val="auto"/>
                      <w:kern w:val="0"/>
                      <w:sz w:val="21"/>
                      <w:szCs w:val="21"/>
                      <w:lang w:val="en-US" w:eastAsia="zh-CN"/>
                    </w:rPr>
                    <w:t>g/m</w:t>
                  </w:r>
                  <w:r>
                    <w:rPr>
                      <w:rFonts w:hint="default" w:ascii="Times New Roman" w:hAnsi="Times New Roman" w:eastAsia="宋体" w:cs="Times New Roman"/>
                      <w:color w:val="auto"/>
                      <w:kern w:val="0"/>
                      <w:sz w:val="21"/>
                      <w:szCs w:val="21"/>
                      <w:vertAlign w:val="superscript"/>
                      <w:lang w:val="en-US" w:eastAsia="zh-CN"/>
                    </w:rPr>
                    <w:t>3</w:t>
                  </w:r>
                </w:p>
              </w:tc>
              <w:tc>
                <w:tcPr>
                  <w:tcW w:w="1220" w:type="dxa"/>
                  <w:noWrap w:val="0"/>
                  <w:vAlign w:val="center"/>
                </w:tcPr>
                <w:p w14:paraId="1389F18F">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0.11</w:t>
                  </w:r>
                </w:p>
              </w:tc>
              <w:tc>
                <w:tcPr>
                  <w:tcW w:w="1220" w:type="dxa"/>
                  <w:noWrap w:val="0"/>
                  <w:vAlign w:val="center"/>
                </w:tcPr>
                <w:p w14:paraId="0DED3589">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0.11</w:t>
                  </w:r>
                </w:p>
              </w:tc>
              <w:tc>
                <w:tcPr>
                  <w:tcW w:w="1220" w:type="dxa"/>
                  <w:noWrap w:val="0"/>
                  <w:vAlign w:val="center"/>
                </w:tcPr>
                <w:p w14:paraId="7E6EBF23">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0.09</w:t>
                  </w:r>
                </w:p>
              </w:tc>
            </w:tr>
            <w:tr w14:paraId="0EA1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5" w:type="dxa"/>
                  <w:vMerge w:val="restart"/>
                  <w:noWrap w:val="0"/>
                  <w:vAlign w:val="center"/>
                </w:tcPr>
                <w:p w14:paraId="57B04CE9">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cs="Times New Roman"/>
                      <w:b w:val="0"/>
                      <w:bCs w:val="0"/>
                      <w:color w:val="auto"/>
                      <w:sz w:val="21"/>
                      <w:szCs w:val="21"/>
                      <w:lang w:val="en-US" w:eastAsia="zh-CN"/>
                    </w:rPr>
                  </w:pPr>
                  <w:r>
                    <w:rPr>
                      <w:rFonts w:hint="eastAsia" w:cs="Times New Roman"/>
                      <w:b w:val="0"/>
                      <w:bCs w:val="0"/>
                      <w:color w:val="auto"/>
                      <w:sz w:val="21"/>
                      <w:szCs w:val="21"/>
                      <w:lang w:eastAsia="zh-CN"/>
                    </w:rPr>
                    <w:t>厂界下方向</w:t>
                  </w:r>
                  <w:r>
                    <w:rPr>
                      <w:rFonts w:hint="eastAsia" w:cs="Times New Roman"/>
                      <w:b w:val="0"/>
                      <w:bCs w:val="0"/>
                      <w:color w:val="auto"/>
                      <w:sz w:val="21"/>
                      <w:szCs w:val="21"/>
                      <w:lang w:val="en-US" w:eastAsia="zh-CN"/>
                    </w:rPr>
                    <w:t>G3</w:t>
                  </w:r>
                </w:p>
              </w:tc>
              <w:tc>
                <w:tcPr>
                  <w:tcW w:w="1853" w:type="dxa"/>
                  <w:shd w:val="clear" w:color="auto" w:fill="auto"/>
                  <w:noWrap w:val="0"/>
                  <w:vAlign w:val="center"/>
                </w:tcPr>
                <w:p w14:paraId="5DA72C44">
                  <w:pPr>
                    <w:keepNext w:val="0"/>
                    <w:keepLines w:val="0"/>
                    <w:pageBreakBefore w:val="0"/>
                    <w:widowControl w:val="0"/>
                    <w:kinsoku/>
                    <w:wordWrap/>
                    <w:overflowPunct/>
                    <w:topLinePunct w:val="0"/>
                    <w:bidi w:val="0"/>
                    <w:adjustRightInd w:val="0"/>
                    <w:snapToGrid w:val="0"/>
                    <w:spacing w:line="240" w:lineRule="auto"/>
                    <w:ind w:right="0" w:right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总悬浮颗粒物</w:t>
                  </w:r>
                </w:p>
              </w:tc>
              <w:tc>
                <w:tcPr>
                  <w:tcW w:w="972" w:type="dxa"/>
                  <w:shd w:val="clear" w:color="auto" w:fill="auto"/>
                  <w:noWrap w:val="0"/>
                  <w:vAlign w:val="center"/>
                </w:tcPr>
                <w:p w14:paraId="6CA5865C">
                  <w:pPr>
                    <w:keepNext w:val="0"/>
                    <w:keepLines w:val="0"/>
                    <w:pageBreakBefore w:val="0"/>
                    <w:widowControl w:val="0"/>
                    <w:kinsoku/>
                    <w:wordWrap/>
                    <w:overflowPunct/>
                    <w:topLinePunct w:val="0"/>
                    <w:bidi w:val="0"/>
                    <w:adjustRightInd w:val="0"/>
                    <w:snapToGrid w:val="0"/>
                    <w:spacing w:line="240" w:lineRule="auto"/>
                    <w:ind w:right="0" w:rightChars="0"/>
                    <w:jc w:val="center"/>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rPr>
                    <w:t>μg/m</w:t>
                  </w:r>
                  <w:r>
                    <w:rPr>
                      <w:rFonts w:hint="default" w:ascii="Times New Roman" w:hAnsi="Times New Roman" w:eastAsia="宋体" w:cs="Times New Roman"/>
                      <w:color w:val="auto"/>
                      <w:kern w:val="0"/>
                      <w:sz w:val="21"/>
                      <w:szCs w:val="21"/>
                      <w:vertAlign w:val="superscript"/>
                      <w:lang w:val="en-US" w:eastAsia="zh-CN"/>
                    </w:rPr>
                    <w:t>3</w:t>
                  </w:r>
                </w:p>
              </w:tc>
              <w:tc>
                <w:tcPr>
                  <w:tcW w:w="1220" w:type="dxa"/>
                  <w:noWrap w:val="0"/>
                  <w:vAlign w:val="center"/>
                </w:tcPr>
                <w:p w14:paraId="4B3D9C93">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388</w:t>
                  </w:r>
                </w:p>
              </w:tc>
              <w:tc>
                <w:tcPr>
                  <w:tcW w:w="1220" w:type="dxa"/>
                  <w:noWrap w:val="0"/>
                  <w:vAlign w:val="center"/>
                </w:tcPr>
                <w:p w14:paraId="04293BFE">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417</w:t>
                  </w:r>
                </w:p>
              </w:tc>
              <w:tc>
                <w:tcPr>
                  <w:tcW w:w="1220" w:type="dxa"/>
                  <w:noWrap w:val="0"/>
                  <w:vAlign w:val="center"/>
                </w:tcPr>
                <w:p w14:paraId="1946AAB0">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437</w:t>
                  </w:r>
                </w:p>
              </w:tc>
            </w:tr>
            <w:tr w14:paraId="51B6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5" w:type="dxa"/>
                  <w:vMerge w:val="continue"/>
                  <w:noWrap w:val="0"/>
                  <w:vAlign w:val="center"/>
                </w:tcPr>
                <w:p w14:paraId="24436B7B">
                  <w:pPr>
                    <w:keepNext w:val="0"/>
                    <w:keepLines w:val="0"/>
                    <w:pageBreakBefore w:val="0"/>
                    <w:widowControl w:val="0"/>
                    <w:kinsoku/>
                    <w:wordWrap/>
                    <w:overflowPunct/>
                    <w:topLinePunct w:val="0"/>
                    <w:bidi w:val="0"/>
                    <w:adjustRightInd w:val="0"/>
                    <w:snapToGrid w:val="0"/>
                    <w:spacing w:line="240" w:lineRule="auto"/>
                    <w:ind w:right="0" w:rightChars="0"/>
                    <w:jc w:val="center"/>
                    <w:rPr>
                      <w:rFonts w:hint="eastAsia" w:cs="Times New Roman"/>
                      <w:b w:val="0"/>
                      <w:bCs w:val="0"/>
                      <w:color w:val="auto"/>
                      <w:sz w:val="21"/>
                      <w:szCs w:val="21"/>
                      <w:lang w:eastAsia="zh-CN"/>
                    </w:rPr>
                  </w:pPr>
                </w:p>
              </w:tc>
              <w:tc>
                <w:tcPr>
                  <w:tcW w:w="1853" w:type="dxa"/>
                  <w:shd w:val="clear" w:color="auto" w:fill="auto"/>
                  <w:noWrap w:val="0"/>
                  <w:vAlign w:val="center"/>
                </w:tcPr>
                <w:p w14:paraId="01871C89">
                  <w:pPr>
                    <w:keepNext w:val="0"/>
                    <w:keepLines w:val="0"/>
                    <w:pageBreakBefore w:val="0"/>
                    <w:widowControl w:val="0"/>
                    <w:kinsoku/>
                    <w:wordWrap/>
                    <w:overflowPunct/>
                    <w:topLinePunct w:val="0"/>
                    <w:bidi w:val="0"/>
                    <w:adjustRightInd w:val="0"/>
                    <w:snapToGrid w:val="0"/>
                    <w:spacing w:line="240" w:lineRule="auto"/>
                    <w:ind w:right="0" w:right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挥发性有机物</w:t>
                  </w:r>
                </w:p>
              </w:tc>
              <w:tc>
                <w:tcPr>
                  <w:tcW w:w="972" w:type="dxa"/>
                  <w:shd w:val="clear" w:color="auto" w:fill="auto"/>
                  <w:noWrap w:val="0"/>
                  <w:vAlign w:val="center"/>
                </w:tcPr>
                <w:p w14:paraId="2EDE2917">
                  <w:pPr>
                    <w:keepNext w:val="0"/>
                    <w:keepLines w:val="0"/>
                    <w:pageBreakBefore w:val="0"/>
                    <w:widowControl w:val="0"/>
                    <w:kinsoku/>
                    <w:wordWrap/>
                    <w:overflowPunct/>
                    <w:topLinePunct w:val="0"/>
                    <w:bidi w:val="0"/>
                    <w:adjustRightInd w:val="0"/>
                    <w:snapToGrid w:val="0"/>
                    <w:spacing w:line="240" w:lineRule="auto"/>
                    <w:ind w:right="0" w:rightChars="0"/>
                    <w:jc w:val="center"/>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rPr>
                    <w:t>μg/m</w:t>
                  </w:r>
                  <w:r>
                    <w:rPr>
                      <w:rFonts w:hint="default" w:ascii="Times New Roman" w:hAnsi="Times New Roman" w:eastAsia="宋体" w:cs="Times New Roman"/>
                      <w:color w:val="auto"/>
                      <w:kern w:val="0"/>
                      <w:sz w:val="21"/>
                      <w:szCs w:val="21"/>
                      <w:vertAlign w:val="superscript"/>
                      <w:lang w:val="en-US" w:eastAsia="zh-CN"/>
                    </w:rPr>
                    <w:t>3</w:t>
                  </w:r>
                </w:p>
              </w:tc>
              <w:tc>
                <w:tcPr>
                  <w:tcW w:w="1220" w:type="dxa"/>
                  <w:noWrap w:val="0"/>
                  <w:vAlign w:val="center"/>
                </w:tcPr>
                <w:p w14:paraId="2111A496">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56.9</w:t>
                  </w:r>
                </w:p>
              </w:tc>
              <w:tc>
                <w:tcPr>
                  <w:tcW w:w="1220" w:type="dxa"/>
                  <w:noWrap w:val="0"/>
                  <w:vAlign w:val="center"/>
                </w:tcPr>
                <w:p w14:paraId="1DAF1202">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83.8</w:t>
                  </w:r>
                </w:p>
              </w:tc>
              <w:tc>
                <w:tcPr>
                  <w:tcW w:w="1220" w:type="dxa"/>
                  <w:noWrap w:val="0"/>
                  <w:vAlign w:val="center"/>
                </w:tcPr>
                <w:p w14:paraId="79C77421">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34.9</w:t>
                  </w:r>
                </w:p>
              </w:tc>
            </w:tr>
            <w:tr w14:paraId="53CC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5" w:type="dxa"/>
                  <w:vMerge w:val="continue"/>
                  <w:noWrap w:val="0"/>
                  <w:vAlign w:val="center"/>
                </w:tcPr>
                <w:p w14:paraId="58585EBD">
                  <w:pPr>
                    <w:keepNext w:val="0"/>
                    <w:keepLines w:val="0"/>
                    <w:pageBreakBefore w:val="0"/>
                    <w:widowControl w:val="0"/>
                    <w:kinsoku/>
                    <w:wordWrap/>
                    <w:overflowPunct/>
                    <w:topLinePunct w:val="0"/>
                    <w:bidi w:val="0"/>
                    <w:adjustRightInd w:val="0"/>
                    <w:snapToGrid w:val="0"/>
                    <w:spacing w:line="240" w:lineRule="auto"/>
                    <w:ind w:right="0" w:rightChars="0"/>
                    <w:jc w:val="center"/>
                    <w:rPr>
                      <w:rFonts w:hint="eastAsia" w:cs="Times New Roman"/>
                      <w:b w:val="0"/>
                      <w:bCs w:val="0"/>
                      <w:color w:val="auto"/>
                      <w:sz w:val="21"/>
                      <w:szCs w:val="21"/>
                      <w:lang w:eastAsia="zh-CN"/>
                    </w:rPr>
                  </w:pPr>
                </w:p>
              </w:tc>
              <w:tc>
                <w:tcPr>
                  <w:tcW w:w="1853" w:type="dxa"/>
                  <w:shd w:val="clear" w:color="auto" w:fill="auto"/>
                  <w:noWrap w:val="0"/>
                  <w:vAlign w:val="center"/>
                </w:tcPr>
                <w:p w14:paraId="2D987637">
                  <w:pPr>
                    <w:keepNext w:val="0"/>
                    <w:keepLines w:val="0"/>
                    <w:pageBreakBefore w:val="0"/>
                    <w:widowControl w:val="0"/>
                    <w:kinsoku/>
                    <w:wordWrap/>
                    <w:overflowPunct/>
                    <w:topLinePunct w:val="0"/>
                    <w:bidi w:val="0"/>
                    <w:adjustRightInd w:val="0"/>
                    <w:snapToGrid w:val="0"/>
                    <w:spacing w:line="240" w:lineRule="auto"/>
                    <w:ind w:right="0" w:right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氨</w:t>
                  </w:r>
                </w:p>
              </w:tc>
              <w:tc>
                <w:tcPr>
                  <w:tcW w:w="972" w:type="dxa"/>
                  <w:shd w:val="clear" w:color="auto" w:fill="auto"/>
                  <w:noWrap w:val="0"/>
                  <w:vAlign w:val="center"/>
                </w:tcPr>
                <w:p w14:paraId="4DF7AC34">
                  <w:pPr>
                    <w:keepNext w:val="0"/>
                    <w:keepLines w:val="0"/>
                    <w:pageBreakBefore w:val="0"/>
                    <w:widowControl w:val="0"/>
                    <w:kinsoku/>
                    <w:wordWrap/>
                    <w:overflowPunct/>
                    <w:topLinePunct w:val="0"/>
                    <w:bidi w:val="0"/>
                    <w:adjustRightInd w:val="0"/>
                    <w:snapToGrid w:val="0"/>
                    <w:spacing w:line="240" w:lineRule="auto"/>
                    <w:ind w:right="0" w:rightChars="0"/>
                    <w:jc w:val="center"/>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color w:val="auto"/>
                      <w:kern w:val="0"/>
                      <w:sz w:val="21"/>
                      <w:szCs w:val="21"/>
                      <w:lang w:val="en-US" w:eastAsia="zh-CN"/>
                    </w:rPr>
                    <w:t>m</w:t>
                  </w:r>
                  <w:r>
                    <w:rPr>
                      <w:rFonts w:hint="default" w:ascii="Times New Roman" w:hAnsi="Times New Roman" w:eastAsia="宋体" w:cs="Times New Roman"/>
                      <w:color w:val="auto"/>
                      <w:kern w:val="0"/>
                      <w:sz w:val="21"/>
                      <w:szCs w:val="21"/>
                      <w:lang w:val="en-US" w:eastAsia="zh-CN"/>
                    </w:rPr>
                    <w:t>g/m</w:t>
                  </w:r>
                  <w:r>
                    <w:rPr>
                      <w:rFonts w:hint="default" w:ascii="Times New Roman" w:hAnsi="Times New Roman" w:eastAsia="宋体" w:cs="Times New Roman"/>
                      <w:color w:val="auto"/>
                      <w:kern w:val="0"/>
                      <w:sz w:val="21"/>
                      <w:szCs w:val="21"/>
                      <w:vertAlign w:val="superscript"/>
                      <w:lang w:val="en-US" w:eastAsia="zh-CN"/>
                    </w:rPr>
                    <w:t>3</w:t>
                  </w:r>
                </w:p>
              </w:tc>
              <w:tc>
                <w:tcPr>
                  <w:tcW w:w="1220" w:type="dxa"/>
                  <w:noWrap w:val="0"/>
                  <w:vAlign w:val="center"/>
                </w:tcPr>
                <w:p w14:paraId="4134A702">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0.19</w:t>
                  </w:r>
                </w:p>
              </w:tc>
              <w:tc>
                <w:tcPr>
                  <w:tcW w:w="1220" w:type="dxa"/>
                  <w:noWrap w:val="0"/>
                  <w:vAlign w:val="center"/>
                </w:tcPr>
                <w:p w14:paraId="30122C0E">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0.16</w:t>
                  </w:r>
                </w:p>
              </w:tc>
              <w:tc>
                <w:tcPr>
                  <w:tcW w:w="1220" w:type="dxa"/>
                  <w:noWrap w:val="0"/>
                  <w:vAlign w:val="center"/>
                </w:tcPr>
                <w:p w14:paraId="6CD6DD85">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0.21</w:t>
                  </w:r>
                </w:p>
              </w:tc>
            </w:tr>
            <w:tr w14:paraId="20A2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5" w:type="dxa"/>
                  <w:vMerge w:val="restart"/>
                  <w:noWrap w:val="0"/>
                  <w:vAlign w:val="center"/>
                </w:tcPr>
                <w:p w14:paraId="2A9A8CC9">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cs="Times New Roman"/>
                      <w:b w:val="0"/>
                      <w:bCs w:val="0"/>
                      <w:color w:val="auto"/>
                      <w:sz w:val="21"/>
                      <w:szCs w:val="21"/>
                      <w:lang w:val="en-US" w:eastAsia="zh-CN"/>
                    </w:rPr>
                  </w:pPr>
                  <w:r>
                    <w:rPr>
                      <w:rFonts w:hint="eastAsia" w:cs="Times New Roman"/>
                      <w:b w:val="0"/>
                      <w:bCs w:val="0"/>
                      <w:color w:val="auto"/>
                      <w:sz w:val="21"/>
                      <w:szCs w:val="21"/>
                      <w:lang w:eastAsia="zh-CN"/>
                    </w:rPr>
                    <w:t>厂界下方向</w:t>
                  </w:r>
                  <w:r>
                    <w:rPr>
                      <w:rFonts w:hint="eastAsia" w:cs="Times New Roman"/>
                      <w:b w:val="0"/>
                      <w:bCs w:val="0"/>
                      <w:color w:val="auto"/>
                      <w:sz w:val="21"/>
                      <w:szCs w:val="21"/>
                      <w:lang w:val="en-US" w:eastAsia="zh-CN"/>
                    </w:rPr>
                    <w:t>G4</w:t>
                  </w:r>
                </w:p>
              </w:tc>
              <w:tc>
                <w:tcPr>
                  <w:tcW w:w="1853" w:type="dxa"/>
                  <w:shd w:val="clear" w:color="auto" w:fill="auto"/>
                  <w:noWrap w:val="0"/>
                  <w:vAlign w:val="center"/>
                </w:tcPr>
                <w:p w14:paraId="6AD0E3C1">
                  <w:pPr>
                    <w:keepNext w:val="0"/>
                    <w:keepLines w:val="0"/>
                    <w:pageBreakBefore w:val="0"/>
                    <w:widowControl w:val="0"/>
                    <w:kinsoku/>
                    <w:wordWrap/>
                    <w:overflowPunct/>
                    <w:topLinePunct w:val="0"/>
                    <w:bidi w:val="0"/>
                    <w:adjustRightInd w:val="0"/>
                    <w:snapToGrid w:val="0"/>
                    <w:spacing w:line="240" w:lineRule="auto"/>
                    <w:ind w:right="0" w:right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总悬浮颗粒物</w:t>
                  </w:r>
                </w:p>
              </w:tc>
              <w:tc>
                <w:tcPr>
                  <w:tcW w:w="972" w:type="dxa"/>
                  <w:shd w:val="clear" w:color="auto" w:fill="auto"/>
                  <w:noWrap w:val="0"/>
                  <w:vAlign w:val="center"/>
                </w:tcPr>
                <w:p w14:paraId="30EDB469">
                  <w:pPr>
                    <w:keepNext w:val="0"/>
                    <w:keepLines w:val="0"/>
                    <w:pageBreakBefore w:val="0"/>
                    <w:widowControl w:val="0"/>
                    <w:kinsoku/>
                    <w:wordWrap/>
                    <w:overflowPunct/>
                    <w:topLinePunct w:val="0"/>
                    <w:bidi w:val="0"/>
                    <w:adjustRightInd w:val="0"/>
                    <w:snapToGrid w:val="0"/>
                    <w:spacing w:line="240" w:lineRule="auto"/>
                    <w:ind w:right="0" w:rightChars="0"/>
                    <w:jc w:val="center"/>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rPr>
                    <w:t>μg/m</w:t>
                  </w:r>
                  <w:r>
                    <w:rPr>
                      <w:rFonts w:hint="default" w:ascii="Times New Roman" w:hAnsi="Times New Roman" w:eastAsia="宋体" w:cs="Times New Roman"/>
                      <w:color w:val="auto"/>
                      <w:kern w:val="0"/>
                      <w:sz w:val="21"/>
                      <w:szCs w:val="21"/>
                      <w:vertAlign w:val="superscript"/>
                      <w:lang w:val="en-US" w:eastAsia="zh-CN"/>
                    </w:rPr>
                    <w:t>3</w:t>
                  </w:r>
                </w:p>
              </w:tc>
              <w:tc>
                <w:tcPr>
                  <w:tcW w:w="1220" w:type="dxa"/>
                  <w:noWrap w:val="0"/>
                  <w:vAlign w:val="center"/>
                </w:tcPr>
                <w:p w14:paraId="1264FD21">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324</w:t>
                  </w:r>
                </w:p>
              </w:tc>
              <w:tc>
                <w:tcPr>
                  <w:tcW w:w="1220" w:type="dxa"/>
                  <w:noWrap w:val="0"/>
                  <w:vAlign w:val="center"/>
                </w:tcPr>
                <w:p w14:paraId="24DC37B0">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309</w:t>
                  </w:r>
                </w:p>
              </w:tc>
              <w:tc>
                <w:tcPr>
                  <w:tcW w:w="1220" w:type="dxa"/>
                  <w:noWrap w:val="0"/>
                  <w:vAlign w:val="center"/>
                </w:tcPr>
                <w:p w14:paraId="0C00BDAF">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268</w:t>
                  </w:r>
                </w:p>
              </w:tc>
            </w:tr>
            <w:tr w14:paraId="2AD29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5" w:type="dxa"/>
                  <w:vMerge w:val="continue"/>
                  <w:noWrap w:val="0"/>
                  <w:vAlign w:val="center"/>
                </w:tcPr>
                <w:p w14:paraId="489F3D3B">
                  <w:pPr>
                    <w:keepNext w:val="0"/>
                    <w:keepLines w:val="0"/>
                    <w:pageBreakBefore w:val="0"/>
                    <w:widowControl w:val="0"/>
                    <w:kinsoku/>
                    <w:wordWrap/>
                    <w:overflowPunct/>
                    <w:topLinePunct w:val="0"/>
                    <w:bidi w:val="0"/>
                    <w:adjustRightInd w:val="0"/>
                    <w:snapToGrid w:val="0"/>
                    <w:spacing w:line="240" w:lineRule="auto"/>
                    <w:ind w:right="0" w:rightChars="0"/>
                    <w:jc w:val="center"/>
                    <w:rPr>
                      <w:rFonts w:hint="eastAsia" w:cs="Times New Roman"/>
                      <w:b w:val="0"/>
                      <w:bCs w:val="0"/>
                      <w:color w:val="auto"/>
                      <w:sz w:val="21"/>
                      <w:szCs w:val="21"/>
                      <w:lang w:eastAsia="zh-CN"/>
                    </w:rPr>
                  </w:pPr>
                </w:p>
              </w:tc>
              <w:tc>
                <w:tcPr>
                  <w:tcW w:w="1853" w:type="dxa"/>
                  <w:shd w:val="clear" w:color="auto" w:fill="auto"/>
                  <w:noWrap w:val="0"/>
                  <w:vAlign w:val="center"/>
                </w:tcPr>
                <w:p w14:paraId="67A6C9C0">
                  <w:pPr>
                    <w:keepNext w:val="0"/>
                    <w:keepLines w:val="0"/>
                    <w:pageBreakBefore w:val="0"/>
                    <w:widowControl w:val="0"/>
                    <w:kinsoku/>
                    <w:wordWrap/>
                    <w:overflowPunct/>
                    <w:topLinePunct w:val="0"/>
                    <w:bidi w:val="0"/>
                    <w:adjustRightInd w:val="0"/>
                    <w:snapToGrid w:val="0"/>
                    <w:spacing w:line="240" w:lineRule="auto"/>
                    <w:ind w:right="0" w:right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挥发性有机物</w:t>
                  </w:r>
                </w:p>
              </w:tc>
              <w:tc>
                <w:tcPr>
                  <w:tcW w:w="972" w:type="dxa"/>
                  <w:shd w:val="clear" w:color="auto" w:fill="auto"/>
                  <w:noWrap w:val="0"/>
                  <w:vAlign w:val="center"/>
                </w:tcPr>
                <w:p w14:paraId="4D651449">
                  <w:pPr>
                    <w:keepNext w:val="0"/>
                    <w:keepLines w:val="0"/>
                    <w:pageBreakBefore w:val="0"/>
                    <w:widowControl w:val="0"/>
                    <w:kinsoku/>
                    <w:wordWrap/>
                    <w:overflowPunct/>
                    <w:topLinePunct w:val="0"/>
                    <w:bidi w:val="0"/>
                    <w:adjustRightInd w:val="0"/>
                    <w:snapToGrid w:val="0"/>
                    <w:spacing w:line="240" w:lineRule="auto"/>
                    <w:ind w:right="0" w:rightChars="0"/>
                    <w:jc w:val="center"/>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rPr>
                    <w:t>μg/m</w:t>
                  </w:r>
                  <w:r>
                    <w:rPr>
                      <w:rFonts w:hint="default" w:ascii="Times New Roman" w:hAnsi="Times New Roman" w:eastAsia="宋体" w:cs="Times New Roman"/>
                      <w:color w:val="auto"/>
                      <w:kern w:val="0"/>
                      <w:sz w:val="21"/>
                      <w:szCs w:val="21"/>
                      <w:vertAlign w:val="superscript"/>
                      <w:lang w:val="en-US" w:eastAsia="zh-CN"/>
                    </w:rPr>
                    <w:t>3</w:t>
                  </w:r>
                </w:p>
              </w:tc>
              <w:tc>
                <w:tcPr>
                  <w:tcW w:w="1220" w:type="dxa"/>
                  <w:noWrap w:val="0"/>
                  <w:vAlign w:val="center"/>
                </w:tcPr>
                <w:p w14:paraId="48C3DA60">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116</w:t>
                  </w:r>
                </w:p>
              </w:tc>
              <w:tc>
                <w:tcPr>
                  <w:tcW w:w="1220" w:type="dxa"/>
                  <w:noWrap w:val="0"/>
                  <w:vAlign w:val="center"/>
                </w:tcPr>
                <w:p w14:paraId="05FD5A9A">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101</w:t>
                  </w:r>
                </w:p>
              </w:tc>
              <w:tc>
                <w:tcPr>
                  <w:tcW w:w="1220" w:type="dxa"/>
                  <w:noWrap w:val="0"/>
                  <w:vAlign w:val="center"/>
                </w:tcPr>
                <w:p w14:paraId="63DFCB5D">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62.9</w:t>
                  </w:r>
                </w:p>
              </w:tc>
            </w:tr>
            <w:tr w14:paraId="672A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5" w:type="dxa"/>
                  <w:vMerge w:val="continue"/>
                  <w:noWrap w:val="0"/>
                  <w:vAlign w:val="center"/>
                </w:tcPr>
                <w:p w14:paraId="2F0494B4">
                  <w:pPr>
                    <w:keepNext w:val="0"/>
                    <w:keepLines w:val="0"/>
                    <w:pageBreakBefore w:val="0"/>
                    <w:widowControl w:val="0"/>
                    <w:kinsoku/>
                    <w:wordWrap/>
                    <w:overflowPunct/>
                    <w:topLinePunct w:val="0"/>
                    <w:bidi w:val="0"/>
                    <w:adjustRightInd w:val="0"/>
                    <w:snapToGrid w:val="0"/>
                    <w:spacing w:line="240" w:lineRule="auto"/>
                    <w:ind w:right="0" w:rightChars="0"/>
                    <w:jc w:val="center"/>
                    <w:rPr>
                      <w:rFonts w:hint="eastAsia" w:cs="Times New Roman"/>
                      <w:b w:val="0"/>
                      <w:bCs w:val="0"/>
                      <w:color w:val="auto"/>
                      <w:sz w:val="21"/>
                      <w:szCs w:val="21"/>
                      <w:lang w:eastAsia="zh-CN"/>
                    </w:rPr>
                  </w:pPr>
                </w:p>
              </w:tc>
              <w:tc>
                <w:tcPr>
                  <w:tcW w:w="1853" w:type="dxa"/>
                  <w:shd w:val="clear" w:color="auto" w:fill="auto"/>
                  <w:noWrap w:val="0"/>
                  <w:vAlign w:val="center"/>
                </w:tcPr>
                <w:p w14:paraId="6454E2E3">
                  <w:pPr>
                    <w:keepNext w:val="0"/>
                    <w:keepLines w:val="0"/>
                    <w:pageBreakBefore w:val="0"/>
                    <w:widowControl w:val="0"/>
                    <w:kinsoku/>
                    <w:wordWrap/>
                    <w:overflowPunct/>
                    <w:topLinePunct w:val="0"/>
                    <w:bidi w:val="0"/>
                    <w:adjustRightInd w:val="0"/>
                    <w:snapToGrid w:val="0"/>
                    <w:spacing w:line="240" w:lineRule="auto"/>
                    <w:ind w:right="0" w:right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氨</w:t>
                  </w:r>
                </w:p>
              </w:tc>
              <w:tc>
                <w:tcPr>
                  <w:tcW w:w="972" w:type="dxa"/>
                  <w:shd w:val="clear" w:color="auto" w:fill="auto"/>
                  <w:noWrap w:val="0"/>
                  <w:vAlign w:val="center"/>
                </w:tcPr>
                <w:p w14:paraId="18EF5841">
                  <w:pPr>
                    <w:keepNext w:val="0"/>
                    <w:keepLines w:val="0"/>
                    <w:pageBreakBefore w:val="0"/>
                    <w:widowControl w:val="0"/>
                    <w:kinsoku/>
                    <w:wordWrap/>
                    <w:overflowPunct/>
                    <w:topLinePunct w:val="0"/>
                    <w:bidi w:val="0"/>
                    <w:adjustRightInd w:val="0"/>
                    <w:snapToGrid w:val="0"/>
                    <w:spacing w:line="240" w:lineRule="auto"/>
                    <w:ind w:right="0" w:rightChars="0"/>
                    <w:jc w:val="center"/>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color w:val="auto"/>
                      <w:kern w:val="0"/>
                      <w:sz w:val="21"/>
                      <w:szCs w:val="21"/>
                      <w:lang w:val="en-US" w:eastAsia="zh-CN"/>
                    </w:rPr>
                    <w:t>m</w:t>
                  </w:r>
                  <w:r>
                    <w:rPr>
                      <w:rFonts w:hint="default" w:ascii="Times New Roman" w:hAnsi="Times New Roman" w:eastAsia="宋体" w:cs="Times New Roman"/>
                      <w:color w:val="auto"/>
                      <w:kern w:val="0"/>
                      <w:sz w:val="21"/>
                      <w:szCs w:val="21"/>
                      <w:lang w:val="en-US" w:eastAsia="zh-CN"/>
                    </w:rPr>
                    <w:t>g/m</w:t>
                  </w:r>
                  <w:r>
                    <w:rPr>
                      <w:rFonts w:hint="default" w:ascii="Times New Roman" w:hAnsi="Times New Roman" w:eastAsia="宋体" w:cs="Times New Roman"/>
                      <w:color w:val="auto"/>
                      <w:kern w:val="0"/>
                      <w:sz w:val="21"/>
                      <w:szCs w:val="21"/>
                      <w:vertAlign w:val="superscript"/>
                      <w:lang w:val="en-US" w:eastAsia="zh-CN"/>
                    </w:rPr>
                    <w:t>3</w:t>
                  </w:r>
                </w:p>
              </w:tc>
              <w:tc>
                <w:tcPr>
                  <w:tcW w:w="1220" w:type="dxa"/>
                  <w:noWrap w:val="0"/>
                  <w:vAlign w:val="center"/>
                </w:tcPr>
                <w:p w14:paraId="2032DFC1">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0.13</w:t>
                  </w:r>
                </w:p>
              </w:tc>
              <w:tc>
                <w:tcPr>
                  <w:tcW w:w="1220" w:type="dxa"/>
                  <w:noWrap w:val="0"/>
                  <w:vAlign w:val="center"/>
                </w:tcPr>
                <w:p w14:paraId="407D8977">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0.14</w:t>
                  </w:r>
                </w:p>
              </w:tc>
              <w:tc>
                <w:tcPr>
                  <w:tcW w:w="1220" w:type="dxa"/>
                  <w:noWrap w:val="0"/>
                  <w:vAlign w:val="center"/>
                </w:tcPr>
                <w:p w14:paraId="3B9F9AAC">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0.12</w:t>
                  </w:r>
                </w:p>
              </w:tc>
            </w:tr>
          </w:tbl>
          <w:p w14:paraId="233CE89F">
            <w:pPr>
              <w:keepNext w:val="0"/>
              <w:keepLines w:val="0"/>
              <w:pageBreakBefore w:val="0"/>
              <w:widowControl w:val="0"/>
              <w:tabs>
                <w:tab w:val="left" w:pos="1755"/>
              </w:tabs>
              <w:kinsoku/>
              <w:wordWrap/>
              <w:overflowPunct/>
              <w:topLinePunct w:val="0"/>
              <w:autoSpaceDE/>
              <w:autoSpaceDN/>
              <w:bidi w:val="0"/>
              <w:adjustRightInd w:val="0"/>
              <w:snapToGrid w:val="0"/>
              <w:spacing w:before="157" w:beforeLines="50" w:line="360" w:lineRule="auto"/>
              <w:ind w:firstLine="480" w:firstLineChars="200"/>
              <w:textAlignment w:val="auto"/>
              <w:rPr>
                <w:rFonts w:hint="default"/>
                <w:color w:val="auto"/>
                <w:sz w:val="24"/>
                <w:szCs w:val="28"/>
                <w:highlight w:val="none"/>
              </w:rPr>
            </w:pPr>
            <w:r>
              <w:rPr>
                <w:rFonts w:hint="eastAsia" w:ascii="Times New Roman" w:hAnsi="Times New Roman"/>
                <w:color w:val="auto"/>
                <w:sz w:val="24"/>
                <w:szCs w:val="24"/>
              </w:rPr>
              <w:t>根据监测结果分析可知，</w:t>
            </w:r>
            <w:r>
              <w:rPr>
                <w:rFonts w:hint="eastAsia" w:ascii="Times New Roman" w:hAnsi="Times New Roman"/>
                <w:color w:val="auto"/>
                <w:sz w:val="24"/>
                <w:szCs w:val="24"/>
                <w:lang w:eastAsia="zh-CN"/>
              </w:rPr>
              <w:t>该项目监测期间</w:t>
            </w:r>
            <w:r>
              <w:rPr>
                <w:rFonts w:hint="eastAsia" w:ascii="Times New Roman" w:hAnsi="Times New Roman" w:cs="Times New Roman"/>
                <w:color w:val="auto"/>
                <w:kern w:val="2"/>
                <w:sz w:val="24"/>
                <w:szCs w:val="24"/>
                <w:vertAlign w:val="baseline"/>
                <w:lang w:val="en-US" w:eastAsia="zh-CN" w:bidi="ar-SA"/>
              </w:rPr>
              <w:t>无组织排放最大浓度为总悬浮颗粒物：437</w:t>
            </w:r>
            <w:r>
              <w:rPr>
                <w:rFonts w:hint="default" w:ascii="Times New Roman" w:hAnsi="Times New Roman" w:cs="Times New Roman"/>
                <w:color w:val="auto"/>
                <w:kern w:val="2"/>
                <w:sz w:val="24"/>
                <w:szCs w:val="24"/>
                <w:vertAlign w:val="baseline"/>
                <w:lang w:val="en-US" w:eastAsia="zh-CN" w:bidi="ar-SA"/>
              </w:rPr>
              <w:t>μ</w:t>
            </w:r>
            <w:r>
              <w:rPr>
                <w:rFonts w:hint="eastAsia" w:ascii="Times New Roman" w:hAnsi="Times New Roman" w:cs="Times New Roman"/>
                <w:color w:val="auto"/>
                <w:kern w:val="2"/>
                <w:sz w:val="24"/>
                <w:szCs w:val="24"/>
                <w:lang w:val="en-US" w:eastAsia="zh-CN" w:bidi="ar-SA"/>
              </w:rPr>
              <w:t>g/m</w:t>
            </w:r>
            <w:r>
              <w:rPr>
                <w:rFonts w:hint="eastAsia" w:ascii="Times New Roman" w:hAnsi="Times New Roman" w:cs="Times New Roman"/>
                <w:color w:val="auto"/>
                <w:kern w:val="2"/>
                <w:sz w:val="24"/>
                <w:szCs w:val="24"/>
                <w:vertAlign w:val="superscript"/>
                <w:lang w:val="en-US" w:eastAsia="zh-CN" w:bidi="ar-SA"/>
              </w:rPr>
              <w:t>3</w:t>
            </w:r>
            <w:r>
              <w:rPr>
                <w:rFonts w:hint="eastAsia" w:ascii="Times New Roman" w:hAnsi="Times New Roman" w:cs="Times New Roman"/>
                <w:color w:val="auto"/>
                <w:kern w:val="2"/>
                <w:sz w:val="24"/>
                <w:szCs w:val="24"/>
                <w:vertAlign w:val="baseline"/>
                <w:lang w:val="en-US" w:eastAsia="zh-CN" w:bidi="ar-SA"/>
              </w:rPr>
              <w:t>、挥发性有机物：116</w:t>
            </w:r>
            <w:r>
              <w:rPr>
                <w:rFonts w:hint="default" w:ascii="Times New Roman" w:hAnsi="Times New Roman" w:cs="Times New Roman"/>
                <w:color w:val="auto"/>
                <w:kern w:val="2"/>
                <w:sz w:val="24"/>
                <w:szCs w:val="24"/>
                <w:vertAlign w:val="baseline"/>
                <w:lang w:val="en-US" w:eastAsia="zh-CN" w:bidi="ar-SA"/>
              </w:rPr>
              <w:t>μ</w:t>
            </w:r>
            <w:r>
              <w:rPr>
                <w:rFonts w:hint="eastAsia" w:ascii="Times New Roman" w:hAnsi="Times New Roman" w:cs="Times New Roman"/>
                <w:color w:val="auto"/>
                <w:kern w:val="2"/>
                <w:sz w:val="24"/>
                <w:szCs w:val="24"/>
                <w:lang w:val="en-US" w:eastAsia="zh-CN" w:bidi="ar-SA"/>
              </w:rPr>
              <w:t>g/m</w:t>
            </w:r>
            <w:r>
              <w:rPr>
                <w:rFonts w:hint="eastAsia" w:ascii="Times New Roman" w:hAnsi="Times New Roman" w:cs="Times New Roman"/>
                <w:color w:val="auto"/>
                <w:kern w:val="2"/>
                <w:sz w:val="24"/>
                <w:szCs w:val="24"/>
                <w:vertAlign w:val="superscript"/>
                <w:lang w:val="en-US" w:eastAsia="zh-CN" w:bidi="ar-SA"/>
              </w:rPr>
              <w:t>3</w:t>
            </w:r>
            <w:r>
              <w:rPr>
                <w:rFonts w:hint="eastAsia" w:ascii="Times New Roman" w:hAnsi="Times New Roman" w:cs="Times New Roman"/>
                <w:color w:val="auto"/>
                <w:kern w:val="2"/>
                <w:sz w:val="24"/>
                <w:szCs w:val="24"/>
                <w:vertAlign w:val="baseline"/>
                <w:lang w:val="en-US" w:eastAsia="zh-CN" w:bidi="ar-SA"/>
              </w:rPr>
              <w:t>、氨：0.21</w:t>
            </w:r>
            <w:r>
              <w:rPr>
                <w:rFonts w:hint="eastAsia" w:ascii="Times New Roman" w:hAnsi="Times New Roman" w:cs="Times New Roman"/>
                <w:color w:val="auto"/>
                <w:kern w:val="2"/>
                <w:sz w:val="24"/>
                <w:szCs w:val="24"/>
                <w:lang w:val="en-US" w:eastAsia="zh-CN" w:bidi="ar-SA"/>
              </w:rPr>
              <w:t>mg/m</w:t>
            </w:r>
            <w:r>
              <w:rPr>
                <w:rFonts w:hint="eastAsia" w:ascii="Times New Roman" w:hAnsi="Times New Roman" w:cs="Times New Roman"/>
                <w:color w:val="auto"/>
                <w:kern w:val="2"/>
                <w:sz w:val="24"/>
                <w:szCs w:val="24"/>
                <w:vertAlign w:val="superscript"/>
                <w:lang w:val="en-US" w:eastAsia="zh-CN" w:bidi="ar-SA"/>
              </w:rPr>
              <w:t>3</w:t>
            </w:r>
            <w:r>
              <w:rPr>
                <w:rFonts w:hint="eastAsia" w:ascii="Times New Roman" w:hAnsi="Times New Roman" w:cs="Times New Roman"/>
                <w:color w:val="auto"/>
                <w:kern w:val="2"/>
                <w:sz w:val="24"/>
                <w:szCs w:val="24"/>
                <w:vertAlign w:val="baseline"/>
                <w:lang w:val="en-US" w:eastAsia="zh-CN" w:bidi="ar-SA"/>
              </w:rPr>
              <w:t>。监测结果满足</w:t>
            </w:r>
            <w:r>
              <w:rPr>
                <w:rFonts w:hint="default" w:ascii="Times New Roman" w:hAnsi="Times New Roman" w:cs="Times New Roman"/>
                <w:color w:val="auto"/>
                <w:sz w:val="24"/>
                <w:szCs w:val="24"/>
                <w:lang w:val="en-US" w:eastAsia="zh-CN"/>
              </w:rPr>
              <w:t>《合成树脂工业污染物排放标准》（GB31572-2015）中表</w:t>
            </w:r>
            <w:r>
              <w:rPr>
                <w:rFonts w:hint="eastAsia" w:ascii="Times New Roman" w:hAnsi="Times New Roman" w:cs="Times New Roman"/>
                <w:color w:val="auto"/>
                <w:sz w:val="24"/>
                <w:szCs w:val="24"/>
                <w:lang w:val="en-US" w:eastAsia="zh-CN"/>
              </w:rPr>
              <w:t xml:space="preserve">9 </w:t>
            </w:r>
            <w:r>
              <w:rPr>
                <w:rFonts w:hint="default" w:ascii="Times New Roman" w:hAnsi="Times New Roman" w:cs="Times New Roman"/>
                <w:color w:val="auto"/>
                <w:sz w:val="24"/>
                <w:szCs w:val="24"/>
                <w:lang w:val="en-US" w:eastAsia="zh-CN"/>
              </w:rPr>
              <w:t>企业边界大气污染物浓度限值</w:t>
            </w:r>
            <w:r>
              <w:rPr>
                <w:rFonts w:hint="eastAsia" w:ascii="Times New Roman" w:hAnsi="Times New Roman" w:cs="Times New Roman"/>
                <w:color w:val="auto"/>
                <w:sz w:val="24"/>
                <w:szCs w:val="24"/>
                <w:lang w:val="en-US" w:eastAsia="zh-CN"/>
              </w:rPr>
              <w:t>和《大气污染物综合排放标准》（GB16297-1996）无组织排放监控浓度限值</w:t>
            </w:r>
            <w:r>
              <w:rPr>
                <w:rFonts w:hint="eastAsia" w:ascii="Times New Roman" w:hAnsi="Times New Roman" w:cs="Times New Roman"/>
                <w:color w:val="auto"/>
                <w:kern w:val="2"/>
                <w:sz w:val="24"/>
                <w:szCs w:val="24"/>
                <w:vertAlign w:val="baseline"/>
                <w:lang w:val="en-US" w:eastAsia="zh-CN" w:bidi="ar-SA"/>
              </w:rPr>
              <w:t>、《恶臭污染物排放标准》（GB14554-1993）中的二级标准。</w:t>
            </w:r>
          </w:p>
          <w:p w14:paraId="661FF6BD">
            <w:pPr>
              <w:tabs>
                <w:tab w:val="left" w:pos="1755"/>
              </w:tabs>
              <w:adjustRightInd w:val="0"/>
              <w:snapToGrid w:val="0"/>
              <w:spacing w:line="360" w:lineRule="auto"/>
              <w:ind w:firstLine="480" w:firstLineChars="200"/>
              <w:rPr>
                <w:rFonts w:hint="default"/>
                <w:color w:val="auto"/>
                <w:sz w:val="24"/>
                <w:szCs w:val="28"/>
                <w:highlight w:val="none"/>
              </w:rPr>
            </w:pPr>
            <w:r>
              <w:rPr>
                <w:rFonts w:hint="default"/>
                <w:color w:val="auto"/>
                <w:sz w:val="24"/>
                <w:szCs w:val="28"/>
                <w:highlight w:val="none"/>
              </w:rPr>
              <w:t>（2）废水</w:t>
            </w:r>
          </w:p>
          <w:p w14:paraId="17431B03">
            <w:pPr>
              <w:tabs>
                <w:tab w:val="left" w:pos="1755"/>
              </w:tabs>
              <w:adjustRightInd w:val="0"/>
              <w:snapToGrid w:val="0"/>
              <w:spacing w:line="360" w:lineRule="auto"/>
              <w:ind w:firstLine="480" w:firstLineChars="200"/>
              <w:rPr>
                <w:rFonts w:hint="eastAsia"/>
                <w:b/>
                <w:bCs/>
                <w:color w:val="auto"/>
                <w:highlight w:val="none"/>
              </w:rPr>
            </w:pPr>
            <w:r>
              <w:rPr>
                <w:rFonts w:hint="eastAsia" w:ascii="Times New Roman" w:hAnsi="Times New Roman" w:eastAsia="宋体" w:cs="Times New Roman"/>
                <w:color w:val="auto"/>
                <w:kern w:val="2"/>
                <w:sz w:val="24"/>
                <w:szCs w:val="24"/>
                <w:highlight w:val="none"/>
                <w:lang w:val="en-US" w:eastAsia="zh-CN" w:bidi="ar-SA"/>
              </w:rPr>
              <w:t>项目采用雨污分流制，雨水经雨水管网排入周边沟渠；项目</w:t>
            </w:r>
            <w:r>
              <w:rPr>
                <w:rFonts w:hint="eastAsia" w:cs="Times New Roman"/>
                <w:color w:val="auto"/>
                <w:sz w:val="24"/>
                <w:szCs w:val="24"/>
                <w:highlight w:val="none"/>
                <w:lang w:eastAsia="zh-CN"/>
              </w:rPr>
              <w:t>用水</w:t>
            </w:r>
            <w:r>
              <w:rPr>
                <w:rFonts w:hint="default" w:ascii="Times New Roman" w:hAnsi="Times New Roman" w:eastAsia="宋体" w:cs="Times New Roman"/>
                <w:color w:val="auto"/>
                <w:sz w:val="24"/>
                <w:szCs w:val="24"/>
                <w:highlight w:val="none"/>
              </w:rPr>
              <w:t>主要为</w:t>
            </w:r>
            <w:r>
              <w:rPr>
                <w:rFonts w:hint="default" w:ascii="Times New Roman" w:hAnsi="Times New Roman" w:eastAsia="宋体" w:cs="Times New Roman"/>
                <w:color w:val="auto"/>
                <w:sz w:val="24"/>
                <w:szCs w:val="24"/>
                <w:highlight w:val="none"/>
                <w:lang w:eastAsia="zh-CN"/>
              </w:rPr>
              <w:t>生活</w:t>
            </w:r>
            <w:r>
              <w:rPr>
                <w:rFonts w:hint="eastAsia" w:cs="Times New Roman"/>
                <w:color w:val="auto"/>
                <w:sz w:val="24"/>
                <w:szCs w:val="24"/>
                <w:highlight w:val="none"/>
                <w:lang w:eastAsia="zh-CN"/>
              </w:rPr>
              <w:t>用</w:t>
            </w:r>
            <w:r>
              <w:rPr>
                <w:rFonts w:hint="default" w:ascii="Times New Roman" w:hAnsi="Times New Roman" w:eastAsia="宋体" w:cs="Times New Roman"/>
                <w:color w:val="auto"/>
                <w:sz w:val="24"/>
                <w:szCs w:val="24"/>
                <w:highlight w:val="none"/>
                <w:lang w:eastAsia="zh-CN"/>
              </w:rPr>
              <w:t>水、</w:t>
            </w:r>
            <w:r>
              <w:rPr>
                <w:rFonts w:hint="eastAsia" w:cs="Times New Roman"/>
                <w:color w:val="auto"/>
                <w:sz w:val="24"/>
                <w:szCs w:val="24"/>
                <w:highlight w:val="none"/>
                <w:lang w:eastAsia="zh-CN"/>
              </w:rPr>
              <w:t>循环冷却水、绿化用水，</w:t>
            </w:r>
            <w:r>
              <w:rPr>
                <w:rFonts w:hint="eastAsia" w:ascii="Times New Roman" w:hAnsi="Times New Roman" w:eastAsia="宋体" w:cs="Times New Roman"/>
                <w:color w:val="auto"/>
                <w:kern w:val="2"/>
                <w:sz w:val="24"/>
                <w:szCs w:val="24"/>
                <w:highlight w:val="none"/>
                <w:lang w:val="en-US" w:eastAsia="zh-CN" w:bidi="ar-SA"/>
              </w:rPr>
              <w:t>无生产废水排放，冷却水循环使用，不外排至环境水体中，只需定期补充损耗即可，生活污水经化粪池处理，定期清掏用作厂区周围农田施肥，不外排。</w:t>
            </w:r>
            <w:r>
              <w:rPr>
                <w:rFonts w:hint="default" w:ascii="Times New Roman" w:hAnsi="Times New Roman" w:eastAsia="宋体" w:cs="Times New Roman"/>
                <w:color w:val="auto"/>
                <w:kern w:val="2"/>
                <w:sz w:val="24"/>
                <w:szCs w:val="24"/>
                <w:highlight w:val="none"/>
                <w:lang w:val="en-US" w:eastAsia="zh-CN" w:bidi="ar-SA"/>
              </w:rPr>
              <w:t>对周围水环境影响较小。</w:t>
            </w:r>
          </w:p>
          <w:p w14:paraId="5392D63D">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object>
                <v:shape id="_x0000_i1028" o:spt="75" type="#_x0000_t75" style="height:188.25pt;width:414pt;" o:ole="t" filled="f" o:preferrelative="t" stroked="f" coordsize="21600,21600">
                  <v:path/>
                  <v:fill on="f" focussize="0,0"/>
                  <v:stroke on="f"/>
                  <v:imagedata r:id="rId14" o:title=""/>
                  <o:lock v:ext="edit" aspectratio="f"/>
                  <w10:wrap type="none"/>
                  <w10:anchorlock/>
                </v:shape>
                <o:OLEObject Type="Embed" ProgID="Visio.Drawing.11" ShapeID="_x0000_i1028" DrawAspect="Content" ObjectID="_1468075728" r:id="rId13">
                  <o:LockedField>false</o:LockedField>
                </o:OLEObject>
              </w:object>
            </w:r>
            <w:r>
              <w:rPr>
                <w:rFonts w:hint="default" w:ascii="Times New Roman" w:hAnsi="Times New Roman" w:eastAsia="宋体" w:cs="Times New Roman"/>
                <w:b/>
                <w:bCs/>
                <w:color w:val="auto"/>
                <w:sz w:val="24"/>
                <w:szCs w:val="24"/>
                <w:highlight w:val="none"/>
              </w:rPr>
              <w:t>图2.</w:t>
            </w:r>
            <w:r>
              <w:rPr>
                <w:rFonts w:hint="eastAsia"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rPr>
              <w:t xml:space="preserve">  </w:t>
            </w:r>
            <w:r>
              <w:rPr>
                <w:rFonts w:hint="default" w:ascii="Times New Roman" w:hAnsi="Times New Roman" w:eastAsia="宋体" w:cs="Times New Roman"/>
                <w:b/>
                <w:bCs/>
                <w:color w:val="auto"/>
                <w:sz w:val="24"/>
                <w:szCs w:val="24"/>
                <w:highlight w:val="none"/>
                <w:lang w:eastAsia="zh-CN"/>
              </w:rPr>
              <w:t>现有</w:t>
            </w:r>
            <w:r>
              <w:rPr>
                <w:rFonts w:hint="default" w:ascii="Times New Roman" w:hAnsi="Times New Roman" w:eastAsia="宋体" w:cs="Times New Roman"/>
                <w:b/>
                <w:bCs/>
                <w:color w:val="auto"/>
                <w:sz w:val="24"/>
                <w:szCs w:val="24"/>
                <w:highlight w:val="none"/>
              </w:rPr>
              <w:t>项目水平衡图 单位：t/d</w:t>
            </w:r>
          </w:p>
          <w:p w14:paraId="2671C841">
            <w:pPr>
              <w:tabs>
                <w:tab w:val="left" w:pos="1755"/>
              </w:tabs>
              <w:adjustRightInd w:val="0"/>
              <w:snapToGrid w:val="0"/>
              <w:spacing w:line="360" w:lineRule="auto"/>
              <w:ind w:firstLine="480" w:firstLineChars="200"/>
              <w:rPr>
                <w:rFonts w:hint="default"/>
                <w:color w:val="auto"/>
                <w:sz w:val="24"/>
                <w:szCs w:val="28"/>
                <w:highlight w:val="none"/>
              </w:rPr>
            </w:pPr>
            <w:r>
              <w:rPr>
                <w:rFonts w:hint="eastAsia"/>
                <w:color w:val="auto"/>
                <w:sz w:val="24"/>
                <w:szCs w:val="28"/>
                <w:highlight w:val="none"/>
              </w:rPr>
              <w:t>（3）噪声</w:t>
            </w:r>
          </w:p>
          <w:p w14:paraId="4F676F88">
            <w:pPr>
              <w:numPr>
                <w:ilvl w:val="0"/>
                <w:numId w:val="0"/>
              </w:numPr>
              <w:spacing w:line="360" w:lineRule="auto"/>
              <w:ind w:firstLine="480" w:firstLineChars="200"/>
              <w:rPr>
                <w:rFonts w:hint="eastAsia" w:cs="Times New Roman"/>
                <w:color w:val="auto"/>
                <w:kern w:val="0"/>
                <w:sz w:val="24"/>
                <w:szCs w:val="24"/>
                <w:lang w:val="en-US" w:eastAsia="zh-CN" w:bidi="ar-SA"/>
              </w:rPr>
            </w:pPr>
            <w:r>
              <w:rPr>
                <w:rFonts w:hint="eastAsia" w:ascii="Times New Roman" w:hAnsi="Times New Roman" w:eastAsia="宋体" w:cs="Times New Roman"/>
                <w:snapToGrid/>
                <w:color w:val="auto"/>
                <w:spacing w:val="0"/>
                <w:kern w:val="0"/>
                <w:position w:val="0"/>
                <w:sz w:val="24"/>
                <w:szCs w:val="24"/>
                <w:lang w:val="en-US" w:eastAsia="zh-CN"/>
              </w:rPr>
              <w:t>现有工程</w:t>
            </w:r>
            <w:r>
              <w:rPr>
                <w:rFonts w:hint="eastAsia" w:cs="Times New Roman"/>
                <w:color w:val="auto"/>
                <w:kern w:val="0"/>
                <w:sz w:val="24"/>
                <w:szCs w:val="24"/>
                <w:lang w:val="en-US" w:eastAsia="zh-CN" w:bidi="ar-SA"/>
              </w:rPr>
              <w:t>噪声正式运营后，</w:t>
            </w:r>
            <w:r>
              <w:rPr>
                <w:rFonts w:hint="eastAsia"/>
                <w:b w:val="0"/>
                <w:bCs w:val="0"/>
                <w:color w:val="auto"/>
                <w:sz w:val="24"/>
                <w:szCs w:val="24"/>
                <w:highlight w:val="none"/>
                <w:lang w:val="en-US" w:eastAsia="zh-CN"/>
              </w:rPr>
              <w:t>项目噪声源主要为V型混合机、</w:t>
            </w:r>
            <w:r>
              <w:rPr>
                <w:rFonts w:hint="eastAsia"/>
                <w:color w:val="auto"/>
                <w:sz w:val="24"/>
                <w:szCs w:val="24"/>
              </w:rPr>
              <w:t>高速混料机</w:t>
            </w:r>
            <w:r>
              <w:rPr>
                <w:rFonts w:hint="eastAsia"/>
                <w:b w:val="0"/>
                <w:bCs w:val="0"/>
                <w:color w:val="auto"/>
                <w:sz w:val="24"/>
                <w:szCs w:val="24"/>
                <w:highlight w:val="none"/>
                <w:lang w:val="en-US" w:eastAsia="zh-CN"/>
              </w:rPr>
              <w:t>、</w:t>
            </w:r>
            <w:r>
              <w:rPr>
                <w:rFonts w:hint="eastAsia"/>
                <w:color w:val="auto"/>
                <w:sz w:val="24"/>
                <w:szCs w:val="24"/>
              </w:rPr>
              <w:t>注塑机</w:t>
            </w:r>
            <w:r>
              <w:rPr>
                <w:rFonts w:hint="eastAsia"/>
                <w:b w:val="0"/>
                <w:bCs w:val="0"/>
                <w:color w:val="auto"/>
                <w:sz w:val="24"/>
                <w:szCs w:val="24"/>
                <w:highlight w:val="none"/>
                <w:lang w:val="en-US" w:eastAsia="zh-CN"/>
              </w:rPr>
              <w:t>、</w:t>
            </w:r>
            <w:r>
              <w:rPr>
                <w:rFonts w:hint="eastAsia"/>
                <w:color w:val="auto"/>
                <w:sz w:val="24"/>
                <w:szCs w:val="24"/>
              </w:rPr>
              <w:t>微电脑钼丝炉</w:t>
            </w:r>
            <w:r>
              <w:rPr>
                <w:rFonts w:hint="eastAsia"/>
                <w:b w:val="0"/>
                <w:bCs w:val="0"/>
                <w:color w:val="auto"/>
                <w:sz w:val="24"/>
                <w:szCs w:val="24"/>
                <w:highlight w:val="none"/>
                <w:lang w:val="en-US" w:eastAsia="zh-CN"/>
              </w:rPr>
              <w:t>、</w:t>
            </w:r>
            <w:r>
              <w:rPr>
                <w:rFonts w:hint="eastAsia"/>
                <w:color w:val="auto"/>
                <w:sz w:val="24"/>
                <w:szCs w:val="24"/>
              </w:rPr>
              <w:t>震动研磨机</w:t>
            </w:r>
            <w:r>
              <w:rPr>
                <w:rFonts w:hint="eastAsia"/>
                <w:b w:val="0"/>
                <w:bCs w:val="0"/>
                <w:color w:val="auto"/>
                <w:sz w:val="24"/>
                <w:szCs w:val="24"/>
                <w:highlight w:val="none"/>
                <w:lang w:val="en-US" w:eastAsia="zh-CN"/>
              </w:rPr>
              <w:t>及风机等设备运行时产生的噪声</w:t>
            </w:r>
            <w:r>
              <w:rPr>
                <w:rFonts w:hint="eastAsia" w:ascii="Times New Roman" w:hAnsi="Times New Roman" w:cs="Times New Roman"/>
                <w:b w:val="0"/>
                <w:bCs w:val="0"/>
                <w:color w:val="auto"/>
                <w:sz w:val="24"/>
                <w:szCs w:val="24"/>
                <w:highlight w:val="none"/>
                <w:shd w:val="clear" w:color="auto" w:fill="auto"/>
                <w:lang w:val="en-US" w:eastAsia="zh-CN"/>
              </w:rPr>
              <w:t>，噪声</w:t>
            </w:r>
            <w:r>
              <w:rPr>
                <w:rFonts w:hint="default" w:ascii="Times New Roman" w:hAnsi="Times New Roman" w:eastAsia="宋体" w:cs="Times New Roman"/>
                <w:color w:val="auto"/>
                <w:sz w:val="24"/>
                <w:szCs w:val="24"/>
                <w:highlight w:val="none"/>
              </w:rPr>
              <w:t>级在</w:t>
            </w:r>
            <w:r>
              <w:rPr>
                <w:rFonts w:hint="eastAsia" w:cs="Times New Roman"/>
                <w:color w:val="auto"/>
                <w:sz w:val="24"/>
                <w:szCs w:val="24"/>
                <w:highlight w:val="none"/>
                <w:lang w:val="en-US" w:eastAsia="zh-CN"/>
              </w:rPr>
              <w:t>70</w:t>
            </w: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9</w:t>
            </w:r>
            <w:r>
              <w:rPr>
                <w:rFonts w:hint="eastAsia" w:ascii="Times New Roman" w:hAnsi="Times New Roman" w:eastAsia="宋体" w:cs="Times New Roman"/>
                <w:color w:val="auto"/>
                <w:sz w:val="24"/>
                <w:szCs w:val="24"/>
                <w:highlight w:val="none"/>
                <w:lang w:val="en-US" w:eastAsia="zh-CN"/>
              </w:rPr>
              <w:t>0dB（A）之间</w:t>
            </w:r>
            <w:r>
              <w:rPr>
                <w:rFonts w:hint="eastAsia" w:cs="Times New Roman"/>
                <w:color w:val="auto"/>
                <w:kern w:val="0"/>
                <w:sz w:val="24"/>
                <w:szCs w:val="24"/>
                <w:lang w:val="en-US" w:eastAsia="zh-CN" w:bidi="ar-SA"/>
              </w:rPr>
              <w:t>。根据</w:t>
            </w:r>
            <w:r>
              <w:rPr>
                <w:rFonts w:hint="default" w:ascii="Times New Roman" w:hAnsi="Times New Roman" w:cs="Times New Roman"/>
                <w:color w:val="auto"/>
                <w:sz w:val="24"/>
                <w:szCs w:val="24"/>
                <w:highlight w:val="none"/>
              </w:rPr>
              <w:t>《</w:t>
            </w:r>
            <w:r>
              <w:rPr>
                <w:rFonts w:hint="default" w:ascii="Times New Roman" w:hAnsi="Times New Roman" w:cs="Times New Roman"/>
                <w:snapToGrid/>
                <w:color w:val="auto"/>
                <w:spacing w:val="0"/>
                <w:kern w:val="0"/>
                <w:position w:val="0"/>
                <w:sz w:val="24"/>
                <w:szCs w:val="24"/>
                <w:lang w:eastAsia="zh-CN"/>
              </w:rPr>
              <w:t>灵璧县威科钓具有限公司</w:t>
            </w:r>
            <w:r>
              <w:rPr>
                <w:rFonts w:hint="default" w:ascii="Times New Roman" w:hAnsi="Times New Roman" w:cs="Times New Roman"/>
                <w:color w:val="auto"/>
                <w:sz w:val="24"/>
                <w:szCs w:val="24"/>
                <w:highlight w:val="none"/>
                <w:lang w:val="en-US" w:eastAsia="zh-CN"/>
              </w:rPr>
              <w:t>废气、噪声</w:t>
            </w:r>
            <w:r>
              <w:rPr>
                <w:rFonts w:hint="default" w:ascii="Times New Roman" w:hAnsi="Times New Roman" w:cs="Times New Roman"/>
                <w:color w:val="auto"/>
                <w:sz w:val="24"/>
                <w:szCs w:val="24"/>
                <w:highlight w:val="none"/>
              </w:rPr>
              <w:t>检</w:t>
            </w:r>
            <w:r>
              <w:rPr>
                <w:rFonts w:hint="eastAsia"/>
                <w:color w:val="auto"/>
                <w:sz w:val="24"/>
                <w:szCs w:val="24"/>
                <w:highlight w:val="none"/>
              </w:rPr>
              <w:t>测》</w:t>
            </w:r>
            <w:r>
              <w:rPr>
                <w:rFonts w:hint="eastAsia"/>
                <w:color w:val="auto"/>
                <w:sz w:val="24"/>
                <w:szCs w:val="24"/>
                <w:highlight w:val="none"/>
                <w:lang w:eastAsia="zh-CN"/>
              </w:rPr>
              <w:t>（报告编号：</w:t>
            </w:r>
            <w:r>
              <w:rPr>
                <w:rFonts w:hint="default" w:ascii="Times New Roman" w:hAnsi="Times New Roman" w:cs="Times New Roman"/>
                <w:color w:val="auto"/>
                <w:sz w:val="24"/>
                <w:szCs w:val="24"/>
                <w:highlight w:val="none"/>
                <w:lang w:val="en-US" w:eastAsia="zh-CN"/>
              </w:rPr>
              <w:t>JJ20</w:t>
            </w:r>
            <w:r>
              <w:rPr>
                <w:rFonts w:hint="eastAsia" w:ascii="Times New Roman" w:hAnsi="Times New Roman" w:cs="Times New Roman"/>
                <w:color w:val="auto"/>
                <w:sz w:val="24"/>
                <w:szCs w:val="24"/>
                <w:highlight w:val="none"/>
                <w:lang w:val="en-US" w:eastAsia="zh-CN"/>
              </w:rPr>
              <w:t>24036</w:t>
            </w:r>
            <w:r>
              <w:rPr>
                <w:rFonts w:hint="default" w:ascii="Times New Roman" w:hAnsi="Times New Roman" w:cs="Times New Roman"/>
                <w:color w:val="auto"/>
                <w:sz w:val="24"/>
                <w:szCs w:val="24"/>
                <w:highlight w:val="none"/>
                <w:lang w:val="en-US" w:eastAsia="zh-CN"/>
              </w:rPr>
              <w:t>，202</w:t>
            </w: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lang w:val="en-US" w:eastAsia="zh-CN"/>
              </w:rPr>
              <w:t>年</w:t>
            </w: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lang w:val="en-US" w:eastAsia="zh-CN"/>
              </w:rPr>
              <w:t>月</w:t>
            </w:r>
            <w:r>
              <w:rPr>
                <w:rFonts w:hint="eastAsia" w:ascii="Times New Roman" w:hAnsi="Times New Roman" w:cs="Times New Roman"/>
                <w:color w:val="auto"/>
                <w:sz w:val="24"/>
                <w:szCs w:val="24"/>
                <w:highlight w:val="none"/>
                <w:lang w:val="en-US" w:eastAsia="zh-CN"/>
              </w:rPr>
              <w:t>25</w:t>
            </w:r>
            <w:r>
              <w:rPr>
                <w:rFonts w:hint="default" w:ascii="Times New Roman" w:hAnsi="Times New Roman" w:cs="Times New Roman"/>
                <w:color w:val="auto"/>
                <w:sz w:val="24"/>
                <w:szCs w:val="24"/>
                <w:highlight w:val="none"/>
                <w:lang w:val="en-US" w:eastAsia="zh-CN"/>
              </w:rPr>
              <w:t>日</w:t>
            </w:r>
            <w:r>
              <w:rPr>
                <w:rFonts w:hint="eastAsia"/>
                <w:color w:val="auto"/>
                <w:sz w:val="24"/>
                <w:szCs w:val="24"/>
                <w:highlight w:val="none"/>
                <w:lang w:eastAsia="zh-CN"/>
              </w:rPr>
              <w:t>）和</w:t>
            </w:r>
            <w:r>
              <w:rPr>
                <w:rFonts w:hint="default" w:ascii="Times New Roman" w:hAnsi="Times New Roman" w:cs="Times New Roman"/>
                <w:color w:val="auto"/>
                <w:sz w:val="24"/>
                <w:szCs w:val="24"/>
                <w:highlight w:val="none"/>
              </w:rPr>
              <w:t>《</w:t>
            </w:r>
            <w:r>
              <w:rPr>
                <w:rFonts w:hint="default" w:ascii="Times New Roman" w:hAnsi="Times New Roman" w:cs="Times New Roman"/>
                <w:snapToGrid/>
                <w:color w:val="auto"/>
                <w:spacing w:val="0"/>
                <w:kern w:val="0"/>
                <w:position w:val="0"/>
                <w:sz w:val="24"/>
                <w:szCs w:val="24"/>
                <w:lang w:eastAsia="zh-CN"/>
              </w:rPr>
              <w:t>灵璧县威科钓具有限公司</w:t>
            </w:r>
            <w:r>
              <w:rPr>
                <w:rFonts w:hint="default" w:ascii="Times New Roman" w:hAnsi="Times New Roman" w:cs="Times New Roman"/>
                <w:color w:val="auto"/>
                <w:sz w:val="24"/>
                <w:szCs w:val="24"/>
                <w:highlight w:val="none"/>
                <w:lang w:val="en-US" w:eastAsia="zh-CN"/>
              </w:rPr>
              <w:t>废气、噪声</w:t>
            </w:r>
            <w:r>
              <w:rPr>
                <w:rFonts w:hint="default" w:ascii="Times New Roman" w:hAnsi="Times New Roman" w:cs="Times New Roman"/>
                <w:color w:val="auto"/>
                <w:sz w:val="24"/>
                <w:szCs w:val="24"/>
                <w:highlight w:val="none"/>
              </w:rPr>
              <w:t>检</w:t>
            </w:r>
            <w:r>
              <w:rPr>
                <w:rFonts w:hint="eastAsia"/>
                <w:color w:val="auto"/>
                <w:sz w:val="24"/>
                <w:szCs w:val="24"/>
                <w:highlight w:val="none"/>
              </w:rPr>
              <w:t>测》</w:t>
            </w:r>
            <w:r>
              <w:rPr>
                <w:rFonts w:hint="eastAsia"/>
                <w:color w:val="auto"/>
                <w:sz w:val="24"/>
                <w:szCs w:val="24"/>
                <w:highlight w:val="none"/>
                <w:lang w:eastAsia="zh-CN"/>
              </w:rPr>
              <w:t>（报告编号：</w:t>
            </w:r>
            <w:r>
              <w:rPr>
                <w:rFonts w:hint="default" w:ascii="Times New Roman" w:hAnsi="Times New Roman" w:cs="Times New Roman"/>
                <w:color w:val="auto"/>
                <w:sz w:val="24"/>
                <w:szCs w:val="24"/>
                <w:highlight w:val="none"/>
                <w:lang w:val="en-US" w:eastAsia="zh-CN"/>
              </w:rPr>
              <w:t>JJ2025197，2025年6月17日</w:t>
            </w:r>
            <w:r>
              <w:rPr>
                <w:rFonts w:hint="eastAsia"/>
                <w:color w:val="auto"/>
                <w:sz w:val="24"/>
                <w:szCs w:val="24"/>
                <w:highlight w:val="none"/>
                <w:lang w:eastAsia="zh-CN"/>
              </w:rPr>
              <w:t>），</w:t>
            </w:r>
            <w:r>
              <w:rPr>
                <w:rFonts w:hint="eastAsia" w:cs="Times New Roman"/>
                <w:color w:val="auto"/>
                <w:kern w:val="0"/>
                <w:sz w:val="24"/>
                <w:szCs w:val="24"/>
                <w:lang w:val="en-US" w:eastAsia="zh-CN" w:bidi="ar-SA"/>
              </w:rPr>
              <w:t>噪声监测结果如下：</w:t>
            </w:r>
          </w:p>
          <w:p w14:paraId="3C6EC2A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b/>
                <w:bCs/>
                <w:color w:val="auto"/>
                <w:sz w:val="24"/>
                <w:szCs w:val="24"/>
                <w:lang w:val="en-US" w:eastAsia="zh-CN"/>
              </w:rPr>
            </w:pPr>
            <w:r>
              <w:rPr>
                <w:rFonts w:hint="eastAsia"/>
                <w:b/>
                <w:bCs/>
                <w:color w:val="auto"/>
                <w:sz w:val="24"/>
                <w:szCs w:val="24"/>
                <w:lang w:val="en-US" w:eastAsia="zh-CN"/>
              </w:rPr>
              <w:t>表</w:t>
            </w:r>
            <w:r>
              <w:rPr>
                <w:rFonts w:hint="eastAsia" w:cs="Times New Roman"/>
                <w:b/>
                <w:bCs/>
                <w:color w:val="auto"/>
                <w:sz w:val="24"/>
                <w:szCs w:val="24"/>
                <w:lang w:val="en-US" w:eastAsia="zh-CN"/>
              </w:rPr>
              <w:t>2.15</w:t>
            </w:r>
            <w:r>
              <w:rPr>
                <w:rFonts w:hint="eastAsia"/>
                <w:b/>
                <w:bCs/>
                <w:color w:val="auto"/>
                <w:sz w:val="24"/>
                <w:szCs w:val="24"/>
                <w:lang w:val="en-US" w:eastAsia="zh-CN"/>
              </w:rPr>
              <w:t xml:space="preserve">  噪声检测结果</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076"/>
              <w:gridCol w:w="2001"/>
              <w:gridCol w:w="2253"/>
            </w:tblGrid>
            <w:tr w14:paraId="5316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restart"/>
                  <w:tcBorders>
                    <w:tl2br w:val="nil"/>
                    <w:tr2bl w:val="nil"/>
                  </w:tcBorders>
                  <w:noWrap w:val="0"/>
                  <w:vAlign w:val="center"/>
                </w:tcPr>
                <w:p w14:paraId="7C836C5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b w:val="0"/>
                      <w:bCs w:val="0"/>
                      <w:color w:val="auto"/>
                      <w:kern w:val="2"/>
                      <w:sz w:val="21"/>
                      <w:szCs w:val="21"/>
                      <w:lang w:val="en-US" w:eastAsia="zh-CN" w:bidi="ar"/>
                    </w:rPr>
                  </w:pPr>
                  <w:r>
                    <w:rPr>
                      <w:rFonts w:hint="eastAsia" w:cs="Times New Roman"/>
                      <w:b w:val="0"/>
                      <w:bCs w:val="0"/>
                      <w:color w:val="auto"/>
                      <w:sz w:val="21"/>
                      <w:szCs w:val="21"/>
                      <w:lang w:val="en-US" w:eastAsia="zh-CN" w:bidi="ar"/>
                    </w:rPr>
                    <w:t>编码</w:t>
                  </w:r>
                </w:p>
              </w:tc>
              <w:tc>
                <w:tcPr>
                  <w:tcW w:w="1857" w:type="pct"/>
                  <w:vMerge w:val="restart"/>
                  <w:tcBorders>
                    <w:tl2br w:val="nil"/>
                    <w:tr2bl w:val="nil"/>
                  </w:tcBorders>
                  <w:noWrap w:val="0"/>
                  <w:vAlign w:val="center"/>
                </w:tcPr>
                <w:p w14:paraId="04EA93B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监测点位</w:t>
                  </w:r>
                </w:p>
              </w:tc>
              <w:tc>
                <w:tcPr>
                  <w:tcW w:w="2568" w:type="pct"/>
                  <w:gridSpan w:val="2"/>
                  <w:tcBorders>
                    <w:tl2br w:val="nil"/>
                    <w:tr2bl w:val="nil"/>
                  </w:tcBorders>
                  <w:noWrap w:val="0"/>
                  <w:vAlign w:val="center"/>
                </w:tcPr>
                <w:p w14:paraId="5025927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bidi="ar"/>
                    </w:rPr>
                  </w:pPr>
                  <w:r>
                    <w:rPr>
                      <w:rFonts w:hint="eastAsia" w:cs="Times New Roman"/>
                      <w:b w:val="0"/>
                      <w:bCs w:val="0"/>
                      <w:color w:val="auto"/>
                      <w:sz w:val="21"/>
                      <w:szCs w:val="21"/>
                      <w:lang w:val="en-US" w:eastAsia="zh-CN" w:bidi="ar"/>
                    </w:rPr>
                    <w:t>检测值</w:t>
                  </w:r>
                </w:p>
              </w:tc>
            </w:tr>
            <w:tr w14:paraId="1852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tcBorders>
                    <w:tl2br w:val="nil"/>
                    <w:tr2bl w:val="nil"/>
                  </w:tcBorders>
                  <w:noWrap w:val="0"/>
                  <w:vAlign w:val="center"/>
                </w:tcPr>
                <w:p w14:paraId="6EA2ED0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cs="Times New Roman"/>
                      <w:b w:val="0"/>
                      <w:bCs w:val="0"/>
                      <w:color w:val="auto"/>
                      <w:sz w:val="21"/>
                      <w:szCs w:val="21"/>
                      <w:lang w:val="en-US" w:eastAsia="zh-CN" w:bidi="ar"/>
                    </w:rPr>
                  </w:pPr>
                </w:p>
              </w:tc>
              <w:tc>
                <w:tcPr>
                  <w:tcW w:w="1857" w:type="pct"/>
                  <w:vMerge w:val="continue"/>
                  <w:tcBorders>
                    <w:tl2br w:val="nil"/>
                    <w:tr2bl w:val="nil"/>
                  </w:tcBorders>
                  <w:noWrap w:val="0"/>
                  <w:vAlign w:val="center"/>
                </w:tcPr>
                <w:p w14:paraId="1C2925D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bidi="ar"/>
                    </w:rPr>
                  </w:pPr>
                </w:p>
              </w:tc>
              <w:tc>
                <w:tcPr>
                  <w:tcW w:w="2568" w:type="pct"/>
                  <w:gridSpan w:val="2"/>
                  <w:tcBorders>
                    <w:tl2br w:val="nil"/>
                    <w:tr2bl w:val="nil"/>
                  </w:tcBorders>
                  <w:noWrap w:val="0"/>
                  <w:vAlign w:val="center"/>
                </w:tcPr>
                <w:p w14:paraId="0EA4D57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bidi="ar"/>
                    </w:rPr>
                  </w:pPr>
                  <w:r>
                    <w:rPr>
                      <w:rFonts w:hint="eastAsia" w:cs="Times New Roman"/>
                      <w:b w:val="0"/>
                      <w:bCs w:val="0"/>
                      <w:color w:val="auto"/>
                      <w:sz w:val="21"/>
                      <w:szCs w:val="21"/>
                      <w:lang w:val="en-US" w:eastAsia="zh-CN" w:bidi="ar"/>
                    </w:rPr>
                    <w:t>2024年4月15日</w:t>
                  </w:r>
                </w:p>
              </w:tc>
            </w:tr>
            <w:tr w14:paraId="6A480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tcBorders>
                    <w:tl2br w:val="nil"/>
                    <w:tr2bl w:val="nil"/>
                  </w:tcBorders>
                  <w:noWrap w:val="0"/>
                  <w:vAlign w:val="center"/>
                </w:tcPr>
                <w:p w14:paraId="4188697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cs="Times New Roman"/>
                      <w:b w:val="0"/>
                      <w:bCs w:val="0"/>
                      <w:color w:val="auto"/>
                      <w:sz w:val="21"/>
                      <w:szCs w:val="21"/>
                      <w:lang w:val="en-US" w:eastAsia="zh-CN" w:bidi="ar"/>
                    </w:rPr>
                  </w:pPr>
                </w:p>
              </w:tc>
              <w:tc>
                <w:tcPr>
                  <w:tcW w:w="1857" w:type="pct"/>
                  <w:vMerge w:val="continue"/>
                  <w:tcBorders>
                    <w:tl2br w:val="nil"/>
                    <w:tr2bl w:val="nil"/>
                  </w:tcBorders>
                  <w:noWrap w:val="0"/>
                  <w:vAlign w:val="center"/>
                </w:tcPr>
                <w:p w14:paraId="25B9758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bidi="ar"/>
                    </w:rPr>
                  </w:pPr>
                </w:p>
              </w:tc>
              <w:tc>
                <w:tcPr>
                  <w:tcW w:w="1208" w:type="pct"/>
                  <w:tcBorders>
                    <w:tl2br w:val="nil"/>
                    <w:tr2bl w:val="nil"/>
                  </w:tcBorders>
                  <w:noWrap w:val="0"/>
                  <w:vAlign w:val="center"/>
                </w:tcPr>
                <w:p w14:paraId="68F7D6B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bidi="ar"/>
                    </w:rPr>
                  </w:pPr>
                  <w:r>
                    <w:rPr>
                      <w:rFonts w:hint="eastAsia" w:cs="Times New Roman"/>
                      <w:b w:val="0"/>
                      <w:bCs w:val="0"/>
                      <w:color w:val="auto"/>
                      <w:sz w:val="21"/>
                      <w:szCs w:val="21"/>
                      <w:lang w:val="en-US" w:eastAsia="zh-CN" w:bidi="ar"/>
                    </w:rPr>
                    <w:t>昼间LeqA</w:t>
                  </w:r>
                </w:p>
              </w:tc>
              <w:tc>
                <w:tcPr>
                  <w:tcW w:w="1360" w:type="pct"/>
                  <w:tcBorders>
                    <w:tl2br w:val="nil"/>
                    <w:tr2bl w:val="nil"/>
                  </w:tcBorders>
                  <w:noWrap w:val="0"/>
                  <w:vAlign w:val="center"/>
                </w:tcPr>
                <w:p w14:paraId="71D54E9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bidi="ar"/>
                    </w:rPr>
                  </w:pPr>
                  <w:r>
                    <w:rPr>
                      <w:rFonts w:hint="eastAsia" w:cs="Times New Roman"/>
                      <w:b w:val="0"/>
                      <w:bCs w:val="0"/>
                      <w:color w:val="auto"/>
                      <w:sz w:val="21"/>
                      <w:szCs w:val="21"/>
                      <w:lang w:val="en-US" w:eastAsia="zh-CN" w:bidi="ar"/>
                    </w:rPr>
                    <w:t>夜间LeqA</w:t>
                  </w:r>
                </w:p>
              </w:tc>
            </w:tr>
            <w:tr w14:paraId="56A7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tcBorders>
                    <w:tl2br w:val="nil"/>
                    <w:tr2bl w:val="nil"/>
                  </w:tcBorders>
                  <w:noWrap w:val="0"/>
                  <w:vAlign w:val="center"/>
                </w:tcPr>
                <w:p w14:paraId="45BB677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b w:val="0"/>
                      <w:bCs w:val="0"/>
                      <w:color w:val="auto"/>
                      <w:kern w:val="2"/>
                      <w:sz w:val="21"/>
                      <w:szCs w:val="21"/>
                      <w:lang w:val="en-US" w:eastAsia="zh-CN" w:bidi="ar"/>
                    </w:rPr>
                  </w:pPr>
                  <w:r>
                    <w:rPr>
                      <w:rFonts w:hint="eastAsia" w:cs="Times New Roman"/>
                      <w:b w:val="0"/>
                      <w:bCs w:val="0"/>
                      <w:color w:val="auto"/>
                      <w:sz w:val="21"/>
                      <w:szCs w:val="21"/>
                      <w:lang w:val="en-US" w:eastAsia="zh-CN" w:bidi="ar"/>
                    </w:rPr>
                    <w:t>N1</w:t>
                  </w:r>
                </w:p>
              </w:tc>
              <w:tc>
                <w:tcPr>
                  <w:tcW w:w="1857" w:type="pct"/>
                  <w:tcBorders>
                    <w:tl2br w:val="nil"/>
                    <w:tr2bl w:val="nil"/>
                  </w:tcBorders>
                  <w:noWrap w:val="0"/>
                  <w:vAlign w:val="center"/>
                </w:tcPr>
                <w:p w14:paraId="481C9A7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bidi="ar"/>
                    </w:rPr>
                  </w:pPr>
                  <w:r>
                    <w:rPr>
                      <w:rFonts w:hint="eastAsia" w:cs="Times New Roman"/>
                      <w:b w:val="0"/>
                      <w:bCs w:val="0"/>
                      <w:color w:val="auto"/>
                      <w:sz w:val="21"/>
                      <w:szCs w:val="21"/>
                      <w:lang w:eastAsia="zh-CN" w:bidi="ar"/>
                    </w:rPr>
                    <w:t>东厂界高于围墙</w:t>
                  </w:r>
                  <w:r>
                    <w:rPr>
                      <w:rFonts w:hint="eastAsia" w:cs="Times New Roman"/>
                      <w:b w:val="0"/>
                      <w:bCs w:val="0"/>
                      <w:color w:val="auto"/>
                      <w:sz w:val="21"/>
                      <w:szCs w:val="21"/>
                      <w:lang w:val="en-US" w:eastAsia="zh-CN" w:bidi="ar"/>
                    </w:rPr>
                    <w:t>0.5米</w:t>
                  </w:r>
                </w:p>
              </w:tc>
              <w:tc>
                <w:tcPr>
                  <w:tcW w:w="1208" w:type="pct"/>
                  <w:tcBorders>
                    <w:tl2br w:val="nil"/>
                    <w:tr2bl w:val="nil"/>
                  </w:tcBorders>
                  <w:shd w:val="clear" w:color="auto" w:fill="auto"/>
                  <w:noWrap w:val="0"/>
                  <w:vAlign w:val="center"/>
                </w:tcPr>
                <w:p w14:paraId="371CBA07">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cs="Times New Roman" w:eastAsiaTheme="minorEastAsia"/>
                      <w:b w:val="0"/>
                      <w:bCs w:val="0"/>
                      <w:color w:val="auto"/>
                      <w:kern w:val="2"/>
                      <w:sz w:val="21"/>
                      <w:szCs w:val="21"/>
                      <w:lang w:val="en-US" w:eastAsia="zh-CN" w:bidi="ar-SA"/>
                    </w:rPr>
                    <w:t>56.8</w:t>
                  </w:r>
                </w:p>
              </w:tc>
              <w:tc>
                <w:tcPr>
                  <w:tcW w:w="1360" w:type="pct"/>
                  <w:tcBorders>
                    <w:tl2br w:val="nil"/>
                    <w:tr2bl w:val="nil"/>
                  </w:tcBorders>
                  <w:shd w:val="clear" w:color="auto" w:fill="auto"/>
                  <w:noWrap w:val="0"/>
                  <w:vAlign w:val="center"/>
                </w:tcPr>
                <w:p w14:paraId="636F371E">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cs="Times New Roman" w:eastAsiaTheme="minorEastAsia"/>
                      <w:b w:val="0"/>
                      <w:bCs w:val="0"/>
                      <w:color w:val="auto"/>
                      <w:kern w:val="2"/>
                      <w:sz w:val="21"/>
                      <w:szCs w:val="21"/>
                      <w:lang w:val="en-US" w:eastAsia="zh-CN" w:bidi="ar-SA"/>
                    </w:rPr>
                    <w:t>49.0</w:t>
                  </w:r>
                </w:p>
              </w:tc>
            </w:tr>
            <w:tr w14:paraId="21BAC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tcBorders>
                    <w:tl2br w:val="nil"/>
                    <w:tr2bl w:val="nil"/>
                  </w:tcBorders>
                  <w:noWrap w:val="0"/>
                  <w:vAlign w:val="center"/>
                </w:tcPr>
                <w:p w14:paraId="21224F9E">
                  <w:pPr>
                    <w:keepNext w:val="0"/>
                    <w:keepLines w:val="0"/>
                    <w:pageBreakBefore w:val="0"/>
                    <w:kinsoku/>
                    <w:wordWrap/>
                    <w:overflowPunct/>
                    <w:topLinePunct w:val="0"/>
                    <w:autoSpaceDE/>
                    <w:autoSpaceDN/>
                    <w:bidi w:val="0"/>
                    <w:snapToGrid w:val="0"/>
                    <w:spacing w:line="240" w:lineRule="auto"/>
                    <w:ind w:firstLine="0" w:firstLineChars="0"/>
                    <w:jc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sz w:val="21"/>
                      <w:szCs w:val="21"/>
                      <w:lang w:val="en-US" w:eastAsia="zh-CN"/>
                    </w:rPr>
                    <w:t>N2</w:t>
                  </w:r>
                </w:p>
              </w:tc>
              <w:tc>
                <w:tcPr>
                  <w:tcW w:w="1857" w:type="pct"/>
                  <w:tcBorders>
                    <w:tl2br w:val="nil"/>
                    <w:tr2bl w:val="nil"/>
                  </w:tcBorders>
                  <w:noWrap w:val="0"/>
                  <w:vAlign w:val="center"/>
                </w:tcPr>
                <w:p w14:paraId="0C7FD5DA">
                  <w:pPr>
                    <w:keepNext w:val="0"/>
                    <w:keepLines w:val="0"/>
                    <w:pageBreakBefore w:val="0"/>
                    <w:kinsoku/>
                    <w:wordWrap/>
                    <w:overflowPunct/>
                    <w:topLinePunct w:val="0"/>
                    <w:autoSpaceDE/>
                    <w:autoSpaceDN/>
                    <w:bidi w:val="0"/>
                    <w:snapToGrid w:val="0"/>
                    <w:spacing w:line="240" w:lineRule="auto"/>
                    <w:ind w:firstLine="0" w:firstLineChars="0"/>
                    <w:jc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sz w:val="21"/>
                      <w:szCs w:val="21"/>
                      <w:lang w:eastAsia="zh-CN" w:bidi="ar"/>
                    </w:rPr>
                    <w:t>南厂界高于围墙</w:t>
                  </w:r>
                  <w:r>
                    <w:rPr>
                      <w:rFonts w:hint="eastAsia" w:cs="Times New Roman"/>
                      <w:b w:val="0"/>
                      <w:bCs w:val="0"/>
                      <w:color w:val="auto"/>
                      <w:sz w:val="21"/>
                      <w:szCs w:val="21"/>
                      <w:lang w:val="en-US" w:eastAsia="zh-CN" w:bidi="ar"/>
                    </w:rPr>
                    <w:t>0.5米</w:t>
                  </w:r>
                </w:p>
              </w:tc>
              <w:tc>
                <w:tcPr>
                  <w:tcW w:w="1208" w:type="pct"/>
                  <w:tcBorders>
                    <w:tl2br w:val="nil"/>
                    <w:tr2bl w:val="nil"/>
                  </w:tcBorders>
                  <w:shd w:val="clear" w:color="auto" w:fill="auto"/>
                  <w:noWrap w:val="0"/>
                  <w:vAlign w:val="center"/>
                </w:tcPr>
                <w:p w14:paraId="462BCDF2">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cs="Times New Roman" w:eastAsiaTheme="minorEastAsia"/>
                      <w:b w:val="0"/>
                      <w:bCs w:val="0"/>
                      <w:color w:val="auto"/>
                      <w:kern w:val="2"/>
                      <w:sz w:val="21"/>
                      <w:szCs w:val="21"/>
                      <w:lang w:val="en-US" w:eastAsia="zh-CN" w:bidi="ar-SA"/>
                    </w:rPr>
                    <w:t>57.7</w:t>
                  </w:r>
                </w:p>
              </w:tc>
              <w:tc>
                <w:tcPr>
                  <w:tcW w:w="1360" w:type="pct"/>
                  <w:tcBorders>
                    <w:tl2br w:val="nil"/>
                    <w:tr2bl w:val="nil"/>
                  </w:tcBorders>
                  <w:shd w:val="clear" w:color="auto" w:fill="auto"/>
                  <w:noWrap w:val="0"/>
                  <w:vAlign w:val="center"/>
                </w:tcPr>
                <w:p w14:paraId="79F4D2E6">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cs="Times New Roman" w:eastAsiaTheme="minorEastAsia"/>
                      <w:b w:val="0"/>
                      <w:bCs w:val="0"/>
                      <w:color w:val="auto"/>
                      <w:kern w:val="2"/>
                      <w:sz w:val="21"/>
                      <w:szCs w:val="21"/>
                      <w:lang w:val="en-US" w:eastAsia="zh-CN" w:bidi="ar-SA"/>
                    </w:rPr>
                    <w:t>46.6</w:t>
                  </w:r>
                </w:p>
              </w:tc>
            </w:tr>
            <w:tr w14:paraId="19BC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tcBorders>
                    <w:tl2br w:val="nil"/>
                    <w:tr2bl w:val="nil"/>
                  </w:tcBorders>
                  <w:noWrap w:val="0"/>
                  <w:vAlign w:val="center"/>
                </w:tcPr>
                <w:p w14:paraId="61A6510F">
                  <w:pPr>
                    <w:keepNext w:val="0"/>
                    <w:keepLines w:val="0"/>
                    <w:pageBreakBefore w:val="0"/>
                    <w:kinsoku/>
                    <w:wordWrap/>
                    <w:overflowPunct/>
                    <w:topLinePunct w:val="0"/>
                    <w:autoSpaceDE/>
                    <w:autoSpaceDN/>
                    <w:bidi w:val="0"/>
                    <w:snapToGrid w:val="0"/>
                    <w:spacing w:line="240" w:lineRule="auto"/>
                    <w:ind w:firstLine="0" w:firstLineChars="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N</w:t>
                  </w:r>
                  <w:r>
                    <w:rPr>
                      <w:rFonts w:hint="eastAsia" w:cs="Times New Roman"/>
                      <w:b w:val="0"/>
                      <w:bCs w:val="0"/>
                      <w:color w:val="auto"/>
                      <w:sz w:val="21"/>
                      <w:szCs w:val="21"/>
                      <w:lang w:val="en-US" w:eastAsia="zh-CN"/>
                    </w:rPr>
                    <w:t>3</w:t>
                  </w:r>
                </w:p>
              </w:tc>
              <w:tc>
                <w:tcPr>
                  <w:tcW w:w="1857" w:type="pct"/>
                  <w:tcBorders>
                    <w:tl2br w:val="nil"/>
                    <w:tr2bl w:val="nil"/>
                  </w:tcBorders>
                  <w:noWrap w:val="0"/>
                  <w:vAlign w:val="center"/>
                </w:tcPr>
                <w:p w14:paraId="7661DFDB">
                  <w:pPr>
                    <w:keepNext w:val="0"/>
                    <w:keepLines w:val="0"/>
                    <w:pageBreakBefore w:val="0"/>
                    <w:kinsoku/>
                    <w:wordWrap/>
                    <w:overflowPunct/>
                    <w:topLinePunct w:val="0"/>
                    <w:autoSpaceDE/>
                    <w:autoSpaceDN/>
                    <w:bidi w:val="0"/>
                    <w:snapToGrid w:val="0"/>
                    <w:spacing w:line="240" w:lineRule="auto"/>
                    <w:ind w:firstLine="0" w:firstLineChars="0"/>
                    <w:jc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西</w:t>
                  </w:r>
                  <w:r>
                    <w:rPr>
                      <w:rFonts w:hint="eastAsia" w:ascii="Times New Roman" w:hAnsi="Times New Roman" w:eastAsia="宋体" w:cs="Times New Roman"/>
                      <w:b w:val="0"/>
                      <w:bCs w:val="0"/>
                      <w:color w:val="auto"/>
                      <w:kern w:val="2"/>
                      <w:sz w:val="21"/>
                      <w:szCs w:val="21"/>
                      <w:lang w:val="en-US" w:eastAsia="zh-CN" w:bidi="ar-SA"/>
                    </w:rPr>
                    <w:t>厂界外1</w:t>
                  </w:r>
                  <w:r>
                    <w:rPr>
                      <w:rFonts w:hint="eastAsia" w:cs="Times New Roman"/>
                      <w:b w:val="0"/>
                      <w:bCs w:val="0"/>
                      <w:color w:val="auto"/>
                      <w:sz w:val="21"/>
                      <w:szCs w:val="21"/>
                      <w:lang w:val="en-US" w:eastAsia="zh-CN" w:bidi="ar"/>
                    </w:rPr>
                    <w:t>米</w:t>
                  </w:r>
                </w:p>
              </w:tc>
              <w:tc>
                <w:tcPr>
                  <w:tcW w:w="1208" w:type="pct"/>
                  <w:tcBorders>
                    <w:tl2br w:val="nil"/>
                    <w:tr2bl w:val="nil"/>
                  </w:tcBorders>
                  <w:shd w:val="clear" w:color="auto" w:fill="auto"/>
                  <w:noWrap w:val="0"/>
                  <w:vAlign w:val="center"/>
                </w:tcPr>
                <w:p w14:paraId="66CC600E">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cs="Times New Roman" w:eastAsiaTheme="minorEastAsia"/>
                      <w:b w:val="0"/>
                      <w:bCs w:val="0"/>
                      <w:color w:val="auto"/>
                      <w:kern w:val="2"/>
                      <w:sz w:val="21"/>
                      <w:szCs w:val="21"/>
                      <w:lang w:val="en-US" w:eastAsia="zh-CN" w:bidi="ar-SA"/>
                    </w:rPr>
                    <w:t>59.2</w:t>
                  </w:r>
                </w:p>
              </w:tc>
              <w:tc>
                <w:tcPr>
                  <w:tcW w:w="1360" w:type="pct"/>
                  <w:tcBorders>
                    <w:tl2br w:val="nil"/>
                    <w:tr2bl w:val="nil"/>
                  </w:tcBorders>
                  <w:shd w:val="clear" w:color="auto" w:fill="auto"/>
                  <w:noWrap w:val="0"/>
                  <w:vAlign w:val="center"/>
                </w:tcPr>
                <w:p w14:paraId="6AC2C3F5">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cs="Times New Roman" w:eastAsiaTheme="minorEastAsia"/>
                      <w:b w:val="0"/>
                      <w:bCs w:val="0"/>
                      <w:color w:val="auto"/>
                      <w:kern w:val="2"/>
                      <w:sz w:val="21"/>
                      <w:szCs w:val="21"/>
                      <w:lang w:val="en-US" w:eastAsia="zh-CN" w:bidi="ar-SA"/>
                    </w:rPr>
                    <w:t>48.9</w:t>
                  </w:r>
                </w:p>
              </w:tc>
            </w:tr>
            <w:tr w14:paraId="4B79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tcBorders>
                    <w:tl2br w:val="nil"/>
                    <w:tr2bl w:val="nil"/>
                  </w:tcBorders>
                  <w:noWrap w:val="0"/>
                  <w:vAlign w:val="center"/>
                </w:tcPr>
                <w:p w14:paraId="75DC20C8">
                  <w:pPr>
                    <w:keepNext w:val="0"/>
                    <w:keepLines w:val="0"/>
                    <w:pageBreakBefore w:val="0"/>
                    <w:kinsoku/>
                    <w:wordWrap/>
                    <w:overflowPunct/>
                    <w:topLinePunct w:val="0"/>
                    <w:autoSpaceDE/>
                    <w:autoSpaceDN/>
                    <w:bidi w:val="0"/>
                    <w:snapToGrid w:val="0"/>
                    <w:spacing w:line="240" w:lineRule="auto"/>
                    <w:ind w:firstLine="0" w:firstLineChars="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N</w:t>
                  </w:r>
                  <w:r>
                    <w:rPr>
                      <w:rFonts w:hint="eastAsia" w:cs="Times New Roman"/>
                      <w:b w:val="0"/>
                      <w:bCs w:val="0"/>
                      <w:color w:val="auto"/>
                      <w:sz w:val="21"/>
                      <w:szCs w:val="21"/>
                      <w:lang w:val="en-US" w:eastAsia="zh-CN"/>
                    </w:rPr>
                    <w:t>4</w:t>
                  </w:r>
                </w:p>
              </w:tc>
              <w:tc>
                <w:tcPr>
                  <w:tcW w:w="1857" w:type="pct"/>
                  <w:tcBorders>
                    <w:tl2br w:val="nil"/>
                    <w:tr2bl w:val="nil"/>
                  </w:tcBorders>
                  <w:noWrap w:val="0"/>
                  <w:vAlign w:val="center"/>
                </w:tcPr>
                <w:p w14:paraId="1B36F9B9">
                  <w:pPr>
                    <w:keepNext w:val="0"/>
                    <w:keepLines w:val="0"/>
                    <w:pageBreakBefore w:val="0"/>
                    <w:kinsoku/>
                    <w:wordWrap/>
                    <w:overflowPunct/>
                    <w:topLinePunct w:val="0"/>
                    <w:autoSpaceDE/>
                    <w:autoSpaceDN/>
                    <w:bidi w:val="0"/>
                    <w:snapToGrid w:val="0"/>
                    <w:spacing w:line="240" w:lineRule="auto"/>
                    <w:ind w:firstLine="0" w:firstLineChars="0"/>
                    <w:jc w:val="center"/>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北厂界</w:t>
                  </w:r>
                  <w:r>
                    <w:rPr>
                      <w:rFonts w:hint="eastAsia" w:cs="Times New Roman"/>
                      <w:b w:val="0"/>
                      <w:bCs w:val="0"/>
                      <w:color w:val="auto"/>
                      <w:sz w:val="21"/>
                      <w:szCs w:val="21"/>
                      <w:lang w:eastAsia="zh-CN" w:bidi="ar"/>
                    </w:rPr>
                    <w:t>高于围墙</w:t>
                  </w:r>
                  <w:r>
                    <w:rPr>
                      <w:rFonts w:hint="eastAsia" w:cs="Times New Roman"/>
                      <w:b w:val="0"/>
                      <w:bCs w:val="0"/>
                      <w:color w:val="auto"/>
                      <w:sz w:val="21"/>
                      <w:szCs w:val="21"/>
                      <w:lang w:val="en-US" w:eastAsia="zh-CN" w:bidi="ar"/>
                    </w:rPr>
                    <w:t>0.5米</w:t>
                  </w:r>
                </w:p>
              </w:tc>
              <w:tc>
                <w:tcPr>
                  <w:tcW w:w="1208" w:type="pct"/>
                  <w:tcBorders>
                    <w:tl2br w:val="nil"/>
                    <w:tr2bl w:val="nil"/>
                  </w:tcBorders>
                  <w:shd w:val="clear" w:color="auto" w:fill="auto"/>
                  <w:noWrap w:val="0"/>
                  <w:vAlign w:val="center"/>
                </w:tcPr>
                <w:p w14:paraId="0A586FE7">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cs="Times New Roman" w:eastAsiaTheme="minorEastAsia"/>
                      <w:b w:val="0"/>
                      <w:bCs w:val="0"/>
                      <w:color w:val="auto"/>
                      <w:kern w:val="2"/>
                      <w:sz w:val="21"/>
                      <w:szCs w:val="21"/>
                      <w:lang w:val="en-US" w:eastAsia="zh-CN" w:bidi="ar-SA"/>
                    </w:rPr>
                    <w:t>58.9</w:t>
                  </w:r>
                </w:p>
              </w:tc>
              <w:tc>
                <w:tcPr>
                  <w:tcW w:w="1360" w:type="pct"/>
                  <w:tcBorders>
                    <w:tl2br w:val="nil"/>
                    <w:tr2bl w:val="nil"/>
                  </w:tcBorders>
                  <w:shd w:val="clear" w:color="auto" w:fill="auto"/>
                  <w:noWrap w:val="0"/>
                  <w:vAlign w:val="center"/>
                </w:tcPr>
                <w:p w14:paraId="4626F0F6">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48.4</w:t>
                  </w:r>
                </w:p>
              </w:tc>
            </w:tr>
            <w:tr w14:paraId="1DBB1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restart"/>
                  <w:tcBorders>
                    <w:tl2br w:val="nil"/>
                    <w:tr2bl w:val="nil"/>
                  </w:tcBorders>
                  <w:shd w:val="clear" w:color="auto" w:fill="auto"/>
                  <w:noWrap w:val="0"/>
                  <w:vAlign w:val="center"/>
                </w:tcPr>
                <w:p w14:paraId="68486A4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b w:val="0"/>
                      <w:bCs w:val="0"/>
                      <w:color w:val="auto"/>
                      <w:kern w:val="2"/>
                      <w:sz w:val="21"/>
                      <w:szCs w:val="21"/>
                      <w:lang w:val="en-US" w:eastAsia="zh-CN" w:bidi="ar"/>
                    </w:rPr>
                  </w:pPr>
                  <w:r>
                    <w:rPr>
                      <w:rFonts w:hint="eastAsia" w:cs="Times New Roman"/>
                      <w:b w:val="0"/>
                      <w:bCs w:val="0"/>
                      <w:color w:val="auto"/>
                      <w:sz w:val="21"/>
                      <w:szCs w:val="21"/>
                      <w:lang w:val="en-US" w:eastAsia="zh-CN" w:bidi="ar"/>
                    </w:rPr>
                    <w:t>编码</w:t>
                  </w:r>
                </w:p>
              </w:tc>
              <w:tc>
                <w:tcPr>
                  <w:tcW w:w="1857" w:type="pct"/>
                  <w:vMerge w:val="restart"/>
                  <w:tcBorders>
                    <w:tl2br w:val="nil"/>
                    <w:tr2bl w:val="nil"/>
                  </w:tcBorders>
                  <w:shd w:val="clear" w:color="auto" w:fill="auto"/>
                  <w:noWrap w:val="0"/>
                  <w:vAlign w:val="center"/>
                </w:tcPr>
                <w:p w14:paraId="5FC7061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sz w:val="21"/>
                      <w:szCs w:val="21"/>
                      <w:lang w:val="en-US" w:eastAsia="zh-CN"/>
                    </w:rPr>
                    <w:t>监测点位</w:t>
                  </w:r>
                </w:p>
              </w:tc>
              <w:tc>
                <w:tcPr>
                  <w:tcW w:w="2568" w:type="pct"/>
                  <w:gridSpan w:val="2"/>
                  <w:tcBorders>
                    <w:tl2br w:val="nil"/>
                    <w:tr2bl w:val="nil"/>
                  </w:tcBorders>
                  <w:shd w:val="clear" w:color="auto" w:fill="auto"/>
                  <w:noWrap w:val="0"/>
                  <w:vAlign w:val="center"/>
                </w:tcPr>
                <w:p w14:paraId="581A7D76">
                  <w:pPr>
                    <w:widowControl/>
                    <w:spacing w:line="240" w:lineRule="auto"/>
                    <w:jc w:val="center"/>
                    <w:textAlignment w:val="center"/>
                    <w:rPr>
                      <w:rFonts w:hint="eastAsia" w:cs="Times New Roman"/>
                      <w:b w:val="0"/>
                      <w:bCs w:val="0"/>
                      <w:color w:val="auto"/>
                      <w:kern w:val="2"/>
                      <w:sz w:val="21"/>
                      <w:szCs w:val="21"/>
                      <w:lang w:val="en-US" w:eastAsia="zh-CN" w:bidi="ar-SA"/>
                    </w:rPr>
                  </w:pPr>
                  <w:r>
                    <w:rPr>
                      <w:rFonts w:hint="eastAsia" w:cs="Times New Roman"/>
                      <w:b w:val="0"/>
                      <w:bCs w:val="0"/>
                      <w:color w:val="auto"/>
                      <w:sz w:val="21"/>
                      <w:szCs w:val="21"/>
                      <w:lang w:val="en-US" w:eastAsia="zh-CN" w:bidi="ar"/>
                    </w:rPr>
                    <w:t>检测值</w:t>
                  </w:r>
                </w:p>
              </w:tc>
            </w:tr>
            <w:tr w14:paraId="4AD8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tcBorders>
                    <w:tl2br w:val="nil"/>
                    <w:tr2bl w:val="nil"/>
                  </w:tcBorders>
                  <w:noWrap w:val="0"/>
                  <w:vAlign w:val="center"/>
                </w:tcPr>
                <w:p w14:paraId="0C39D695">
                  <w:pPr>
                    <w:keepNext w:val="0"/>
                    <w:keepLines w:val="0"/>
                    <w:pageBreakBefore w:val="0"/>
                    <w:kinsoku/>
                    <w:wordWrap/>
                    <w:overflowPunct/>
                    <w:topLinePunct w:val="0"/>
                    <w:autoSpaceDE/>
                    <w:autoSpaceDN/>
                    <w:bidi w:val="0"/>
                    <w:snapToGrid w:val="0"/>
                    <w:spacing w:line="240" w:lineRule="auto"/>
                    <w:ind w:firstLine="0" w:firstLineChars="0"/>
                    <w:jc w:val="center"/>
                    <w:rPr>
                      <w:rFonts w:hint="default" w:ascii="Times New Roman" w:hAnsi="Times New Roman" w:eastAsia="宋体" w:cs="Times New Roman"/>
                      <w:b w:val="0"/>
                      <w:bCs w:val="0"/>
                      <w:color w:val="auto"/>
                      <w:sz w:val="21"/>
                      <w:szCs w:val="21"/>
                      <w:lang w:val="en-US" w:eastAsia="zh-CN"/>
                    </w:rPr>
                  </w:pPr>
                </w:p>
              </w:tc>
              <w:tc>
                <w:tcPr>
                  <w:tcW w:w="1857" w:type="pct"/>
                  <w:vMerge w:val="continue"/>
                  <w:tcBorders>
                    <w:tl2br w:val="nil"/>
                    <w:tr2bl w:val="nil"/>
                  </w:tcBorders>
                  <w:noWrap w:val="0"/>
                  <w:vAlign w:val="center"/>
                </w:tcPr>
                <w:p w14:paraId="2071E5B9">
                  <w:pPr>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宋体" w:cs="Times New Roman"/>
                      <w:b w:val="0"/>
                      <w:bCs w:val="0"/>
                      <w:color w:val="auto"/>
                      <w:kern w:val="2"/>
                      <w:sz w:val="21"/>
                      <w:szCs w:val="21"/>
                      <w:lang w:val="en-US" w:eastAsia="zh-CN" w:bidi="ar-SA"/>
                    </w:rPr>
                  </w:pPr>
                </w:p>
              </w:tc>
              <w:tc>
                <w:tcPr>
                  <w:tcW w:w="2568" w:type="pct"/>
                  <w:gridSpan w:val="2"/>
                  <w:tcBorders>
                    <w:tl2br w:val="nil"/>
                    <w:tr2bl w:val="nil"/>
                  </w:tcBorders>
                  <w:shd w:val="clear" w:color="auto" w:fill="auto"/>
                  <w:noWrap w:val="0"/>
                  <w:vAlign w:val="center"/>
                </w:tcPr>
                <w:p w14:paraId="01091E6D">
                  <w:pPr>
                    <w:widowControl/>
                    <w:spacing w:line="240" w:lineRule="auto"/>
                    <w:jc w:val="center"/>
                    <w:textAlignment w:val="center"/>
                    <w:rPr>
                      <w:rFonts w:hint="eastAsia" w:cs="Times New Roman"/>
                      <w:b w:val="0"/>
                      <w:bCs w:val="0"/>
                      <w:color w:val="auto"/>
                      <w:kern w:val="2"/>
                      <w:sz w:val="21"/>
                      <w:szCs w:val="21"/>
                      <w:lang w:val="en-US" w:eastAsia="zh-CN" w:bidi="ar-SA"/>
                    </w:rPr>
                  </w:pPr>
                  <w:r>
                    <w:rPr>
                      <w:rFonts w:hint="eastAsia" w:cs="Times New Roman"/>
                      <w:b w:val="0"/>
                      <w:bCs w:val="0"/>
                      <w:color w:val="auto"/>
                      <w:sz w:val="21"/>
                      <w:szCs w:val="21"/>
                      <w:lang w:val="en-US" w:eastAsia="zh-CN" w:bidi="ar"/>
                    </w:rPr>
                    <w:t>2025年5月29日</w:t>
                  </w:r>
                </w:p>
              </w:tc>
            </w:tr>
            <w:tr w14:paraId="5483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tcBorders>
                    <w:tl2br w:val="nil"/>
                    <w:tr2bl w:val="nil"/>
                  </w:tcBorders>
                  <w:noWrap w:val="0"/>
                  <w:vAlign w:val="center"/>
                </w:tcPr>
                <w:p w14:paraId="2F3D9FCD">
                  <w:pPr>
                    <w:keepNext w:val="0"/>
                    <w:keepLines w:val="0"/>
                    <w:pageBreakBefore w:val="0"/>
                    <w:kinsoku/>
                    <w:wordWrap/>
                    <w:overflowPunct/>
                    <w:topLinePunct w:val="0"/>
                    <w:autoSpaceDE/>
                    <w:autoSpaceDN/>
                    <w:bidi w:val="0"/>
                    <w:snapToGrid w:val="0"/>
                    <w:spacing w:line="240" w:lineRule="auto"/>
                    <w:ind w:firstLine="0" w:firstLineChars="0"/>
                    <w:jc w:val="center"/>
                    <w:rPr>
                      <w:rFonts w:hint="default" w:ascii="Times New Roman" w:hAnsi="Times New Roman" w:eastAsia="宋体" w:cs="Times New Roman"/>
                      <w:b w:val="0"/>
                      <w:bCs w:val="0"/>
                      <w:color w:val="auto"/>
                      <w:sz w:val="21"/>
                      <w:szCs w:val="21"/>
                      <w:lang w:val="en-US" w:eastAsia="zh-CN"/>
                    </w:rPr>
                  </w:pPr>
                </w:p>
              </w:tc>
              <w:tc>
                <w:tcPr>
                  <w:tcW w:w="1857" w:type="pct"/>
                  <w:vMerge w:val="continue"/>
                  <w:tcBorders>
                    <w:tl2br w:val="nil"/>
                    <w:tr2bl w:val="nil"/>
                  </w:tcBorders>
                  <w:noWrap w:val="0"/>
                  <w:vAlign w:val="center"/>
                </w:tcPr>
                <w:p w14:paraId="33D1BFD2">
                  <w:pPr>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宋体" w:cs="Times New Roman"/>
                      <w:b w:val="0"/>
                      <w:bCs w:val="0"/>
                      <w:color w:val="auto"/>
                      <w:kern w:val="2"/>
                      <w:sz w:val="21"/>
                      <w:szCs w:val="21"/>
                      <w:lang w:val="en-US" w:eastAsia="zh-CN" w:bidi="ar-SA"/>
                    </w:rPr>
                  </w:pPr>
                </w:p>
              </w:tc>
              <w:tc>
                <w:tcPr>
                  <w:tcW w:w="1208" w:type="pct"/>
                  <w:tcBorders>
                    <w:tl2br w:val="nil"/>
                    <w:tr2bl w:val="nil"/>
                  </w:tcBorders>
                  <w:shd w:val="clear" w:color="auto" w:fill="auto"/>
                  <w:noWrap w:val="0"/>
                  <w:vAlign w:val="center"/>
                </w:tcPr>
                <w:p w14:paraId="2D65B41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eastAsia="宋体" w:cs="Times New Roman"/>
                      <w:b w:val="0"/>
                      <w:bCs w:val="0"/>
                      <w:color w:val="auto"/>
                      <w:kern w:val="2"/>
                      <w:sz w:val="21"/>
                      <w:szCs w:val="21"/>
                      <w:lang w:val="en-US" w:eastAsia="zh-CN" w:bidi="ar"/>
                    </w:rPr>
                  </w:pPr>
                  <w:r>
                    <w:rPr>
                      <w:rFonts w:hint="eastAsia" w:cs="Times New Roman"/>
                      <w:b w:val="0"/>
                      <w:bCs w:val="0"/>
                      <w:color w:val="auto"/>
                      <w:sz w:val="21"/>
                      <w:szCs w:val="21"/>
                      <w:lang w:val="en-US" w:eastAsia="zh-CN" w:bidi="ar"/>
                    </w:rPr>
                    <w:t>昼间LeqA</w:t>
                  </w:r>
                </w:p>
              </w:tc>
              <w:tc>
                <w:tcPr>
                  <w:tcW w:w="1360" w:type="pct"/>
                  <w:tcBorders>
                    <w:tl2br w:val="nil"/>
                    <w:tr2bl w:val="nil"/>
                  </w:tcBorders>
                  <w:shd w:val="clear" w:color="auto" w:fill="auto"/>
                  <w:noWrap w:val="0"/>
                  <w:vAlign w:val="center"/>
                </w:tcPr>
                <w:p w14:paraId="222080D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eastAsia="宋体" w:cs="Times New Roman"/>
                      <w:b w:val="0"/>
                      <w:bCs w:val="0"/>
                      <w:color w:val="auto"/>
                      <w:kern w:val="2"/>
                      <w:sz w:val="21"/>
                      <w:szCs w:val="21"/>
                      <w:lang w:val="en-US" w:eastAsia="zh-CN" w:bidi="ar"/>
                    </w:rPr>
                  </w:pPr>
                  <w:r>
                    <w:rPr>
                      <w:rFonts w:hint="eastAsia" w:cs="Times New Roman"/>
                      <w:b w:val="0"/>
                      <w:bCs w:val="0"/>
                      <w:color w:val="auto"/>
                      <w:sz w:val="21"/>
                      <w:szCs w:val="21"/>
                      <w:lang w:val="en-US" w:eastAsia="zh-CN" w:bidi="ar"/>
                    </w:rPr>
                    <w:t>夜间LeqA</w:t>
                  </w:r>
                </w:p>
              </w:tc>
            </w:tr>
            <w:tr w14:paraId="5FFF3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tcBorders>
                    <w:tl2br w:val="nil"/>
                    <w:tr2bl w:val="nil"/>
                  </w:tcBorders>
                  <w:shd w:val="clear" w:color="auto" w:fill="auto"/>
                  <w:noWrap w:val="0"/>
                  <w:vAlign w:val="center"/>
                </w:tcPr>
                <w:p w14:paraId="78A834E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b w:val="0"/>
                      <w:bCs w:val="0"/>
                      <w:color w:val="auto"/>
                      <w:kern w:val="2"/>
                      <w:sz w:val="21"/>
                      <w:szCs w:val="21"/>
                      <w:lang w:val="en-US" w:eastAsia="zh-CN" w:bidi="ar"/>
                    </w:rPr>
                  </w:pPr>
                  <w:r>
                    <w:rPr>
                      <w:rFonts w:hint="eastAsia" w:cs="Times New Roman"/>
                      <w:b w:val="0"/>
                      <w:bCs w:val="0"/>
                      <w:color w:val="auto"/>
                      <w:sz w:val="21"/>
                      <w:szCs w:val="21"/>
                      <w:lang w:val="en-US" w:eastAsia="zh-CN" w:bidi="ar"/>
                    </w:rPr>
                    <w:t>N1</w:t>
                  </w:r>
                </w:p>
              </w:tc>
              <w:tc>
                <w:tcPr>
                  <w:tcW w:w="1857" w:type="pct"/>
                  <w:tcBorders>
                    <w:tl2br w:val="nil"/>
                    <w:tr2bl w:val="nil"/>
                  </w:tcBorders>
                  <w:shd w:val="clear" w:color="auto" w:fill="auto"/>
                  <w:noWrap w:val="0"/>
                  <w:vAlign w:val="center"/>
                </w:tcPr>
                <w:p w14:paraId="7A2E755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Times New Roman" w:hAnsi="Times New Roman" w:eastAsia="宋体" w:cs="Times New Roman"/>
                      <w:b w:val="0"/>
                      <w:bCs w:val="0"/>
                      <w:color w:val="auto"/>
                      <w:kern w:val="2"/>
                      <w:sz w:val="21"/>
                      <w:szCs w:val="21"/>
                      <w:lang w:val="en-US" w:eastAsia="zh-CN" w:bidi="ar"/>
                    </w:rPr>
                  </w:pPr>
                  <w:r>
                    <w:rPr>
                      <w:rFonts w:hint="eastAsia" w:cs="Times New Roman"/>
                      <w:b w:val="0"/>
                      <w:bCs w:val="0"/>
                      <w:color w:val="auto"/>
                      <w:sz w:val="21"/>
                      <w:szCs w:val="21"/>
                      <w:lang w:eastAsia="zh-CN" w:bidi="ar"/>
                    </w:rPr>
                    <w:t>东厂界</w:t>
                  </w:r>
                  <w:r>
                    <w:rPr>
                      <w:rFonts w:hint="eastAsia" w:ascii="Times New Roman" w:hAnsi="Times New Roman" w:eastAsia="宋体" w:cs="Times New Roman"/>
                      <w:b w:val="0"/>
                      <w:bCs w:val="0"/>
                      <w:color w:val="auto"/>
                      <w:kern w:val="2"/>
                      <w:sz w:val="21"/>
                      <w:szCs w:val="21"/>
                      <w:lang w:val="en-US" w:eastAsia="zh-CN" w:bidi="ar-SA"/>
                    </w:rPr>
                    <w:t>外1</w:t>
                  </w:r>
                  <w:r>
                    <w:rPr>
                      <w:rFonts w:hint="eastAsia" w:cs="Times New Roman"/>
                      <w:b w:val="0"/>
                      <w:bCs w:val="0"/>
                      <w:color w:val="auto"/>
                      <w:sz w:val="21"/>
                      <w:szCs w:val="21"/>
                      <w:lang w:val="en-US" w:eastAsia="zh-CN" w:bidi="ar"/>
                    </w:rPr>
                    <w:t>米</w:t>
                  </w:r>
                </w:p>
              </w:tc>
              <w:tc>
                <w:tcPr>
                  <w:tcW w:w="1208" w:type="pct"/>
                  <w:tcBorders>
                    <w:tl2br w:val="nil"/>
                    <w:tr2bl w:val="nil"/>
                  </w:tcBorders>
                  <w:shd w:val="clear" w:color="auto" w:fill="auto"/>
                  <w:noWrap w:val="0"/>
                  <w:vAlign w:val="center"/>
                </w:tcPr>
                <w:p w14:paraId="4111299C">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cs="Times New Roman" w:eastAsiaTheme="minorEastAsia"/>
                      <w:b w:val="0"/>
                      <w:bCs w:val="0"/>
                      <w:color w:val="auto"/>
                      <w:kern w:val="2"/>
                      <w:sz w:val="21"/>
                      <w:szCs w:val="21"/>
                      <w:lang w:val="en-US" w:eastAsia="zh-CN" w:bidi="ar-SA"/>
                    </w:rPr>
                    <w:t>46</w:t>
                  </w:r>
                </w:p>
              </w:tc>
              <w:tc>
                <w:tcPr>
                  <w:tcW w:w="1360" w:type="pct"/>
                  <w:tcBorders>
                    <w:tl2br w:val="nil"/>
                    <w:tr2bl w:val="nil"/>
                  </w:tcBorders>
                  <w:shd w:val="clear" w:color="auto" w:fill="auto"/>
                  <w:noWrap w:val="0"/>
                  <w:vAlign w:val="center"/>
                </w:tcPr>
                <w:p w14:paraId="5A19FA01">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cs="Times New Roman" w:eastAsiaTheme="minorEastAsia"/>
                      <w:b w:val="0"/>
                      <w:bCs w:val="0"/>
                      <w:color w:val="auto"/>
                      <w:kern w:val="2"/>
                      <w:sz w:val="21"/>
                      <w:szCs w:val="21"/>
                      <w:lang w:val="en-US" w:eastAsia="zh-CN" w:bidi="ar-SA"/>
                    </w:rPr>
                    <w:t>/</w:t>
                  </w:r>
                </w:p>
              </w:tc>
            </w:tr>
            <w:tr w14:paraId="1281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tcBorders>
                    <w:tl2br w:val="nil"/>
                    <w:tr2bl w:val="nil"/>
                  </w:tcBorders>
                  <w:shd w:val="clear" w:color="auto" w:fill="auto"/>
                  <w:noWrap w:val="0"/>
                  <w:vAlign w:val="center"/>
                </w:tcPr>
                <w:p w14:paraId="44BD55ED">
                  <w:pPr>
                    <w:keepNext w:val="0"/>
                    <w:keepLines w:val="0"/>
                    <w:pageBreakBefore w:val="0"/>
                    <w:kinsoku/>
                    <w:wordWrap/>
                    <w:overflowPunct/>
                    <w:topLinePunct w:val="0"/>
                    <w:autoSpaceDE/>
                    <w:autoSpaceDN/>
                    <w:bidi w:val="0"/>
                    <w:snapToGrid w:val="0"/>
                    <w:spacing w:line="240" w:lineRule="auto"/>
                    <w:ind w:firstLine="0" w:firstLineChars="0"/>
                    <w:jc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sz w:val="21"/>
                      <w:szCs w:val="21"/>
                      <w:lang w:val="en-US" w:eastAsia="zh-CN"/>
                    </w:rPr>
                    <w:t>N2</w:t>
                  </w:r>
                </w:p>
              </w:tc>
              <w:tc>
                <w:tcPr>
                  <w:tcW w:w="1857" w:type="pct"/>
                  <w:tcBorders>
                    <w:tl2br w:val="nil"/>
                    <w:tr2bl w:val="nil"/>
                  </w:tcBorders>
                  <w:shd w:val="clear" w:color="auto" w:fill="auto"/>
                  <w:noWrap w:val="0"/>
                  <w:vAlign w:val="center"/>
                </w:tcPr>
                <w:p w14:paraId="64FA927D">
                  <w:pPr>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sz w:val="21"/>
                      <w:szCs w:val="21"/>
                      <w:lang w:eastAsia="zh-CN" w:bidi="ar"/>
                    </w:rPr>
                    <w:t>南厂界高于围墙</w:t>
                  </w:r>
                  <w:r>
                    <w:rPr>
                      <w:rFonts w:hint="eastAsia" w:cs="Times New Roman"/>
                      <w:b w:val="0"/>
                      <w:bCs w:val="0"/>
                      <w:color w:val="auto"/>
                      <w:sz w:val="21"/>
                      <w:szCs w:val="21"/>
                      <w:lang w:val="en-US" w:eastAsia="zh-CN" w:bidi="ar"/>
                    </w:rPr>
                    <w:t>0.5米</w:t>
                  </w:r>
                </w:p>
              </w:tc>
              <w:tc>
                <w:tcPr>
                  <w:tcW w:w="1208" w:type="pct"/>
                  <w:tcBorders>
                    <w:tl2br w:val="nil"/>
                    <w:tr2bl w:val="nil"/>
                  </w:tcBorders>
                  <w:shd w:val="clear" w:color="auto" w:fill="auto"/>
                  <w:noWrap w:val="0"/>
                  <w:vAlign w:val="center"/>
                </w:tcPr>
                <w:p w14:paraId="447CC49B">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cs="Times New Roman" w:eastAsiaTheme="minorEastAsia"/>
                      <w:b w:val="0"/>
                      <w:bCs w:val="0"/>
                      <w:color w:val="auto"/>
                      <w:kern w:val="2"/>
                      <w:sz w:val="21"/>
                      <w:szCs w:val="21"/>
                      <w:lang w:val="en-US" w:eastAsia="zh-CN" w:bidi="ar-SA"/>
                    </w:rPr>
                    <w:t>57</w:t>
                  </w:r>
                </w:p>
              </w:tc>
              <w:tc>
                <w:tcPr>
                  <w:tcW w:w="1360" w:type="pct"/>
                  <w:tcBorders>
                    <w:tl2br w:val="nil"/>
                    <w:tr2bl w:val="nil"/>
                  </w:tcBorders>
                  <w:shd w:val="clear" w:color="auto" w:fill="auto"/>
                  <w:noWrap w:val="0"/>
                  <w:vAlign w:val="center"/>
                </w:tcPr>
                <w:p w14:paraId="64D6E3E5">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cs="Times New Roman" w:eastAsiaTheme="minorEastAsia"/>
                      <w:b w:val="0"/>
                      <w:bCs w:val="0"/>
                      <w:color w:val="auto"/>
                      <w:kern w:val="2"/>
                      <w:sz w:val="21"/>
                      <w:szCs w:val="21"/>
                      <w:lang w:val="en-US" w:eastAsia="zh-CN" w:bidi="ar-SA"/>
                    </w:rPr>
                    <w:t>/</w:t>
                  </w:r>
                </w:p>
              </w:tc>
            </w:tr>
            <w:tr w14:paraId="0D6A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tcBorders>
                    <w:tl2br w:val="nil"/>
                    <w:tr2bl w:val="nil"/>
                  </w:tcBorders>
                  <w:shd w:val="clear" w:color="auto" w:fill="auto"/>
                  <w:noWrap w:val="0"/>
                  <w:vAlign w:val="center"/>
                </w:tcPr>
                <w:p w14:paraId="579A7D68">
                  <w:pPr>
                    <w:keepNext w:val="0"/>
                    <w:keepLines w:val="0"/>
                    <w:pageBreakBefore w:val="0"/>
                    <w:kinsoku/>
                    <w:wordWrap/>
                    <w:overflowPunct/>
                    <w:topLinePunct w:val="0"/>
                    <w:autoSpaceDE/>
                    <w:autoSpaceDN/>
                    <w:bidi w:val="0"/>
                    <w:snapToGrid w:val="0"/>
                    <w:spacing w:line="240" w:lineRule="auto"/>
                    <w:ind w:firstLine="0" w:firstLineChars="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N</w:t>
                  </w:r>
                  <w:r>
                    <w:rPr>
                      <w:rFonts w:hint="eastAsia" w:cs="Times New Roman"/>
                      <w:b w:val="0"/>
                      <w:bCs w:val="0"/>
                      <w:color w:val="auto"/>
                      <w:sz w:val="21"/>
                      <w:szCs w:val="21"/>
                      <w:lang w:val="en-US" w:eastAsia="zh-CN"/>
                    </w:rPr>
                    <w:t>3</w:t>
                  </w:r>
                </w:p>
              </w:tc>
              <w:tc>
                <w:tcPr>
                  <w:tcW w:w="1857" w:type="pct"/>
                  <w:tcBorders>
                    <w:tl2br w:val="nil"/>
                    <w:tr2bl w:val="nil"/>
                  </w:tcBorders>
                  <w:shd w:val="clear" w:color="auto" w:fill="auto"/>
                  <w:noWrap w:val="0"/>
                  <w:vAlign w:val="center"/>
                </w:tcPr>
                <w:p w14:paraId="1ED2DC96">
                  <w:pPr>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西</w:t>
                  </w:r>
                  <w:r>
                    <w:rPr>
                      <w:rFonts w:hint="eastAsia" w:ascii="Times New Roman" w:hAnsi="Times New Roman" w:eastAsia="宋体" w:cs="Times New Roman"/>
                      <w:b w:val="0"/>
                      <w:bCs w:val="0"/>
                      <w:color w:val="auto"/>
                      <w:kern w:val="2"/>
                      <w:sz w:val="21"/>
                      <w:szCs w:val="21"/>
                      <w:lang w:val="en-US" w:eastAsia="zh-CN" w:bidi="ar-SA"/>
                    </w:rPr>
                    <w:t>厂界外1</w:t>
                  </w:r>
                  <w:r>
                    <w:rPr>
                      <w:rFonts w:hint="eastAsia" w:cs="Times New Roman"/>
                      <w:b w:val="0"/>
                      <w:bCs w:val="0"/>
                      <w:color w:val="auto"/>
                      <w:sz w:val="21"/>
                      <w:szCs w:val="21"/>
                      <w:lang w:val="en-US" w:eastAsia="zh-CN" w:bidi="ar"/>
                    </w:rPr>
                    <w:t>米</w:t>
                  </w:r>
                </w:p>
              </w:tc>
              <w:tc>
                <w:tcPr>
                  <w:tcW w:w="1208" w:type="pct"/>
                  <w:tcBorders>
                    <w:tl2br w:val="nil"/>
                    <w:tr2bl w:val="nil"/>
                  </w:tcBorders>
                  <w:shd w:val="clear" w:color="auto" w:fill="auto"/>
                  <w:noWrap w:val="0"/>
                  <w:vAlign w:val="center"/>
                </w:tcPr>
                <w:p w14:paraId="5ECDABB6">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cs="Times New Roman" w:eastAsiaTheme="minorEastAsia"/>
                      <w:b w:val="0"/>
                      <w:bCs w:val="0"/>
                      <w:color w:val="auto"/>
                      <w:kern w:val="2"/>
                      <w:sz w:val="21"/>
                      <w:szCs w:val="21"/>
                      <w:lang w:val="en-US" w:eastAsia="zh-CN" w:bidi="ar-SA"/>
                    </w:rPr>
                    <w:t>58</w:t>
                  </w:r>
                </w:p>
              </w:tc>
              <w:tc>
                <w:tcPr>
                  <w:tcW w:w="1360" w:type="pct"/>
                  <w:tcBorders>
                    <w:tl2br w:val="nil"/>
                    <w:tr2bl w:val="nil"/>
                  </w:tcBorders>
                  <w:shd w:val="clear" w:color="auto" w:fill="auto"/>
                  <w:noWrap w:val="0"/>
                  <w:vAlign w:val="center"/>
                </w:tcPr>
                <w:p w14:paraId="7BF861D3">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cs="Times New Roman" w:eastAsiaTheme="minorEastAsia"/>
                      <w:b w:val="0"/>
                      <w:bCs w:val="0"/>
                      <w:color w:val="auto"/>
                      <w:kern w:val="2"/>
                      <w:sz w:val="21"/>
                      <w:szCs w:val="21"/>
                      <w:lang w:val="en-US" w:eastAsia="zh-CN" w:bidi="ar-SA"/>
                    </w:rPr>
                    <w:t>/</w:t>
                  </w:r>
                </w:p>
              </w:tc>
            </w:tr>
            <w:tr w14:paraId="1407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tcBorders>
                    <w:tl2br w:val="nil"/>
                    <w:tr2bl w:val="nil"/>
                  </w:tcBorders>
                  <w:shd w:val="clear" w:color="auto" w:fill="auto"/>
                  <w:noWrap w:val="0"/>
                  <w:vAlign w:val="center"/>
                </w:tcPr>
                <w:p w14:paraId="00C1959E">
                  <w:pPr>
                    <w:keepNext w:val="0"/>
                    <w:keepLines w:val="0"/>
                    <w:pageBreakBefore w:val="0"/>
                    <w:kinsoku/>
                    <w:wordWrap/>
                    <w:overflowPunct/>
                    <w:topLinePunct w:val="0"/>
                    <w:autoSpaceDE/>
                    <w:autoSpaceDN/>
                    <w:bidi w:val="0"/>
                    <w:snapToGrid w:val="0"/>
                    <w:spacing w:line="240" w:lineRule="auto"/>
                    <w:ind w:firstLine="0" w:firstLineChars="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N</w:t>
                  </w:r>
                  <w:r>
                    <w:rPr>
                      <w:rFonts w:hint="eastAsia" w:cs="Times New Roman"/>
                      <w:b w:val="0"/>
                      <w:bCs w:val="0"/>
                      <w:color w:val="auto"/>
                      <w:sz w:val="21"/>
                      <w:szCs w:val="21"/>
                      <w:lang w:val="en-US" w:eastAsia="zh-CN"/>
                    </w:rPr>
                    <w:t>4</w:t>
                  </w:r>
                </w:p>
              </w:tc>
              <w:tc>
                <w:tcPr>
                  <w:tcW w:w="1857" w:type="pct"/>
                  <w:tcBorders>
                    <w:tl2br w:val="nil"/>
                    <w:tr2bl w:val="nil"/>
                  </w:tcBorders>
                  <w:shd w:val="clear" w:color="auto" w:fill="auto"/>
                  <w:noWrap w:val="0"/>
                  <w:vAlign w:val="center"/>
                </w:tcPr>
                <w:p w14:paraId="364B3D7E">
                  <w:pPr>
                    <w:keepNext w:val="0"/>
                    <w:keepLines w:val="0"/>
                    <w:pageBreakBefore w:val="0"/>
                    <w:kinsoku/>
                    <w:wordWrap/>
                    <w:overflowPunct/>
                    <w:topLinePunct w:val="0"/>
                    <w:autoSpaceDE/>
                    <w:autoSpaceDN/>
                    <w:bidi w:val="0"/>
                    <w:snapToGrid w:val="0"/>
                    <w:spacing w:line="240" w:lineRule="auto"/>
                    <w:ind w:firstLine="0" w:firstLineChars="0"/>
                    <w:jc w:val="center"/>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北厂界</w:t>
                  </w:r>
                  <w:r>
                    <w:rPr>
                      <w:rFonts w:hint="eastAsia" w:cs="Times New Roman"/>
                      <w:b w:val="0"/>
                      <w:bCs w:val="0"/>
                      <w:color w:val="auto"/>
                      <w:sz w:val="21"/>
                      <w:szCs w:val="21"/>
                      <w:lang w:eastAsia="zh-CN" w:bidi="ar"/>
                    </w:rPr>
                    <w:t>高于围墙</w:t>
                  </w:r>
                  <w:r>
                    <w:rPr>
                      <w:rFonts w:hint="eastAsia" w:cs="Times New Roman"/>
                      <w:b w:val="0"/>
                      <w:bCs w:val="0"/>
                      <w:color w:val="auto"/>
                      <w:sz w:val="21"/>
                      <w:szCs w:val="21"/>
                      <w:lang w:val="en-US" w:eastAsia="zh-CN" w:bidi="ar"/>
                    </w:rPr>
                    <w:t>0.5米</w:t>
                  </w:r>
                </w:p>
              </w:tc>
              <w:tc>
                <w:tcPr>
                  <w:tcW w:w="1208" w:type="pct"/>
                  <w:tcBorders>
                    <w:tl2br w:val="nil"/>
                    <w:tr2bl w:val="nil"/>
                  </w:tcBorders>
                  <w:shd w:val="clear" w:color="auto" w:fill="auto"/>
                  <w:noWrap w:val="0"/>
                  <w:vAlign w:val="center"/>
                </w:tcPr>
                <w:p w14:paraId="6F49A647">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cs="Times New Roman" w:eastAsiaTheme="minorEastAsia"/>
                      <w:b w:val="0"/>
                      <w:bCs w:val="0"/>
                      <w:color w:val="auto"/>
                      <w:kern w:val="2"/>
                      <w:sz w:val="21"/>
                      <w:szCs w:val="21"/>
                      <w:lang w:val="en-US" w:eastAsia="zh-CN" w:bidi="ar-SA"/>
                    </w:rPr>
                    <w:t>55</w:t>
                  </w:r>
                </w:p>
              </w:tc>
              <w:tc>
                <w:tcPr>
                  <w:tcW w:w="1360" w:type="pct"/>
                  <w:tcBorders>
                    <w:tl2br w:val="nil"/>
                    <w:tr2bl w:val="nil"/>
                  </w:tcBorders>
                  <w:shd w:val="clear" w:color="auto" w:fill="auto"/>
                  <w:noWrap w:val="0"/>
                  <w:vAlign w:val="center"/>
                </w:tcPr>
                <w:p w14:paraId="555D5060">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cs="Times New Roman" w:eastAsiaTheme="minorEastAsia"/>
                      <w:b w:val="0"/>
                      <w:bCs w:val="0"/>
                      <w:color w:val="auto"/>
                      <w:kern w:val="2"/>
                      <w:sz w:val="21"/>
                      <w:szCs w:val="21"/>
                      <w:lang w:val="en-US" w:eastAsia="zh-CN" w:bidi="ar-SA"/>
                    </w:rPr>
                    <w:t>/</w:t>
                  </w:r>
                </w:p>
              </w:tc>
            </w:tr>
            <w:tr w14:paraId="68E2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tcBorders>
                    <w:tl2br w:val="nil"/>
                    <w:tr2bl w:val="nil"/>
                  </w:tcBorders>
                  <w:shd w:val="clear" w:color="auto" w:fill="auto"/>
                  <w:noWrap w:val="0"/>
                  <w:vAlign w:val="center"/>
                </w:tcPr>
                <w:p w14:paraId="71D96F93">
                  <w:pPr>
                    <w:widowControl/>
                    <w:spacing w:line="240" w:lineRule="auto"/>
                    <w:jc w:val="left"/>
                    <w:textAlignment w:val="center"/>
                    <w:rPr>
                      <w:rFonts w:hint="eastAsia" w:cs="Times New Roman" w:eastAsiaTheme="minorEastAsia"/>
                      <w:b w:val="0"/>
                      <w:bCs w:val="0"/>
                      <w:color w:val="auto"/>
                      <w:kern w:val="2"/>
                      <w:sz w:val="21"/>
                      <w:szCs w:val="21"/>
                      <w:lang w:val="en-US" w:eastAsia="zh-CN" w:bidi="ar-SA"/>
                    </w:rPr>
                  </w:pPr>
                  <w:r>
                    <w:rPr>
                      <w:rFonts w:hint="eastAsia" w:cs="Times New Roman" w:eastAsiaTheme="minorEastAsia"/>
                      <w:b w:val="0"/>
                      <w:bCs w:val="0"/>
                      <w:color w:val="auto"/>
                      <w:kern w:val="2"/>
                      <w:sz w:val="21"/>
                      <w:szCs w:val="21"/>
                      <w:lang w:val="en-US" w:eastAsia="zh-CN" w:bidi="ar-SA"/>
                    </w:rPr>
                    <w:t>注：</w:t>
                  </w:r>
                  <w:r>
                    <w:rPr>
                      <w:rFonts w:hint="eastAsia" w:cs="Times New Roman"/>
                      <w:b w:val="0"/>
                      <w:bCs w:val="0"/>
                      <w:color w:val="auto"/>
                      <w:sz w:val="21"/>
                      <w:szCs w:val="21"/>
                      <w:lang w:val="en-US" w:eastAsia="zh-CN" w:bidi="ar"/>
                    </w:rPr>
                    <w:t>2025年5月29日夜间未生产。</w:t>
                  </w:r>
                </w:p>
              </w:tc>
            </w:tr>
          </w:tbl>
          <w:p w14:paraId="4DDDBF16">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监测期间，运营期噪声满足</w:t>
            </w:r>
            <w:r>
              <w:rPr>
                <w:rFonts w:hint="default" w:ascii="Times New Roman" w:hAnsi="Times New Roman" w:eastAsia="宋体" w:cs="Times New Roman"/>
                <w:color w:val="auto"/>
                <w:kern w:val="0"/>
                <w:sz w:val="24"/>
                <w:szCs w:val="24"/>
                <w:lang w:val="en-US" w:eastAsia="zh-CN" w:bidi="ar-SA"/>
              </w:rPr>
              <w:t>《工业企业厂界环境噪声排放标准》（GB12348-2008）中</w:t>
            </w:r>
            <w:r>
              <w:rPr>
                <w:rFonts w:hint="eastAsia" w:cs="Times New Roman"/>
                <w:color w:val="auto"/>
                <w:kern w:val="0"/>
                <w:sz w:val="24"/>
                <w:szCs w:val="24"/>
                <w:lang w:val="en-US" w:eastAsia="zh-CN" w:bidi="ar-SA"/>
              </w:rPr>
              <w:t>2</w:t>
            </w:r>
            <w:r>
              <w:rPr>
                <w:rFonts w:hint="default" w:ascii="Times New Roman" w:hAnsi="Times New Roman" w:eastAsia="宋体" w:cs="Times New Roman"/>
                <w:color w:val="auto"/>
                <w:kern w:val="0"/>
                <w:sz w:val="24"/>
                <w:szCs w:val="24"/>
                <w:lang w:val="en-US" w:eastAsia="zh-CN" w:bidi="ar-SA"/>
              </w:rPr>
              <w:t>类标准要求</w:t>
            </w:r>
            <w:r>
              <w:rPr>
                <w:rFonts w:hint="eastAsia" w:ascii="Times New Roman" w:hAnsi="Times New Roman" w:cs="Times New Roman"/>
                <w:color w:val="auto"/>
                <w:kern w:val="0"/>
                <w:sz w:val="24"/>
                <w:szCs w:val="24"/>
                <w:lang w:val="en-US" w:eastAsia="zh-CN" w:bidi="ar-SA"/>
              </w:rPr>
              <w:t>。</w:t>
            </w:r>
          </w:p>
          <w:p w14:paraId="0BD44EA0">
            <w:pPr>
              <w:keepLines w:val="0"/>
              <w:pageBreakBefore w:val="0"/>
              <w:widowControl w:val="0"/>
              <w:tabs>
                <w:tab w:val="left" w:pos="1755"/>
              </w:tabs>
              <w:kinsoku/>
              <w:wordWrap/>
              <w:overflowPunct/>
              <w:topLinePunct w:val="0"/>
              <w:bidi w:val="0"/>
              <w:adjustRightInd w:val="0"/>
              <w:snapToGrid w:val="0"/>
              <w:spacing w:line="360" w:lineRule="auto"/>
              <w:ind w:leftChars="0" w:firstLine="480" w:firstLineChars="200"/>
              <w:textAlignment w:val="auto"/>
              <w:rPr>
                <w:rFonts w:hint="default"/>
                <w:color w:val="auto"/>
                <w:sz w:val="24"/>
                <w:szCs w:val="28"/>
                <w:highlight w:val="none"/>
                <w:lang w:val="zh-CN"/>
              </w:rPr>
            </w:pPr>
            <w:r>
              <w:rPr>
                <w:rFonts w:hint="eastAsia"/>
                <w:color w:val="auto"/>
                <w:sz w:val="24"/>
                <w:szCs w:val="28"/>
                <w:highlight w:val="none"/>
              </w:rPr>
              <w:t>（4</w:t>
            </w:r>
            <w:r>
              <w:rPr>
                <w:rFonts w:hint="eastAsia"/>
                <w:color w:val="auto"/>
                <w:sz w:val="24"/>
                <w:szCs w:val="28"/>
                <w:highlight w:val="none"/>
                <w:lang w:eastAsia="zh-CN"/>
              </w:rPr>
              <w:t>）</w:t>
            </w:r>
            <w:r>
              <w:rPr>
                <w:rFonts w:hint="eastAsia"/>
                <w:color w:val="auto"/>
                <w:sz w:val="24"/>
                <w:szCs w:val="28"/>
                <w:highlight w:val="none"/>
              </w:rPr>
              <w:t>固体废物处置</w:t>
            </w:r>
          </w:p>
          <w:p w14:paraId="1FF6C544">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本项目固废包括生活垃圾、</w:t>
            </w:r>
            <w:r>
              <w:rPr>
                <w:rFonts w:hint="eastAsia" w:ascii="Times New Roman" w:hAnsi="Times New Roman" w:cs="Times New Roman"/>
                <w:b w:val="0"/>
                <w:bCs w:val="0"/>
                <w:color w:val="auto"/>
                <w:sz w:val="24"/>
                <w:szCs w:val="24"/>
                <w:lang w:val="en-US" w:eastAsia="zh-CN"/>
              </w:rPr>
              <w:t>废包装袋、</w:t>
            </w:r>
            <w:r>
              <w:rPr>
                <w:rFonts w:hint="default" w:ascii="Times New Roman" w:hAnsi="Times New Roman" w:eastAsia="宋体" w:cs="Times New Roman"/>
                <w:b w:val="0"/>
                <w:bCs w:val="0"/>
                <w:color w:val="auto"/>
                <w:sz w:val="24"/>
                <w:szCs w:val="24"/>
                <w:lang w:val="en-US" w:eastAsia="zh-CN"/>
              </w:rPr>
              <w:t>废包装材料、</w:t>
            </w:r>
            <w:r>
              <w:rPr>
                <w:rFonts w:hint="eastAsia" w:ascii="Times New Roman" w:hAnsi="Times New Roman" w:cs="Times New Roman"/>
                <w:b w:val="0"/>
                <w:bCs w:val="0"/>
                <w:color w:val="auto"/>
                <w:sz w:val="24"/>
                <w:szCs w:val="24"/>
                <w:lang w:val="en-US" w:eastAsia="zh-CN"/>
              </w:rPr>
              <w:t>除尘器收集颗粒物</w:t>
            </w:r>
            <w:r>
              <w:rPr>
                <w:rFonts w:hint="default" w:ascii="Times New Roman" w:hAnsi="Times New Roman" w:eastAsia="宋体" w:cs="Times New Roman"/>
                <w:b w:val="0"/>
                <w:bCs w:val="0"/>
                <w:color w:val="auto"/>
                <w:sz w:val="24"/>
                <w:szCs w:val="24"/>
                <w:lang w:val="en-US" w:eastAsia="zh-CN"/>
              </w:rPr>
              <w:t>、废活性炭、废机油</w:t>
            </w:r>
            <w:r>
              <w:rPr>
                <w:rFonts w:hint="eastAsia" w:ascii="Times New Roman" w:hAnsi="Times New Roman" w:cs="Times New Roman"/>
                <w:b w:val="0"/>
                <w:bCs w:val="0"/>
                <w:color w:val="auto"/>
                <w:sz w:val="24"/>
                <w:szCs w:val="24"/>
                <w:lang w:val="en-US" w:eastAsia="zh-CN"/>
              </w:rPr>
              <w:t>、</w:t>
            </w:r>
            <w:r>
              <w:rPr>
                <w:rFonts w:hint="eastAsia" w:cs="Times New Roman"/>
                <w:color w:val="auto"/>
                <w:sz w:val="24"/>
                <w:szCs w:val="24"/>
                <w:lang w:val="en-US" w:eastAsia="zh-CN"/>
              </w:rPr>
              <w:t>废</w:t>
            </w:r>
            <w:r>
              <w:rPr>
                <w:rFonts w:hint="default" w:ascii="Times New Roman" w:hAnsi="Times New Roman" w:eastAsia="宋体" w:cs="Times New Roman"/>
                <w:color w:val="auto"/>
                <w:sz w:val="24"/>
                <w:szCs w:val="24"/>
                <w:lang w:val="en-US" w:eastAsia="zh-CN"/>
              </w:rPr>
              <w:t>镍催化剂</w:t>
            </w:r>
            <w:r>
              <w:rPr>
                <w:rFonts w:hint="eastAsia" w:ascii="Times New Roman" w:hAnsi="Times New Roman" w:cs="Times New Roman"/>
                <w:color w:val="auto"/>
                <w:sz w:val="24"/>
                <w:szCs w:val="24"/>
                <w:lang w:val="en-US" w:eastAsia="zh-CN"/>
              </w:rPr>
              <w:t>、</w:t>
            </w:r>
            <w:r>
              <w:rPr>
                <w:rFonts w:hint="eastAsia" w:ascii="Times New Roman" w:hAnsi="Times New Roman" w:cs="Times New Roman"/>
                <w:b w:val="0"/>
                <w:bCs w:val="0"/>
                <w:color w:val="auto"/>
                <w:sz w:val="24"/>
                <w:szCs w:val="24"/>
                <w:lang w:val="en-US" w:eastAsia="zh-CN"/>
              </w:rPr>
              <w:t>回收石蜡、废弃含油抹布、劳保用品</w:t>
            </w:r>
            <w:r>
              <w:rPr>
                <w:rFonts w:hint="default" w:ascii="Times New Roman" w:hAnsi="Times New Roman" w:eastAsia="宋体" w:cs="Times New Roman"/>
                <w:b w:val="0"/>
                <w:bCs w:val="0"/>
                <w:color w:val="auto"/>
                <w:sz w:val="24"/>
                <w:szCs w:val="24"/>
                <w:lang w:val="en-US" w:eastAsia="zh-CN"/>
              </w:rPr>
              <w:t>。</w:t>
            </w:r>
          </w:p>
          <w:p w14:paraId="0D05C058">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1、生活垃圾：委托交由环卫部门处理。</w:t>
            </w:r>
          </w:p>
          <w:p w14:paraId="62F89658">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2、废包装袋：</w:t>
            </w:r>
            <w:r>
              <w:rPr>
                <w:rFonts w:hint="default" w:ascii="Times New Roman" w:hAnsi="Times New Roman" w:eastAsia="宋体" w:cs="Times New Roman"/>
                <w:b w:val="0"/>
                <w:bCs w:val="0"/>
                <w:color w:val="auto"/>
                <w:sz w:val="24"/>
                <w:szCs w:val="24"/>
                <w:lang w:val="en-US" w:eastAsia="zh-CN"/>
              </w:rPr>
              <w:t>统一收集后由资源利用单位回收利用。</w:t>
            </w:r>
          </w:p>
          <w:p w14:paraId="3E5F81D1">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3</w:t>
            </w:r>
            <w:r>
              <w:rPr>
                <w:rFonts w:hint="default" w:ascii="Times New Roman" w:hAnsi="Times New Roman" w:eastAsia="宋体"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回收粘结剂</w:t>
            </w:r>
            <w:r>
              <w:rPr>
                <w:rFonts w:hint="default" w:ascii="Times New Roman" w:hAnsi="Times New Roman" w:eastAsia="宋体" w:cs="Times New Roman"/>
                <w:b w:val="0"/>
                <w:bCs w:val="0"/>
                <w:color w:val="auto"/>
                <w:sz w:val="24"/>
                <w:szCs w:val="24"/>
                <w:lang w:val="en-US" w:eastAsia="zh-CN"/>
              </w:rPr>
              <w:t>：统一收集后由资源利用单位回收利用。</w:t>
            </w:r>
          </w:p>
          <w:p w14:paraId="33593B03">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4、</w:t>
            </w:r>
            <w:r>
              <w:rPr>
                <w:rFonts w:hint="default" w:ascii="Times New Roman" w:hAnsi="Times New Roman" w:eastAsia="宋体" w:cs="Times New Roman"/>
                <w:b w:val="0"/>
                <w:bCs w:val="0"/>
                <w:color w:val="auto"/>
                <w:sz w:val="24"/>
                <w:szCs w:val="24"/>
                <w:lang w:val="en-US" w:eastAsia="zh-CN"/>
              </w:rPr>
              <w:t>废包装材料：统一收集后由资源利用单位回收利用。</w:t>
            </w:r>
          </w:p>
          <w:p w14:paraId="7023DF91">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5</w:t>
            </w:r>
            <w:r>
              <w:rPr>
                <w:rFonts w:hint="default" w:ascii="Times New Roman" w:hAnsi="Times New Roman" w:eastAsia="宋体"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除尘器收集颗粒物</w:t>
            </w:r>
            <w:r>
              <w:rPr>
                <w:rFonts w:hint="default" w:ascii="Times New Roman" w:hAnsi="Times New Roman" w:eastAsia="宋体" w:cs="Times New Roman"/>
                <w:b w:val="0"/>
                <w:bCs w:val="0"/>
                <w:color w:val="auto"/>
                <w:sz w:val="24"/>
                <w:szCs w:val="24"/>
                <w:lang w:val="en-US" w:eastAsia="zh-CN"/>
              </w:rPr>
              <w:t>：统一收集后回用于生产。</w:t>
            </w:r>
          </w:p>
          <w:p w14:paraId="1C518339">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6</w:t>
            </w:r>
            <w:r>
              <w:rPr>
                <w:rFonts w:hint="default" w:ascii="Times New Roman" w:hAnsi="Times New Roman" w:eastAsia="宋体" w:cs="Times New Roman"/>
                <w:b w:val="0"/>
                <w:bCs w:val="0"/>
                <w:color w:val="auto"/>
                <w:sz w:val="24"/>
                <w:szCs w:val="24"/>
                <w:lang w:val="en-US" w:eastAsia="zh-CN"/>
              </w:rPr>
              <w:t>、废机油</w:t>
            </w:r>
            <w:r>
              <w:rPr>
                <w:rFonts w:hint="eastAsia" w:ascii="Times New Roman" w:hAnsi="Times New Roman"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收集后交由有资质单位</w:t>
            </w:r>
            <w:r>
              <w:rPr>
                <w:rFonts w:hint="eastAsia" w:ascii="Times New Roman" w:hAnsi="Times New Roman" w:cs="Times New Roman"/>
                <w:b w:val="0"/>
                <w:bCs w:val="0"/>
                <w:color w:val="auto"/>
                <w:sz w:val="24"/>
                <w:szCs w:val="24"/>
                <w:lang w:val="en-US" w:eastAsia="zh-CN"/>
              </w:rPr>
              <w:t>处置</w:t>
            </w:r>
            <w:r>
              <w:rPr>
                <w:rFonts w:hint="default" w:ascii="Times New Roman" w:hAnsi="Times New Roman" w:eastAsia="宋体" w:cs="Times New Roman"/>
                <w:b w:val="0"/>
                <w:bCs w:val="0"/>
                <w:color w:val="auto"/>
                <w:sz w:val="24"/>
                <w:szCs w:val="24"/>
                <w:lang w:val="en-US" w:eastAsia="zh-CN"/>
              </w:rPr>
              <w:t>。</w:t>
            </w:r>
          </w:p>
          <w:p w14:paraId="737A7B8E">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Times New Roman" w:hAnsi="Times New Roman" w:cs="Times New Roman"/>
                <w:b w:val="0"/>
                <w:bCs w:val="0"/>
                <w:color w:val="auto"/>
                <w:sz w:val="24"/>
                <w:szCs w:val="24"/>
                <w:highlight w:val="none"/>
                <w:vertAlign w:val="baseline"/>
                <w:lang w:val="en-US" w:eastAsia="zh-CN"/>
              </w:rPr>
            </w:pPr>
            <w:r>
              <w:rPr>
                <w:rFonts w:hint="eastAsia" w:cs="Times New Roman"/>
                <w:color w:val="auto"/>
                <w:sz w:val="24"/>
                <w:szCs w:val="24"/>
                <w:lang w:val="en-US" w:eastAsia="zh-CN"/>
              </w:rPr>
              <w:t>7、废</w:t>
            </w:r>
            <w:r>
              <w:rPr>
                <w:rFonts w:hint="default" w:ascii="Times New Roman" w:hAnsi="Times New Roman" w:eastAsia="宋体" w:cs="Times New Roman"/>
                <w:color w:val="auto"/>
                <w:sz w:val="24"/>
                <w:szCs w:val="24"/>
                <w:lang w:val="en-US" w:eastAsia="zh-CN"/>
              </w:rPr>
              <w:t>镍催化剂</w:t>
            </w:r>
            <w:r>
              <w:rPr>
                <w:rFonts w:hint="eastAsia" w:ascii="Times New Roman" w:hAnsi="Times New Roman" w:cs="Times New Roman"/>
                <w:b w:val="0"/>
                <w:bCs w:val="0"/>
                <w:color w:val="auto"/>
                <w:sz w:val="24"/>
                <w:szCs w:val="24"/>
                <w:highlight w:val="none"/>
                <w:vertAlign w:val="baseline"/>
                <w:lang w:val="en-US" w:eastAsia="zh-CN"/>
              </w:rPr>
              <w:t>：</w:t>
            </w:r>
            <w:r>
              <w:rPr>
                <w:rFonts w:hint="default" w:ascii="Times New Roman" w:hAnsi="Times New Roman" w:eastAsia="宋体" w:cs="Times New Roman"/>
                <w:b w:val="0"/>
                <w:bCs w:val="0"/>
                <w:color w:val="auto"/>
                <w:sz w:val="24"/>
                <w:szCs w:val="24"/>
                <w:lang w:val="en-US" w:eastAsia="zh-CN"/>
              </w:rPr>
              <w:t>收集后交由有资质单位</w:t>
            </w:r>
            <w:r>
              <w:rPr>
                <w:rFonts w:hint="eastAsia" w:ascii="Times New Roman" w:hAnsi="Times New Roman" w:cs="Times New Roman"/>
                <w:b w:val="0"/>
                <w:bCs w:val="0"/>
                <w:color w:val="auto"/>
                <w:sz w:val="24"/>
                <w:szCs w:val="24"/>
                <w:lang w:val="en-US" w:eastAsia="zh-CN"/>
              </w:rPr>
              <w:t>处置</w:t>
            </w:r>
            <w:r>
              <w:rPr>
                <w:rFonts w:hint="default" w:ascii="Times New Roman" w:hAnsi="Times New Roman" w:eastAsia="宋体" w:cs="Times New Roman"/>
                <w:b w:val="0"/>
                <w:bCs w:val="0"/>
                <w:color w:val="auto"/>
                <w:sz w:val="24"/>
                <w:szCs w:val="24"/>
                <w:lang w:val="en-US" w:eastAsia="zh-CN"/>
              </w:rPr>
              <w:t>。</w:t>
            </w:r>
          </w:p>
          <w:p w14:paraId="4F6DE4F9">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Times New Roman" w:hAnsi="Times New Roman" w:cs="Times New Roman"/>
                <w:b w:val="0"/>
                <w:bCs w:val="0"/>
                <w:color w:val="auto"/>
                <w:sz w:val="24"/>
                <w:szCs w:val="24"/>
                <w:highlight w:val="none"/>
                <w:vertAlign w:val="baseline"/>
                <w:lang w:val="en-US" w:eastAsia="zh-CN"/>
              </w:rPr>
            </w:pPr>
            <w:r>
              <w:rPr>
                <w:rFonts w:hint="eastAsia" w:ascii="Times New Roman" w:hAnsi="Times New Roman" w:cs="Times New Roman"/>
                <w:b w:val="0"/>
                <w:bCs w:val="0"/>
                <w:color w:val="auto"/>
                <w:sz w:val="24"/>
                <w:szCs w:val="24"/>
                <w:highlight w:val="none"/>
                <w:vertAlign w:val="baseline"/>
                <w:lang w:val="en-US" w:eastAsia="zh-CN"/>
              </w:rPr>
              <w:t>8、废UV灯管：</w:t>
            </w:r>
            <w:r>
              <w:rPr>
                <w:rFonts w:hint="default" w:ascii="Times New Roman" w:hAnsi="Times New Roman" w:eastAsia="宋体" w:cs="Times New Roman"/>
                <w:b w:val="0"/>
                <w:bCs w:val="0"/>
                <w:color w:val="auto"/>
                <w:sz w:val="24"/>
                <w:szCs w:val="24"/>
                <w:lang w:val="en-US" w:eastAsia="zh-CN"/>
              </w:rPr>
              <w:t>收集后交由有资质单位</w:t>
            </w:r>
            <w:r>
              <w:rPr>
                <w:rFonts w:hint="eastAsia" w:ascii="Times New Roman" w:hAnsi="Times New Roman" w:cs="Times New Roman"/>
                <w:b w:val="0"/>
                <w:bCs w:val="0"/>
                <w:color w:val="auto"/>
                <w:sz w:val="24"/>
                <w:szCs w:val="24"/>
                <w:lang w:val="en-US" w:eastAsia="zh-CN"/>
              </w:rPr>
              <w:t>处置</w:t>
            </w:r>
            <w:r>
              <w:rPr>
                <w:rFonts w:hint="default" w:ascii="Times New Roman" w:hAnsi="Times New Roman" w:eastAsia="宋体" w:cs="Times New Roman"/>
                <w:b w:val="0"/>
                <w:bCs w:val="0"/>
                <w:color w:val="auto"/>
                <w:sz w:val="24"/>
                <w:szCs w:val="24"/>
                <w:lang w:val="en-US" w:eastAsia="zh-CN"/>
              </w:rPr>
              <w:t>。</w:t>
            </w:r>
          </w:p>
          <w:p w14:paraId="5034F85C">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9</w:t>
            </w:r>
            <w:r>
              <w:rPr>
                <w:rFonts w:hint="default" w:ascii="Times New Roman" w:hAnsi="Times New Roman" w:eastAsia="宋体" w:cs="Times New Roman"/>
                <w:b w:val="0"/>
                <w:bCs w:val="0"/>
                <w:color w:val="auto"/>
                <w:sz w:val="24"/>
                <w:szCs w:val="24"/>
                <w:lang w:val="en-US" w:eastAsia="zh-CN"/>
              </w:rPr>
              <w:t>、废活性炭：收集后交由有资质单位</w:t>
            </w:r>
            <w:r>
              <w:rPr>
                <w:rFonts w:hint="eastAsia" w:ascii="Times New Roman" w:hAnsi="Times New Roman" w:cs="Times New Roman"/>
                <w:b w:val="0"/>
                <w:bCs w:val="0"/>
                <w:color w:val="auto"/>
                <w:sz w:val="24"/>
                <w:szCs w:val="24"/>
                <w:lang w:val="en-US" w:eastAsia="zh-CN"/>
              </w:rPr>
              <w:t>处置</w:t>
            </w:r>
            <w:r>
              <w:rPr>
                <w:rFonts w:hint="default" w:ascii="Times New Roman" w:hAnsi="Times New Roman" w:eastAsia="宋体" w:cs="Times New Roman"/>
                <w:b w:val="0"/>
                <w:bCs w:val="0"/>
                <w:color w:val="auto"/>
                <w:sz w:val="24"/>
                <w:szCs w:val="24"/>
                <w:lang w:val="en-US" w:eastAsia="zh-CN"/>
              </w:rPr>
              <w:t>。</w:t>
            </w:r>
          </w:p>
          <w:p w14:paraId="3D66510E">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10、废弃含油抹布、劳保用品</w:t>
            </w:r>
            <w:r>
              <w:rPr>
                <w:rFonts w:hint="default" w:ascii="Times New Roman" w:hAnsi="Times New Roman" w:eastAsia="宋体" w:cs="Times New Roman"/>
                <w:b w:val="0"/>
                <w:bCs w:val="0"/>
                <w:color w:val="auto"/>
                <w:sz w:val="24"/>
                <w:szCs w:val="24"/>
                <w:lang w:val="en-US" w:eastAsia="zh-CN"/>
              </w:rPr>
              <w:t>：收集后交由有资质单位</w:t>
            </w:r>
            <w:r>
              <w:rPr>
                <w:rFonts w:hint="eastAsia" w:ascii="Times New Roman" w:hAnsi="Times New Roman" w:cs="Times New Roman"/>
                <w:b w:val="0"/>
                <w:bCs w:val="0"/>
                <w:color w:val="auto"/>
                <w:sz w:val="24"/>
                <w:szCs w:val="24"/>
                <w:lang w:val="en-US" w:eastAsia="zh-CN"/>
              </w:rPr>
              <w:t>处置</w:t>
            </w:r>
            <w:r>
              <w:rPr>
                <w:rFonts w:hint="default" w:ascii="Times New Roman" w:hAnsi="Times New Roman" w:eastAsia="宋体" w:cs="Times New Roman"/>
                <w:b w:val="0"/>
                <w:bCs w:val="0"/>
                <w:color w:val="auto"/>
                <w:sz w:val="24"/>
                <w:szCs w:val="24"/>
                <w:lang w:val="en-US" w:eastAsia="zh-CN"/>
              </w:rPr>
              <w:t>。</w:t>
            </w:r>
          </w:p>
          <w:p w14:paraId="4A106CC3">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原</w:t>
            </w:r>
            <w:r>
              <w:rPr>
                <w:rFonts w:hint="default" w:ascii="Times New Roman" w:hAnsi="Times New Roman" w:eastAsia="宋体" w:cs="Times New Roman"/>
                <w:b w:val="0"/>
                <w:bCs w:val="0"/>
                <w:color w:val="auto"/>
                <w:sz w:val="24"/>
                <w:szCs w:val="24"/>
                <w:lang w:val="en-US" w:eastAsia="zh-CN"/>
              </w:rPr>
              <w:t>项目生产产生的各种固体废弃物都能得到有效回收利用或处置，一般固废执行《一般工业固体废物贮存和填埋污染控制标准》（GB18599-2020）中的有关规定；危险废物执行《危险废物贮存污染控制标准》（GB18597-20</w:t>
            </w:r>
            <w:r>
              <w:rPr>
                <w:rFonts w:hint="eastAsia" w:ascii="Times New Roman" w:hAnsi="Times New Roman" w:cs="Times New Roman"/>
                <w:b w:val="0"/>
                <w:bCs w:val="0"/>
                <w:color w:val="auto"/>
                <w:sz w:val="24"/>
                <w:szCs w:val="24"/>
                <w:lang w:val="en-US" w:eastAsia="zh-CN"/>
              </w:rPr>
              <w:t>23</w:t>
            </w:r>
            <w:r>
              <w:rPr>
                <w:rFonts w:hint="default" w:ascii="Times New Roman" w:hAnsi="Times New Roman" w:eastAsia="宋体" w:cs="Times New Roman"/>
                <w:b w:val="0"/>
                <w:bCs w:val="0"/>
                <w:color w:val="auto"/>
                <w:sz w:val="24"/>
                <w:szCs w:val="24"/>
                <w:lang w:val="en-US" w:eastAsia="zh-CN"/>
              </w:rPr>
              <w:t>）中的有关规定。</w:t>
            </w:r>
          </w:p>
          <w:p w14:paraId="2348A968">
            <w:pPr>
              <w:pStyle w:val="12"/>
              <w:keepNext w:val="0"/>
              <w:keepLines w:val="0"/>
              <w:pageBreakBefore w:val="0"/>
              <w:widowControl/>
              <w:kinsoku/>
              <w:wordWrap/>
              <w:overflowPunct/>
              <w:topLinePunct w:val="0"/>
              <w:autoSpaceDE/>
              <w:autoSpaceDN/>
              <w:bidi w:val="0"/>
              <w:adjustRightInd/>
              <w:snapToGrid w:val="0"/>
              <w:spacing w:before="0" w:after="0" w:line="360" w:lineRule="auto"/>
              <w:ind w:right="0"/>
              <w:jc w:val="center"/>
              <w:textAlignment w:val="auto"/>
              <w:rPr>
                <w:rFonts w:hint="eastAsia"/>
                <w:b w:val="0"/>
                <w:color w:val="auto"/>
                <w:kern w:val="2"/>
                <w:sz w:val="24"/>
                <w:szCs w:val="24"/>
                <w:highlight w:val="none"/>
                <w:lang w:val="en-US" w:eastAsia="zh-CN" w:bidi="ar-SA"/>
              </w:rPr>
            </w:pPr>
            <w:r>
              <w:rPr>
                <w:rFonts w:hint="eastAsia"/>
                <w:b/>
                <w:bCs/>
                <w:color w:val="auto"/>
                <w:kern w:val="2"/>
                <w:sz w:val="24"/>
                <w:szCs w:val="24"/>
                <w:highlight w:val="none"/>
                <w:lang w:val="en-US" w:eastAsia="zh-CN" w:bidi="ar-SA"/>
              </w:rPr>
              <w:t>表2.16  原有项目污染物排放量的汇总表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912"/>
              <w:gridCol w:w="1459"/>
              <w:gridCol w:w="734"/>
              <w:gridCol w:w="2842"/>
            </w:tblGrid>
            <w:tr w14:paraId="17D8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pct"/>
                  <w:vAlign w:val="center"/>
                </w:tcPr>
                <w:p w14:paraId="553FE2DA">
                  <w:pPr>
                    <w:pStyle w:val="27"/>
                    <w:keepNext w:val="0"/>
                    <w:keepLines w:val="0"/>
                    <w:pageBreakBefore w:val="0"/>
                    <w:numPr>
                      <w:ilvl w:val="1"/>
                      <w:numId w:val="0"/>
                    </w:numPr>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类别</w:t>
                  </w:r>
                </w:p>
              </w:tc>
              <w:tc>
                <w:tcPr>
                  <w:tcW w:w="1154" w:type="pct"/>
                  <w:vAlign w:val="center"/>
                </w:tcPr>
                <w:p w14:paraId="4F5AB701">
                  <w:pPr>
                    <w:pStyle w:val="27"/>
                    <w:keepNext w:val="0"/>
                    <w:keepLines w:val="0"/>
                    <w:pageBreakBefore w:val="0"/>
                    <w:numPr>
                      <w:ilvl w:val="1"/>
                      <w:numId w:val="0"/>
                    </w:numPr>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污染物名称</w:t>
                  </w:r>
                </w:p>
              </w:tc>
              <w:tc>
                <w:tcPr>
                  <w:tcW w:w="1324" w:type="pct"/>
                  <w:gridSpan w:val="2"/>
                  <w:vAlign w:val="center"/>
                </w:tcPr>
                <w:p w14:paraId="578B0903">
                  <w:pPr>
                    <w:pStyle w:val="27"/>
                    <w:keepNext w:val="0"/>
                    <w:keepLines w:val="0"/>
                    <w:pageBreakBefore w:val="0"/>
                    <w:numPr>
                      <w:ilvl w:val="1"/>
                      <w:numId w:val="0"/>
                    </w:numPr>
                    <w:kinsoku/>
                    <w:wordWrap/>
                    <w:overflowPunct/>
                    <w:topLinePunct w:val="0"/>
                    <w:bidi w:val="0"/>
                    <w:snapToGrid w:val="0"/>
                    <w:spacing w:line="240" w:lineRule="auto"/>
                    <w:ind w:left="0" w:leftChars="0" w:firstLine="0" w:firstLineChars="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扩建前排放量</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t/a</w:t>
                  </w:r>
                  <w:r>
                    <w:rPr>
                      <w:rFonts w:hint="eastAsia" w:cs="Times New Roman"/>
                      <w:color w:val="auto"/>
                      <w:sz w:val="21"/>
                      <w:szCs w:val="21"/>
                      <w:highlight w:val="none"/>
                      <w:lang w:eastAsia="zh-CN"/>
                    </w:rPr>
                    <w:t>）</w:t>
                  </w:r>
                </w:p>
              </w:tc>
              <w:tc>
                <w:tcPr>
                  <w:tcW w:w="1715" w:type="pct"/>
                  <w:vAlign w:val="center"/>
                </w:tcPr>
                <w:p w14:paraId="3DD2019C">
                  <w:pPr>
                    <w:pStyle w:val="27"/>
                    <w:keepNext w:val="0"/>
                    <w:keepLines w:val="0"/>
                    <w:pageBreakBefore w:val="0"/>
                    <w:numPr>
                      <w:ilvl w:val="1"/>
                      <w:numId w:val="0"/>
                    </w:numPr>
                    <w:kinsoku/>
                    <w:wordWrap/>
                    <w:overflowPunct/>
                    <w:topLinePunct w:val="0"/>
                    <w:bidi w:val="0"/>
                    <w:snapToGrid w:val="0"/>
                    <w:spacing w:line="240" w:lineRule="auto"/>
                    <w:ind w:left="0" w:leftChars="0" w:firstLine="0" w:firstLineChars="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vertAlign w:val="baseline"/>
                      <w:lang w:val="en-US" w:eastAsia="zh-CN"/>
                    </w:rPr>
                    <w:t>治理措施</w:t>
                  </w:r>
                </w:p>
              </w:tc>
            </w:tr>
            <w:tr w14:paraId="7921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pct"/>
                  <w:vMerge w:val="restart"/>
                  <w:shd w:val="clear" w:color="auto" w:fill="auto"/>
                  <w:vAlign w:val="center"/>
                </w:tcPr>
                <w:p w14:paraId="39E4EB98">
                  <w:pPr>
                    <w:pStyle w:val="27"/>
                    <w:keepNext w:val="0"/>
                    <w:keepLines w:val="0"/>
                    <w:pageBreakBefore w:val="0"/>
                    <w:numPr>
                      <w:ilvl w:val="1"/>
                      <w:numId w:val="0"/>
                    </w:numPr>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w:t>
                  </w:r>
                </w:p>
              </w:tc>
              <w:tc>
                <w:tcPr>
                  <w:tcW w:w="1154" w:type="pct"/>
                  <w:shd w:val="clear" w:color="auto" w:fill="auto"/>
                  <w:vAlign w:val="center"/>
                </w:tcPr>
                <w:p w14:paraId="27B15A56">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混合废气</w:t>
                  </w:r>
                </w:p>
              </w:tc>
              <w:tc>
                <w:tcPr>
                  <w:tcW w:w="880" w:type="pct"/>
                  <w:shd w:val="clear" w:color="auto" w:fill="auto"/>
                  <w:vAlign w:val="center"/>
                </w:tcPr>
                <w:p w14:paraId="48825239">
                  <w:pPr>
                    <w:pStyle w:val="38"/>
                    <w:keepNext w:val="0"/>
                    <w:keepLines w:val="0"/>
                    <w:pageBreakBefore w:val="0"/>
                    <w:kinsoku/>
                    <w:wordWrap/>
                    <w:overflowPunct/>
                    <w:topLinePunct w:val="0"/>
                    <w:bidi w:val="0"/>
                    <w:spacing w:beforeLines="0" w:afterLines="0" w:line="240" w:lineRule="auto"/>
                    <w:ind w:left="0" w:leftChars="0"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cs="Times New Roman"/>
                      <w:color w:val="auto"/>
                      <w:sz w:val="21"/>
                      <w:szCs w:val="21"/>
                      <w:highlight w:val="none"/>
                      <w:lang w:eastAsia="zh-CN"/>
                    </w:rPr>
                    <w:t>颗粒物</w:t>
                  </w:r>
                </w:p>
              </w:tc>
              <w:tc>
                <w:tcPr>
                  <w:tcW w:w="443" w:type="pct"/>
                  <w:shd w:val="clear" w:color="auto" w:fill="auto"/>
                  <w:vAlign w:val="center"/>
                </w:tcPr>
                <w:p w14:paraId="456BD53F">
                  <w:pPr>
                    <w:pStyle w:val="38"/>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0.027</w:t>
                  </w:r>
                </w:p>
              </w:tc>
              <w:tc>
                <w:tcPr>
                  <w:tcW w:w="1715" w:type="pct"/>
                  <w:shd w:val="clear" w:color="auto" w:fill="auto"/>
                  <w:vAlign w:val="center"/>
                </w:tcPr>
                <w:p w14:paraId="036B8810">
                  <w:pPr>
                    <w:pStyle w:val="38"/>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rPr>
                    <w:t>集气罩+布袋除尘器+15m高排气筒（DA001）</w:t>
                  </w:r>
                </w:p>
              </w:tc>
            </w:tr>
            <w:tr w14:paraId="5E73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pct"/>
                  <w:vMerge w:val="continue"/>
                  <w:shd w:val="clear" w:color="auto" w:fill="auto"/>
                  <w:vAlign w:val="center"/>
                </w:tcPr>
                <w:p w14:paraId="74FD21F5">
                  <w:pPr>
                    <w:pStyle w:val="27"/>
                    <w:keepNext w:val="0"/>
                    <w:keepLines w:val="0"/>
                    <w:pageBreakBefore w:val="0"/>
                    <w:numPr>
                      <w:ilvl w:val="1"/>
                      <w:numId w:val="0"/>
                    </w:numPr>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rPr>
                  </w:pPr>
                </w:p>
              </w:tc>
              <w:tc>
                <w:tcPr>
                  <w:tcW w:w="1154" w:type="pct"/>
                  <w:shd w:val="clear" w:color="auto" w:fill="auto"/>
                  <w:vAlign w:val="center"/>
                </w:tcPr>
                <w:p w14:paraId="2292878B">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vertAlign w:val="baseline"/>
                      <w:lang w:val="en-US" w:eastAsia="zh-CN"/>
                    </w:rPr>
                    <w:t>加热</w:t>
                  </w:r>
                  <w:r>
                    <w:rPr>
                      <w:rFonts w:hint="default" w:ascii="Times New Roman" w:hAnsi="Times New Roman" w:eastAsia="宋体" w:cs="Times New Roman"/>
                      <w:b w:val="0"/>
                      <w:bCs w:val="0"/>
                      <w:color w:val="auto"/>
                      <w:sz w:val="21"/>
                      <w:szCs w:val="21"/>
                      <w:highlight w:val="none"/>
                      <w:vertAlign w:val="baseline"/>
                      <w:lang w:val="en-US" w:eastAsia="zh-CN"/>
                    </w:rPr>
                    <w:t>废气</w:t>
                  </w:r>
                </w:p>
              </w:tc>
              <w:tc>
                <w:tcPr>
                  <w:tcW w:w="880" w:type="pct"/>
                  <w:shd w:val="clear" w:color="auto" w:fill="auto"/>
                  <w:vAlign w:val="center"/>
                </w:tcPr>
                <w:p w14:paraId="6B1F9236">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挥发性有机物</w:t>
                  </w:r>
                </w:p>
              </w:tc>
              <w:tc>
                <w:tcPr>
                  <w:tcW w:w="443" w:type="pct"/>
                  <w:shd w:val="clear" w:color="auto" w:fill="auto"/>
                  <w:vAlign w:val="center"/>
                </w:tcPr>
                <w:p w14:paraId="1CB324B1">
                  <w:pPr>
                    <w:pStyle w:val="38"/>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0.009</w:t>
                  </w:r>
                </w:p>
              </w:tc>
              <w:tc>
                <w:tcPr>
                  <w:tcW w:w="1715" w:type="pct"/>
                  <w:shd w:val="clear" w:color="auto" w:fill="auto"/>
                  <w:vAlign w:val="center"/>
                </w:tcPr>
                <w:p w14:paraId="26BEAD64">
                  <w:pPr>
                    <w:pStyle w:val="38"/>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rPr>
                    <w:t>集气罩+UV光解+活性炭处理设施+15m高排气筒（DA002）</w:t>
                  </w:r>
                </w:p>
              </w:tc>
            </w:tr>
            <w:tr w14:paraId="7D53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pct"/>
                  <w:vMerge w:val="continue"/>
                  <w:shd w:val="clear" w:color="auto" w:fill="auto"/>
                  <w:vAlign w:val="center"/>
                </w:tcPr>
                <w:p w14:paraId="49554E2E">
                  <w:pPr>
                    <w:pStyle w:val="27"/>
                    <w:keepNext w:val="0"/>
                    <w:keepLines w:val="0"/>
                    <w:pageBreakBefore w:val="0"/>
                    <w:numPr>
                      <w:ilvl w:val="1"/>
                      <w:numId w:val="0"/>
                    </w:numPr>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rPr>
                  </w:pPr>
                </w:p>
              </w:tc>
              <w:tc>
                <w:tcPr>
                  <w:tcW w:w="1154" w:type="pct"/>
                  <w:shd w:val="clear" w:color="auto" w:fill="auto"/>
                  <w:vAlign w:val="center"/>
                </w:tcPr>
                <w:p w14:paraId="17A597CA">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vertAlign w:val="baseline"/>
                      <w:lang w:val="en-US" w:eastAsia="zh-CN"/>
                    </w:rPr>
                    <w:t>1#</w:t>
                  </w:r>
                  <w:r>
                    <w:rPr>
                      <w:rFonts w:hint="default" w:ascii="Times New Roman" w:hAnsi="Times New Roman" w:eastAsia="宋体" w:cs="Times New Roman"/>
                      <w:b w:val="0"/>
                      <w:bCs w:val="0"/>
                      <w:color w:val="auto"/>
                      <w:sz w:val="21"/>
                      <w:szCs w:val="21"/>
                      <w:highlight w:val="none"/>
                      <w:vertAlign w:val="baseline"/>
                      <w:lang w:val="en-US" w:eastAsia="zh-CN"/>
                    </w:rPr>
                    <w:t>注塑</w:t>
                  </w:r>
                  <w:r>
                    <w:rPr>
                      <w:rFonts w:hint="eastAsia" w:ascii="Times New Roman" w:hAnsi="Times New Roman" w:eastAsia="宋体" w:cs="Times New Roman"/>
                      <w:b w:val="0"/>
                      <w:bCs w:val="0"/>
                      <w:color w:val="auto"/>
                      <w:sz w:val="21"/>
                      <w:szCs w:val="21"/>
                      <w:highlight w:val="none"/>
                      <w:vertAlign w:val="baseline"/>
                      <w:lang w:val="en-US" w:eastAsia="zh-CN"/>
                    </w:rPr>
                    <w:t>、</w:t>
                  </w:r>
                  <w:r>
                    <w:rPr>
                      <w:rFonts w:hint="eastAsia" w:cs="Times New Roman"/>
                      <w:b w:val="0"/>
                      <w:bCs w:val="0"/>
                      <w:color w:val="auto"/>
                      <w:sz w:val="21"/>
                      <w:szCs w:val="21"/>
                      <w:highlight w:val="none"/>
                      <w:vertAlign w:val="baseline"/>
                      <w:lang w:val="en-US" w:eastAsia="zh-CN"/>
                    </w:rPr>
                    <w:t>脱胶</w:t>
                  </w:r>
                  <w:r>
                    <w:rPr>
                      <w:rFonts w:hint="default" w:ascii="Times New Roman" w:hAnsi="Times New Roman" w:eastAsia="宋体" w:cs="Times New Roman"/>
                      <w:b w:val="0"/>
                      <w:bCs w:val="0"/>
                      <w:color w:val="auto"/>
                      <w:sz w:val="21"/>
                      <w:szCs w:val="21"/>
                      <w:highlight w:val="none"/>
                      <w:vertAlign w:val="baseline"/>
                      <w:lang w:val="en-US" w:eastAsia="zh-CN"/>
                    </w:rPr>
                    <w:t>废气</w:t>
                  </w:r>
                </w:p>
              </w:tc>
              <w:tc>
                <w:tcPr>
                  <w:tcW w:w="880" w:type="pct"/>
                  <w:shd w:val="clear" w:color="auto" w:fill="auto"/>
                  <w:vAlign w:val="center"/>
                </w:tcPr>
                <w:p w14:paraId="2095589C">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挥发性有机物</w:t>
                  </w:r>
                </w:p>
              </w:tc>
              <w:tc>
                <w:tcPr>
                  <w:tcW w:w="443" w:type="pct"/>
                  <w:shd w:val="clear" w:color="auto" w:fill="auto"/>
                  <w:vAlign w:val="center"/>
                </w:tcPr>
                <w:p w14:paraId="066CB8F1">
                  <w:pPr>
                    <w:pStyle w:val="38"/>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0.081</w:t>
                  </w:r>
                </w:p>
              </w:tc>
              <w:tc>
                <w:tcPr>
                  <w:tcW w:w="1715" w:type="pct"/>
                  <w:shd w:val="clear" w:color="auto" w:fill="auto"/>
                  <w:vAlign w:val="center"/>
                </w:tcPr>
                <w:p w14:paraId="6412357E">
                  <w:pPr>
                    <w:pStyle w:val="38"/>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rPr>
                    <w:t>集气罩+UV光解+活性炭处理设施+15m高排气筒（DA003）</w:t>
                  </w:r>
                </w:p>
              </w:tc>
            </w:tr>
            <w:tr w14:paraId="5FED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pct"/>
                  <w:vMerge w:val="continue"/>
                  <w:shd w:val="clear" w:color="auto" w:fill="auto"/>
                  <w:vAlign w:val="center"/>
                </w:tcPr>
                <w:p w14:paraId="41A24377">
                  <w:pPr>
                    <w:pStyle w:val="27"/>
                    <w:keepNext w:val="0"/>
                    <w:keepLines w:val="0"/>
                    <w:pageBreakBefore w:val="0"/>
                    <w:numPr>
                      <w:ilvl w:val="1"/>
                      <w:numId w:val="0"/>
                    </w:numPr>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rPr>
                  </w:pPr>
                </w:p>
              </w:tc>
              <w:tc>
                <w:tcPr>
                  <w:tcW w:w="1154" w:type="pct"/>
                  <w:shd w:val="clear" w:color="auto" w:fill="auto"/>
                  <w:vAlign w:val="center"/>
                </w:tcPr>
                <w:p w14:paraId="7D7978A4">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vertAlign w:val="baseline"/>
                      <w:lang w:val="en-US" w:eastAsia="zh-CN"/>
                    </w:rPr>
                    <w:t>1#</w:t>
                  </w:r>
                  <w:r>
                    <w:rPr>
                      <w:rFonts w:hint="default" w:ascii="Times New Roman" w:hAnsi="Times New Roman" w:eastAsia="宋体" w:cs="Times New Roman"/>
                      <w:b w:val="0"/>
                      <w:bCs w:val="0"/>
                      <w:color w:val="auto"/>
                      <w:sz w:val="21"/>
                      <w:szCs w:val="21"/>
                      <w:highlight w:val="none"/>
                      <w:vertAlign w:val="baseline"/>
                      <w:lang w:val="en-US" w:eastAsia="zh-CN"/>
                    </w:rPr>
                    <w:t>注塑</w:t>
                  </w:r>
                  <w:r>
                    <w:rPr>
                      <w:rFonts w:hint="eastAsia" w:ascii="Times New Roman" w:hAnsi="Times New Roman" w:eastAsia="宋体" w:cs="Times New Roman"/>
                      <w:b w:val="0"/>
                      <w:bCs w:val="0"/>
                      <w:color w:val="auto"/>
                      <w:sz w:val="21"/>
                      <w:szCs w:val="21"/>
                      <w:highlight w:val="none"/>
                      <w:vertAlign w:val="baseline"/>
                      <w:lang w:val="en-US" w:eastAsia="zh-CN"/>
                    </w:rPr>
                    <w:t>、</w:t>
                  </w:r>
                  <w:r>
                    <w:rPr>
                      <w:rFonts w:hint="eastAsia" w:cs="Times New Roman"/>
                      <w:b w:val="0"/>
                      <w:bCs w:val="0"/>
                      <w:color w:val="auto"/>
                      <w:sz w:val="21"/>
                      <w:szCs w:val="21"/>
                      <w:highlight w:val="none"/>
                      <w:vertAlign w:val="baseline"/>
                      <w:lang w:val="en-US" w:eastAsia="zh-CN"/>
                    </w:rPr>
                    <w:t>脱胶</w:t>
                  </w:r>
                  <w:r>
                    <w:rPr>
                      <w:rFonts w:hint="default" w:ascii="Times New Roman" w:hAnsi="Times New Roman" w:eastAsia="宋体" w:cs="Times New Roman"/>
                      <w:b w:val="0"/>
                      <w:bCs w:val="0"/>
                      <w:color w:val="auto"/>
                      <w:sz w:val="21"/>
                      <w:szCs w:val="21"/>
                      <w:highlight w:val="none"/>
                      <w:vertAlign w:val="baseline"/>
                      <w:lang w:val="en-US" w:eastAsia="zh-CN"/>
                    </w:rPr>
                    <w:t>废气</w:t>
                  </w:r>
                </w:p>
              </w:tc>
              <w:tc>
                <w:tcPr>
                  <w:tcW w:w="880" w:type="pct"/>
                  <w:shd w:val="clear" w:color="auto" w:fill="auto"/>
                  <w:vAlign w:val="center"/>
                </w:tcPr>
                <w:p w14:paraId="394C585A">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挥发性有机物</w:t>
                  </w:r>
                </w:p>
              </w:tc>
              <w:tc>
                <w:tcPr>
                  <w:tcW w:w="443" w:type="pct"/>
                  <w:shd w:val="clear" w:color="auto" w:fill="auto"/>
                  <w:vAlign w:val="center"/>
                </w:tcPr>
                <w:p w14:paraId="19E6ADDB">
                  <w:pPr>
                    <w:pStyle w:val="38"/>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0.042</w:t>
                  </w:r>
                </w:p>
              </w:tc>
              <w:tc>
                <w:tcPr>
                  <w:tcW w:w="1715" w:type="pct"/>
                  <w:shd w:val="clear" w:color="auto" w:fill="auto"/>
                  <w:vAlign w:val="center"/>
                </w:tcPr>
                <w:p w14:paraId="3FA9D203">
                  <w:pPr>
                    <w:pStyle w:val="38"/>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集气罩+UV光解+活性炭处理设施+15m高排气筒（DA00</w:t>
                  </w:r>
                  <w:r>
                    <w:rPr>
                      <w:rFonts w:hint="eastAsia" w:ascii="Times New Roman" w:cs="Times New Roman"/>
                      <w:color w:val="auto"/>
                      <w:kern w:val="2"/>
                      <w:sz w:val="21"/>
                      <w:szCs w:val="21"/>
                      <w:highlight w:val="none"/>
                      <w:lang w:val="en-US" w:eastAsia="zh-CN"/>
                    </w:rPr>
                    <w:t>4</w:t>
                  </w:r>
                  <w:r>
                    <w:rPr>
                      <w:rFonts w:hint="default" w:ascii="Times New Roman" w:hAnsi="Times New Roman" w:eastAsia="宋体" w:cs="Times New Roman"/>
                      <w:color w:val="auto"/>
                      <w:kern w:val="2"/>
                      <w:sz w:val="21"/>
                      <w:szCs w:val="21"/>
                      <w:highlight w:val="none"/>
                      <w:lang w:val="en-US" w:eastAsia="zh-CN"/>
                    </w:rPr>
                    <w:t>）</w:t>
                  </w:r>
                </w:p>
              </w:tc>
            </w:tr>
            <w:tr w14:paraId="1972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pct"/>
                  <w:vMerge w:val="continue"/>
                  <w:shd w:val="clear" w:color="auto" w:fill="auto"/>
                  <w:vAlign w:val="center"/>
                </w:tcPr>
                <w:p w14:paraId="3DBC1240">
                  <w:pPr>
                    <w:pStyle w:val="27"/>
                    <w:keepNext w:val="0"/>
                    <w:keepLines w:val="0"/>
                    <w:pageBreakBefore w:val="0"/>
                    <w:numPr>
                      <w:ilvl w:val="1"/>
                      <w:numId w:val="0"/>
                    </w:numPr>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rPr>
                  </w:pPr>
                </w:p>
              </w:tc>
              <w:tc>
                <w:tcPr>
                  <w:tcW w:w="1154" w:type="pct"/>
                  <w:shd w:val="clear" w:color="auto" w:fill="auto"/>
                  <w:vAlign w:val="center"/>
                </w:tcPr>
                <w:p w14:paraId="0DB72279">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喷塑废气</w:t>
                  </w:r>
                </w:p>
              </w:tc>
              <w:tc>
                <w:tcPr>
                  <w:tcW w:w="880" w:type="pct"/>
                  <w:shd w:val="clear" w:color="auto" w:fill="auto"/>
                  <w:vAlign w:val="center"/>
                </w:tcPr>
                <w:p w14:paraId="505AE219">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颗粒物</w:t>
                  </w:r>
                </w:p>
              </w:tc>
              <w:tc>
                <w:tcPr>
                  <w:tcW w:w="443" w:type="pct"/>
                  <w:shd w:val="clear" w:color="auto" w:fill="auto"/>
                  <w:vAlign w:val="center"/>
                </w:tcPr>
                <w:p w14:paraId="6D68619D">
                  <w:pPr>
                    <w:pStyle w:val="38"/>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0.014</w:t>
                  </w:r>
                </w:p>
              </w:tc>
              <w:tc>
                <w:tcPr>
                  <w:tcW w:w="1715" w:type="pct"/>
                  <w:shd w:val="clear" w:color="auto" w:fill="auto"/>
                  <w:vAlign w:val="center"/>
                </w:tcPr>
                <w:p w14:paraId="0ADF916A">
                  <w:pPr>
                    <w:pStyle w:val="38"/>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侧向集气罩+</w:t>
                  </w:r>
                  <w:r>
                    <w:rPr>
                      <w:rFonts w:hint="eastAsia" w:ascii="Times New Roman" w:cs="Times New Roman"/>
                      <w:color w:val="auto"/>
                      <w:sz w:val="21"/>
                      <w:szCs w:val="21"/>
                      <w:highlight w:val="none"/>
                      <w:lang w:val="en-US" w:eastAsia="zh-CN"/>
                    </w:rPr>
                    <w:t>布袋除尘器</w:t>
                  </w:r>
                  <w:r>
                    <w:rPr>
                      <w:rFonts w:hint="default" w:ascii="Times New Roman" w:hAnsi="Times New Roman" w:eastAsia="宋体" w:cs="Times New Roman"/>
                      <w:color w:val="auto"/>
                      <w:sz w:val="21"/>
                      <w:szCs w:val="21"/>
                      <w:highlight w:val="none"/>
                      <w:lang w:val="en-US" w:eastAsia="zh-CN"/>
                    </w:rPr>
                    <w:t>+15m高排气筒（DA005）</w:t>
                  </w:r>
                </w:p>
              </w:tc>
            </w:tr>
            <w:tr w14:paraId="49056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pct"/>
                  <w:vMerge w:val="continue"/>
                  <w:shd w:val="clear" w:color="auto" w:fill="auto"/>
                  <w:vAlign w:val="center"/>
                </w:tcPr>
                <w:p w14:paraId="21E85BB1">
                  <w:pPr>
                    <w:pStyle w:val="27"/>
                    <w:keepNext w:val="0"/>
                    <w:keepLines w:val="0"/>
                    <w:pageBreakBefore w:val="0"/>
                    <w:numPr>
                      <w:ilvl w:val="1"/>
                      <w:numId w:val="0"/>
                    </w:numPr>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rPr>
                  </w:pPr>
                </w:p>
              </w:tc>
              <w:tc>
                <w:tcPr>
                  <w:tcW w:w="1154" w:type="pct"/>
                  <w:shd w:val="clear" w:color="auto" w:fill="auto"/>
                  <w:vAlign w:val="center"/>
                </w:tcPr>
                <w:p w14:paraId="147C2F76">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固化废气</w:t>
                  </w:r>
                </w:p>
              </w:tc>
              <w:tc>
                <w:tcPr>
                  <w:tcW w:w="880" w:type="pct"/>
                  <w:shd w:val="clear" w:color="auto" w:fill="auto"/>
                  <w:vAlign w:val="center"/>
                </w:tcPr>
                <w:p w14:paraId="6781D16D">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kern w:val="0"/>
                      <w:sz w:val="21"/>
                      <w:szCs w:val="21"/>
                      <w:highlight w:val="none"/>
                      <w:vertAlign w:val="baseline"/>
                      <w:lang w:val="en-US" w:eastAsia="zh-CN" w:bidi="ar-SA"/>
                    </w:rPr>
                    <w:t>挥发性有机物</w:t>
                  </w:r>
                </w:p>
              </w:tc>
              <w:tc>
                <w:tcPr>
                  <w:tcW w:w="443" w:type="pct"/>
                  <w:shd w:val="clear" w:color="auto" w:fill="auto"/>
                  <w:vAlign w:val="center"/>
                </w:tcPr>
                <w:p w14:paraId="3EDC70F5">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w:t>
                  </w:r>
                </w:p>
              </w:tc>
              <w:tc>
                <w:tcPr>
                  <w:tcW w:w="1715" w:type="pct"/>
                  <w:vMerge w:val="restart"/>
                  <w:shd w:val="clear" w:color="auto" w:fill="auto"/>
                  <w:vAlign w:val="center"/>
                </w:tcPr>
                <w:p w14:paraId="39F573D5">
                  <w:pPr>
                    <w:pStyle w:val="38"/>
                    <w:keepNext w:val="0"/>
                    <w:keepLines w:val="0"/>
                    <w:pageBreakBefore w:val="0"/>
                    <w:kinsoku/>
                    <w:wordWrap/>
                    <w:overflowPunct/>
                    <w:topLinePunct w:val="0"/>
                    <w:bidi w:val="0"/>
                    <w:spacing w:beforeLines="0" w:afterLines="0" w:line="240" w:lineRule="auto"/>
                    <w:ind w:left="0" w:leftChars="0" w:firstLine="0" w:firstLine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cs="Times New Roman"/>
                      <w:color w:val="auto"/>
                      <w:sz w:val="21"/>
                      <w:szCs w:val="21"/>
                      <w:highlight w:val="none"/>
                      <w:lang w:val="en-US" w:eastAsia="zh-CN"/>
                    </w:rPr>
                    <w:t>加强车间通风，无组织排放</w:t>
                  </w:r>
                </w:p>
              </w:tc>
            </w:tr>
            <w:tr w14:paraId="62FFC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pct"/>
                  <w:vMerge w:val="continue"/>
                  <w:shd w:val="clear" w:color="auto" w:fill="auto"/>
                  <w:vAlign w:val="center"/>
                </w:tcPr>
                <w:p w14:paraId="2322F760">
                  <w:pPr>
                    <w:pStyle w:val="27"/>
                    <w:keepNext w:val="0"/>
                    <w:keepLines w:val="0"/>
                    <w:pageBreakBefore w:val="0"/>
                    <w:numPr>
                      <w:ilvl w:val="1"/>
                      <w:numId w:val="0"/>
                    </w:numPr>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rPr>
                  </w:pPr>
                </w:p>
              </w:tc>
              <w:tc>
                <w:tcPr>
                  <w:tcW w:w="1154" w:type="pct"/>
                  <w:shd w:val="clear" w:color="auto" w:fill="auto"/>
                  <w:vAlign w:val="center"/>
                </w:tcPr>
                <w:p w14:paraId="10DDAB83">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snapToGrid/>
                      <w:color w:val="auto"/>
                      <w:spacing w:val="0"/>
                      <w:kern w:val="0"/>
                      <w:position w:val="0"/>
                      <w:sz w:val="21"/>
                      <w:szCs w:val="21"/>
                      <w:vertAlign w:val="baseline"/>
                      <w:lang w:val="en-US" w:eastAsia="zh-CN"/>
                    </w:rPr>
                    <w:t>液氨储罐呼吸废气</w:t>
                  </w:r>
                </w:p>
              </w:tc>
              <w:tc>
                <w:tcPr>
                  <w:tcW w:w="880" w:type="pct"/>
                  <w:shd w:val="clear" w:color="auto" w:fill="auto"/>
                  <w:vAlign w:val="center"/>
                </w:tcPr>
                <w:p w14:paraId="30DC7957">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NH</w:t>
                  </w:r>
                  <w:r>
                    <w:rPr>
                      <w:rFonts w:hint="eastAsia" w:cs="Times New Roman"/>
                      <w:b w:val="0"/>
                      <w:bCs w:val="0"/>
                      <w:color w:val="auto"/>
                      <w:kern w:val="0"/>
                      <w:sz w:val="21"/>
                      <w:szCs w:val="21"/>
                      <w:highlight w:val="none"/>
                      <w:vertAlign w:val="subscript"/>
                      <w:lang w:val="en-US" w:eastAsia="zh-CN" w:bidi="ar-SA"/>
                    </w:rPr>
                    <w:t>3</w:t>
                  </w:r>
                </w:p>
              </w:tc>
              <w:tc>
                <w:tcPr>
                  <w:tcW w:w="443" w:type="pct"/>
                  <w:shd w:val="clear" w:color="auto" w:fill="auto"/>
                  <w:vAlign w:val="center"/>
                </w:tcPr>
                <w:p w14:paraId="20533008">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w:t>
                  </w:r>
                </w:p>
              </w:tc>
              <w:tc>
                <w:tcPr>
                  <w:tcW w:w="1715" w:type="pct"/>
                  <w:vMerge w:val="continue"/>
                  <w:shd w:val="clear" w:color="auto" w:fill="auto"/>
                  <w:vAlign w:val="center"/>
                </w:tcPr>
                <w:p w14:paraId="3D5D6DF5">
                  <w:pPr>
                    <w:pStyle w:val="38"/>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p>
              </w:tc>
            </w:tr>
            <w:tr w14:paraId="67F7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pct"/>
                  <w:shd w:val="clear" w:color="auto" w:fill="auto"/>
                  <w:vAlign w:val="center"/>
                </w:tcPr>
                <w:p w14:paraId="3C0FDCF9">
                  <w:pPr>
                    <w:pStyle w:val="27"/>
                    <w:keepNext w:val="0"/>
                    <w:keepLines w:val="0"/>
                    <w:pageBreakBefore w:val="0"/>
                    <w:numPr>
                      <w:ilvl w:val="1"/>
                      <w:numId w:val="0"/>
                    </w:numPr>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1154" w:type="pct"/>
                  <w:shd w:val="clear" w:color="auto" w:fill="auto"/>
                  <w:vAlign w:val="center"/>
                </w:tcPr>
                <w:p w14:paraId="00FDFB89">
                  <w:pPr>
                    <w:keepNext w:val="0"/>
                    <w:keepLines w:val="0"/>
                    <w:pageBreakBefore w:val="0"/>
                    <w:kinsoku/>
                    <w:wordWrap/>
                    <w:overflowPunct/>
                    <w:topLinePunct w:val="0"/>
                    <w:bidi w:val="0"/>
                    <w:adjustRightInd w:val="0"/>
                    <w:snapToGrid w:val="0"/>
                    <w:spacing w:line="240" w:lineRule="auto"/>
                    <w:ind w:left="0" w:firstLine="0" w:firstLineChars="0"/>
                    <w:jc w:val="center"/>
                    <w:rPr>
                      <w:rFonts w:hint="eastAsia" w:ascii="Times New Roman" w:hAnsi="Times New Roman" w:eastAsia="宋体" w:cs="Times New Roman"/>
                      <w:color w:val="auto"/>
                      <w:kern w:val="0"/>
                      <w:sz w:val="21"/>
                      <w:szCs w:val="21"/>
                      <w:highlight w:val="none"/>
                      <w:lang w:eastAsia="zh-CN"/>
                    </w:rPr>
                  </w:pPr>
                  <w:r>
                    <w:rPr>
                      <w:rFonts w:hint="eastAsia" w:ascii="Times New Roman" w:hAnsi="Times New Roman" w:eastAsia="宋体" w:cs="Times New Roman"/>
                      <w:color w:val="auto"/>
                      <w:kern w:val="0"/>
                      <w:sz w:val="21"/>
                      <w:szCs w:val="21"/>
                      <w:highlight w:val="none"/>
                      <w:lang w:val="en-US" w:eastAsia="zh-CN"/>
                    </w:rPr>
                    <w:t>废水排放量</w:t>
                  </w:r>
                </w:p>
              </w:tc>
              <w:tc>
                <w:tcPr>
                  <w:tcW w:w="1324" w:type="pct"/>
                  <w:gridSpan w:val="2"/>
                  <w:shd w:val="clear" w:color="auto" w:fill="auto"/>
                  <w:vAlign w:val="center"/>
                </w:tcPr>
                <w:p w14:paraId="60431922">
                  <w:pPr>
                    <w:keepNext w:val="0"/>
                    <w:keepLines w:val="0"/>
                    <w:pageBreakBefore w:val="0"/>
                    <w:kinsoku/>
                    <w:wordWrap/>
                    <w:overflowPunct/>
                    <w:topLinePunct w:val="0"/>
                    <w:bidi w:val="0"/>
                    <w:adjustRightInd w:val="0"/>
                    <w:snapToGrid w:val="0"/>
                    <w:spacing w:line="240" w:lineRule="auto"/>
                    <w:ind w:left="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1715" w:type="pct"/>
                  <w:shd w:val="clear" w:color="auto" w:fill="auto"/>
                  <w:vAlign w:val="center"/>
                </w:tcPr>
                <w:p w14:paraId="186A5310">
                  <w:pPr>
                    <w:keepNext w:val="0"/>
                    <w:keepLines w:val="0"/>
                    <w:pageBreakBefore w:val="0"/>
                    <w:kinsoku/>
                    <w:wordWrap/>
                    <w:overflowPunct/>
                    <w:topLinePunct w:val="0"/>
                    <w:bidi w:val="0"/>
                    <w:adjustRightInd w:val="0"/>
                    <w:snapToGrid w:val="0"/>
                    <w:spacing w:line="240" w:lineRule="auto"/>
                    <w:ind w:lef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排水实行雨污分流制：雨水经厂区雨水管网排入市政雨水管网；</w:t>
                  </w:r>
                  <w:r>
                    <w:rPr>
                      <w:rFonts w:hint="default" w:ascii="Times New Roman" w:hAnsi="Times New Roman" w:eastAsia="宋体" w:cs="Times New Roman"/>
                      <w:color w:val="auto"/>
                      <w:sz w:val="21"/>
                      <w:szCs w:val="21"/>
                      <w:highlight w:val="none"/>
                      <w:lang w:val="en-US" w:eastAsia="zh-CN"/>
                    </w:rPr>
                    <w:t>无生产废水排放，冷却水循环使用，不外排至环境水体中，只需定期补充损耗即可，生活污水经化粪池处理，定期清掏用作厂区周围农田施肥，不外排。</w:t>
                  </w:r>
                </w:p>
              </w:tc>
            </w:tr>
            <w:tr w14:paraId="546E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pct"/>
                  <w:shd w:val="clear" w:color="auto" w:fill="auto"/>
                  <w:vAlign w:val="center"/>
                </w:tcPr>
                <w:p w14:paraId="469D8F0C">
                  <w:pPr>
                    <w:pStyle w:val="27"/>
                    <w:keepNext w:val="0"/>
                    <w:keepLines w:val="0"/>
                    <w:pageBreakBefore w:val="0"/>
                    <w:numPr>
                      <w:ilvl w:val="1"/>
                      <w:numId w:val="0"/>
                    </w:numPr>
                    <w:kinsoku/>
                    <w:wordWrap/>
                    <w:overflowPunct/>
                    <w:topLinePunct w:val="0"/>
                    <w:bidi w:val="0"/>
                    <w:snapToGrid w:val="0"/>
                    <w:spacing w:line="240" w:lineRule="auto"/>
                    <w:ind w:left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噪声</w:t>
                  </w:r>
                </w:p>
              </w:tc>
              <w:tc>
                <w:tcPr>
                  <w:tcW w:w="1154" w:type="pct"/>
                  <w:shd w:val="clear" w:color="auto" w:fill="auto"/>
                  <w:vAlign w:val="center"/>
                </w:tcPr>
                <w:p w14:paraId="01852C9F">
                  <w:pPr>
                    <w:keepNext w:val="0"/>
                    <w:keepLines w:val="0"/>
                    <w:pageBreakBefore w:val="0"/>
                    <w:kinsoku/>
                    <w:wordWrap/>
                    <w:overflowPunct/>
                    <w:topLinePunct w:val="0"/>
                    <w:bidi w:val="0"/>
                    <w:adjustRightInd w:val="0"/>
                    <w:snapToGrid w:val="0"/>
                    <w:spacing w:line="240" w:lineRule="auto"/>
                    <w:ind w:left="0" w:firstLine="0" w:firstLineChars="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w:t>
                  </w:r>
                </w:p>
              </w:tc>
              <w:tc>
                <w:tcPr>
                  <w:tcW w:w="1324" w:type="pct"/>
                  <w:gridSpan w:val="2"/>
                  <w:shd w:val="clear" w:color="auto" w:fill="auto"/>
                  <w:vAlign w:val="center"/>
                </w:tcPr>
                <w:p w14:paraId="6A0DC643">
                  <w:pPr>
                    <w:keepNext w:val="0"/>
                    <w:keepLines w:val="0"/>
                    <w:pageBreakBefore w:val="0"/>
                    <w:kinsoku/>
                    <w:wordWrap/>
                    <w:overflowPunct/>
                    <w:topLinePunct w:val="0"/>
                    <w:bidi w:val="0"/>
                    <w:adjustRightInd w:val="0"/>
                    <w:snapToGrid w:val="0"/>
                    <w:spacing w:line="240" w:lineRule="auto"/>
                    <w:ind w:left="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1715" w:type="pct"/>
                  <w:shd w:val="clear" w:color="auto" w:fill="auto"/>
                  <w:vAlign w:val="center"/>
                </w:tcPr>
                <w:p w14:paraId="66C65F15">
                  <w:pPr>
                    <w:keepNext w:val="0"/>
                    <w:keepLines w:val="0"/>
                    <w:pageBreakBefore w:val="0"/>
                    <w:kinsoku/>
                    <w:wordWrap/>
                    <w:overflowPunct/>
                    <w:topLinePunct w:val="0"/>
                    <w:bidi w:val="0"/>
                    <w:adjustRightInd w:val="0"/>
                    <w:snapToGrid w:val="0"/>
                    <w:spacing w:line="240" w:lineRule="auto"/>
                    <w:ind w:lef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厂房隔声和距离减震降噪</w:t>
                  </w:r>
                  <w:r>
                    <w:rPr>
                      <w:rFonts w:hint="eastAsia" w:cs="Times New Roman"/>
                      <w:color w:val="auto"/>
                      <w:sz w:val="21"/>
                      <w:szCs w:val="21"/>
                      <w:highlight w:val="none"/>
                      <w:lang w:val="en-US" w:eastAsia="zh-CN"/>
                    </w:rPr>
                    <w:t>等</w:t>
                  </w:r>
                  <w:r>
                    <w:rPr>
                      <w:rFonts w:hint="default" w:ascii="Times New Roman" w:hAnsi="Times New Roman" w:eastAsia="宋体" w:cs="Times New Roman"/>
                      <w:color w:val="auto"/>
                      <w:sz w:val="21"/>
                      <w:szCs w:val="21"/>
                      <w:highlight w:val="none"/>
                      <w:lang w:val="en-US" w:eastAsia="zh-CN"/>
                    </w:rPr>
                    <w:t>措施</w:t>
                  </w:r>
                </w:p>
              </w:tc>
            </w:tr>
            <w:tr w14:paraId="0D8A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pct"/>
                  <w:vMerge w:val="restart"/>
                  <w:shd w:val="clear" w:color="auto" w:fill="auto"/>
                  <w:vAlign w:val="center"/>
                </w:tcPr>
                <w:p w14:paraId="3C0B3C30">
                  <w:pPr>
                    <w:pStyle w:val="27"/>
                    <w:keepNext w:val="0"/>
                    <w:keepLines w:val="0"/>
                    <w:pageBreakBefore w:val="0"/>
                    <w:numPr>
                      <w:ilvl w:val="1"/>
                      <w:numId w:val="0"/>
                    </w:numPr>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w:t>
                  </w:r>
                </w:p>
              </w:tc>
              <w:tc>
                <w:tcPr>
                  <w:tcW w:w="1154" w:type="pct"/>
                  <w:shd w:val="clear" w:color="auto" w:fill="auto"/>
                  <w:vAlign w:val="center"/>
                </w:tcPr>
                <w:p w14:paraId="320389D6">
                  <w:pPr>
                    <w:keepNext w:val="0"/>
                    <w:keepLines w:val="0"/>
                    <w:pageBreakBefore w:val="0"/>
                    <w:widowControl/>
                    <w:suppressLineNumbers w:val="0"/>
                    <w:kinsoku/>
                    <w:wordWrap/>
                    <w:overflowPunct/>
                    <w:autoSpaceDE/>
                    <w:autoSpaceDN/>
                    <w:bidi w:val="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生活垃圾</w:t>
                  </w:r>
                </w:p>
              </w:tc>
              <w:tc>
                <w:tcPr>
                  <w:tcW w:w="1324" w:type="pct"/>
                  <w:gridSpan w:val="2"/>
                  <w:shd w:val="clear" w:color="auto" w:fill="auto"/>
                  <w:vAlign w:val="center"/>
                </w:tcPr>
                <w:p w14:paraId="059CDCB6">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en-US"/>
                    </w:rPr>
                  </w:pPr>
                  <w:r>
                    <w:rPr>
                      <w:rFonts w:hint="eastAsia" w:ascii="Times New Roman" w:hAnsi="Times New Roman" w:cs="Times New Roman"/>
                      <w:b w:val="0"/>
                      <w:bCs/>
                      <w:color w:val="auto"/>
                      <w:kern w:val="2"/>
                      <w:sz w:val="21"/>
                      <w:szCs w:val="21"/>
                      <w:vertAlign w:val="baseline"/>
                      <w:lang w:val="en-US" w:eastAsia="zh-CN" w:bidi="ar-SA"/>
                    </w:rPr>
                    <w:t>12.75</w:t>
                  </w:r>
                </w:p>
              </w:tc>
              <w:tc>
                <w:tcPr>
                  <w:tcW w:w="1715" w:type="pct"/>
                  <w:shd w:val="clear" w:color="auto" w:fill="auto"/>
                  <w:vAlign w:val="center"/>
                </w:tcPr>
                <w:p w14:paraId="763E0499">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Calibri" w:hAnsi="Calibri" w:eastAsia="宋体" w:cs="Times New Roman"/>
                      <w:snapToGrid/>
                      <w:color w:val="auto"/>
                      <w:spacing w:val="0"/>
                      <w:kern w:val="0"/>
                      <w:position w:val="0"/>
                      <w:sz w:val="21"/>
                      <w:szCs w:val="21"/>
                      <w:lang w:val="en-US" w:eastAsia="zh-CN" w:bidi="en-US"/>
                    </w:rPr>
                  </w:pPr>
                  <w:r>
                    <w:rPr>
                      <w:rFonts w:hint="default" w:ascii="Times New Roman" w:hAnsi="Times New Roman" w:eastAsia="宋体" w:cs="Times New Roman"/>
                      <w:color w:val="auto"/>
                      <w:kern w:val="0"/>
                      <w:sz w:val="21"/>
                      <w:szCs w:val="21"/>
                      <w:lang w:val="en-US" w:eastAsia="zh-CN" w:bidi="ar"/>
                    </w:rPr>
                    <w:t>经收集后</w:t>
                  </w:r>
                  <w:r>
                    <w:rPr>
                      <w:rFonts w:hint="eastAsia" w:ascii="Times New Roman" w:hAnsi="Times New Roman" w:eastAsia="宋体" w:cs="Times New Roman"/>
                      <w:color w:val="auto"/>
                      <w:kern w:val="0"/>
                      <w:sz w:val="21"/>
                      <w:szCs w:val="21"/>
                      <w:lang w:val="en-US" w:eastAsia="zh-CN" w:bidi="ar"/>
                    </w:rPr>
                    <w:t>由环卫部门处理</w:t>
                  </w:r>
                </w:p>
              </w:tc>
            </w:tr>
            <w:tr w14:paraId="3DF4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pct"/>
                  <w:vMerge w:val="continue"/>
                  <w:shd w:val="clear" w:color="auto" w:fill="auto"/>
                  <w:vAlign w:val="center"/>
                </w:tcPr>
                <w:p w14:paraId="643C7E12">
                  <w:pPr>
                    <w:pStyle w:val="27"/>
                    <w:keepNext w:val="0"/>
                    <w:keepLines w:val="0"/>
                    <w:pageBreakBefore w:val="0"/>
                    <w:numPr>
                      <w:ilvl w:val="1"/>
                      <w:numId w:val="0"/>
                    </w:numPr>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rPr>
                  </w:pPr>
                </w:p>
              </w:tc>
              <w:tc>
                <w:tcPr>
                  <w:tcW w:w="1154" w:type="pct"/>
                  <w:shd w:val="clear" w:color="auto" w:fill="auto"/>
                  <w:vAlign w:val="center"/>
                </w:tcPr>
                <w:p w14:paraId="09EF68BB">
                  <w:pPr>
                    <w:keepNext w:val="0"/>
                    <w:keepLines w:val="0"/>
                    <w:pageBreakBefore w:val="0"/>
                    <w:widowControl/>
                    <w:suppressLineNumbers w:val="0"/>
                    <w:kinsoku/>
                    <w:wordWrap/>
                    <w:overflowPunct/>
                    <w:autoSpaceDE/>
                    <w:autoSpaceDN/>
                    <w:bidi w:val="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废包装袋</w:t>
                  </w:r>
                </w:p>
              </w:tc>
              <w:tc>
                <w:tcPr>
                  <w:tcW w:w="1324" w:type="pct"/>
                  <w:gridSpan w:val="2"/>
                  <w:shd w:val="clear" w:color="auto" w:fill="auto"/>
                  <w:vAlign w:val="center"/>
                </w:tcPr>
                <w:p w14:paraId="0F24EBFF">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kern w:val="2"/>
                      <w:sz w:val="21"/>
                      <w:szCs w:val="21"/>
                      <w:vertAlign w:val="baseline"/>
                      <w:lang w:val="en-US" w:eastAsia="zh-CN" w:bidi="ar-SA"/>
                    </w:rPr>
                    <w:t>0.02</w:t>
                  </w:r>
                </w:p>
              </w:tc>
              <w:tc>
                <w:tcPr>
                  <w:tcW w:w="1715" w:type="pct"/>
                  <w:shd w:val="clear" w:color="auto" w:fill="auto"/>
                  <w:vAlign w:val="center"/>
                </w:tcPr>
                <w:p w14:paraId="3CF34E13">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b w:val="0"/>
                      <w:bCs w:val="0"/>
                      <w:snapToGrid/>
                      <w:color w:val="auto"/>
                      <w:spacing w:val="0"/>
                      <w:kern w:val="0"/>
                      <w:position w:val="0"/>
                      <w:sz w:val="21"/>
                      <w:szCs w:val="21"/>
                      <w:highlight w:val="none"/>
                      <w:vertAlign w:val="baseline"/>
                      <w:lang w:val="en-US" w:eastAsia="zh-CN" w:bidi="ar-SA"/>
                    </w:rPr>
                    <w:t>统一收集后由资源利用单位回收利用</w:t>
                  </w:r>
                </w:p>
              </w:tc>
            </w:tr>
            <w:tr w14:paraId="7100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pct"/>
                  <w:vMerge w:val="continue"/>
                  <w:shd w:val="clear" w:color="auto" w:fill="auto"/>
                  <w:vAlign w:val="center"/>
                </w:tcPr>
                <w:p w14:paraId="20AF6F99">
                  <w:pPr>
                    <w:pStyle w:val="27"/>
                    <w:keepNext w:val="0"/>
                    <w:keepLines w:val="0"/>
                    <w:pageBreakBefore w:val="0"/>
                    <w:numPr>
                      <w:ilvl w:val="1"/>
                      <w:numId w:val="0"/>
                    </w:numPr>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rPr>
                  </w:pPr>
                </w:p>
              </w:tc>
              <w:tc>
                <w:tcPr>
                  <w:tcW w:w="1154" w:type="pct"/>
                  <w:shd w:val="clear" w:color="auto" w:fill="auto"/>
                  <w:vAlign w:val="center"/>
                </w:tcPr>
                <w:p w14:paraId="20B69B20">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b w:val="0"/>
                      <w:bCs w:val="0"/>
                      <w:color w:val="auto"/>
                      <w:sz w:val="21"/>
                      <w:szCs w:val="21"/>
                      <w:highlight w:val="none"/>
                      <w:vertAlign w:val="baseline"/>
                      <w:lang w:val="en-US" w:eastAsia="zh-CN"/>
                    </w:rPr>
                    <w:t>回收粘结剂</w:t>
                  </w:r>
                </w:p>
              </w:tc>
              <w:tc>
                <w:tcPr>
                  <w:tcW w:w="1324" w:type="pct"/>
                  <w:gridSpan w:val="2"/>
                  <w:shd w:val="clear" w:color="auto" w:fill="auto"/>
                  <w:vAlign w:val="center"/>
                </w:tcPr>
                <w:p w14:paraId="17B727F9">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kern w:val="2"/>
                      <w:sz w:val="21"/>
                      <w:szCs w:val="21"/>
                      <w:vertAlign w:val="baseline"/>
                      <w:lang w:val="en-US" w:eastAsia="zh-CN" w:bidi="ar-SA"/>
                    </w:rPr>
                    <w:t>0.06</w:t>
                  </w:r>
                </w:p>
              </w:tc>
              <w:tc>
                <w:tcPr>
                  <w:tcW w:w="1715" w:type="pct"/>
                  <w:shd w:val="clear" w:color="auto" w:fill="auto"/>
                  <w:vAlign w:val="center"/>
                </w:tcPr>
                <w:p w14:paraId="176F3FA2">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vertAlign w:val="baseline"/>
                      <w:lang w:val="en-US" w:eastAsia="zh-CN" w:bidi="ar-SA"/>
                    </w:rPr>
                  </w:pPr>
                  <w:r>
                    <w:rPr>
                      <w:rFonts w:hint="default" w:ascii="Times New Roman" w:hAnsi="Times New Roman" w:eastAsia="宋体" w:cs="Times New Roman"/>
                      <w:b w:val="0"/>
                      <w:bCs w:val="0"/>
                      <w:snapToGrid/>
                      <w:color w:val="auto"/>
                      <w:spacing w:val="0"/>
                      <w:kern w:val="0"/>
                      <w:position w:val="0"/>
                      <w:sz w:val="21"/>
                      <w:szCs w:val="21"/>
                      <w:highlight w:val="none"/>
                      <w:vertAlign w:val="baseline"/>
                      <w:lang w:val="en-US" w:eastAsia="zh-CN" w:bidi="ar-SA"/>
                    </w:rPr>
                    <w:t>统一收集后由资源利用单位回收利用</w:t>
                  </w:r>
                </w:p>
              </w:tc>
            </w:tr>
            <w:tr w14:paraId="2A84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pct"/>
                  <w:vMerge w:val="continue"/>
                  <w:shd w:val="clear" w:color="auto" w:fill="auto"/>
                  <w:vAlign w:val="center"/>
                </w:tcPr>
                <w:p w14:paraId="3212E051">
                  <w:pPr>
                    <w:pStyle w:val="27"/>
                    <w:keepNext w:val="0"/>
                    <w:keepLines w:val="0"/>
                    <w:pageBreakBefore w:val="0"/>
                    <w:numPr>
                      <w:ilvl w:val="1"/>
                      <w:numId w:val="0"/>
                    </w:numPr>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rPr>
                  </w:pPr>
                </w:p>
              </w:tc>
              <w:tc>
                <w:tcPr>
                  <w:tcW w:w="1154" w:type="pct"/>
                  <w:shd w:val="clear" w:color="auto" w:fill="auto"/>
                  <w:vAlign w:val="center"/>
                </w:tcPr>
                <w:p w14:paraId="36809E73">
                  <w:pPr>
                    <w:keepNext w:val="0"/>
                    <w:keepLines w:val="0"/>
                    <w:pageBreakBefore w:val="0"/>
                    <w:widowControl/>
                    <w:suppressLineNumbers w:val="0"/>
                    <w:kinsoku/>
                    <w:wordWrap/>
                    <w:overflowPunct/>
                    <w:autoSpaceDE/>
                    <w:autoSpaceDN/>
                    <w:bidi w:val="0"/>
                    <w:jc w:val="center"/>
                    <w:textAlignment w:val="auto"/>
                    <w:rPr>
                      <w:rFonts w:hint="eastAsia"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边角料</w:t>
                  </w:r>
                </w:p>
              </w:tc>
              <w:tc>
                <w:tcPr>
                  <w:tcW w:w="1324" w:type="pct"/>
                  <w:gridSpan w:val="2"/>
                  <w:shd w:val="clear" w:color="auto" w:fill="auto"/>
                  <w:vAlign w:val="center"/>
                </w:tcPr>
                <w:p w14:paraId="5F4F1DAF">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kern w:val="2"/>
                      <w:sz w:val="21"/>
                      <w:szCs w:val="21"/>
                      <w:vertAlign w:val="baseline"/>
                      <w:lang w:val="en-US" w:eastAsia="zh-CN" w:bidi="ar-SA"/>
                    </w:rPr>
                    <w:t>0.1</w:t>
                  </w:r>
                </w:p>
              </w:tc>
              <w:tc>
                <w:tcPr>
                  <w:tcW w:w="1715" w:type="pct"/>
                  <w:shd w:val="clear" w:color="auto" w:fill="auto"/>
                  <w:vAlign w:val="center"/>
                </w:tcPr>
                <w:p w14:paraId="51D03B9A">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vertAlign w:val="baseline"/>
                      <w:lang w:val="en-US" w:eastAsia="zh-CN" w:bidi="ar-SA"/>
                    </w:rPr>
                  </w:pPr>
                  <w:r>
                    <w:rPr>
                      <w:rFonts w:hint="default" w:ascii="Times New Roman" w:hAnsi="Times New Roman" w:eastAsia="宋体" w:cs="Times New Roman"/>
                      <w:b w:val="0"/>
                      <w:bCs w:val="0"/>
                      <w:snapToGrid/>
                      <w:color w:val="auto"/>
                      <w:spacing w:val="0"/>
                      <w:kern w:val="0"/>
                      <w:position w:val="0"/>
                      <w:sz w:val="21"/>
                      <w:szCs w:val="21"/>
                      <w:highlight w:val="none"/>
                      <w:vertAlign w:val="baseline"/>
                      <w:lang w:val="en-US" w:eastAsia="zh-CN" w:bidi="ar-SA"/>
                    </w:rPr>
                    <w:t>统一收集后由资源利用单位回收利用</w:t>
                  </w:r>
                </w:p>
              </w:tc>
            </w:tr>
            <w:tr w14:paraId="6F39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pct"/>
                  <w:vMerge w:val="continue"/>
                  <w:shd w:val="clear" w:color="auto" w:fill="auto"/>
                  <w:vAlign w:val="center"/>
                </w:tcPr>
                <w:p w14:paraId="44AF21A7">
                  <w:pPr>
                    <w:pStyle w:val="27"/>
                    <w:keepNext w:val="0"/>
                    <w:keepLines w:val="0"/>
                    <w:pageBreakBefore w:val="0"/>
                    <w:numPr>
                      <w:ilvl w:val="1"/>
                      <w:numId w:val="0"/>
                    </w:numPr>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rPr>
                  </w:pPr>
                </w:p>
              </w:tc>
              <w:tc>
                <w:tcPr>
                  <w:tcW w:w="1154" w:type="pct"/>
                  <w:shd w:val="clear" w:color="auto" w:fill="auto"/>
                  <w:vAlign w:val="center"/>
                </w:tcPr>
                <w:p w14:paraId="7DF6D0A7">
                  <w:pPr>
                    <w:pStyle w:val="47"/>
                    <w:keepNext w:val="0"/>
                    <w:keepLines w:val="0"/>
                    <w:pageBreakBefore w:val="0"/>
                    <w:kinsoku/>
                    <w:wordWrap/>
                    <w:overflowPunct/>
                    <w:autoSpaceDE/>
                    <w:autoSpaceDN/>
                    <w:bidi w:val="0"/>
                    <w:spacing w:line="240" w:lineRule="auto"/>
                    <w:ind w:left="0" w:leftChars="0"/>
                    <w:jc w:val="center"/>
                    <w:textAlignment w:val="auto"/>
                    <w:rPr>
                      <w:rFonts w:hint="eastAsia"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color w:val="auto"/>
                      <w:spacing w:val="8"/>
                      <w:sz w:val="21"/>
                      <w:szCs w:val="21"/>
                      <w:highlight w:val="none"/>
                    </w:rPr>
                    <w:t>废包装材料</w:t>
                  </w:r>
                </w:p>
              </w:tc>
              <w:tc>
                <w:tcPr>
                  <w:tcW w:w="1324" w:type="pct"/>
                  <w:gridSpan w:val="2"/>
                  <w:shd w:val="clear" w:color="auto" w:fill="auto"/>
                  <w:vAlign w:val="center"/>
                </w:tcPr>
                <w:p w14:paraId="45D6B038">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en-US"/>
                    </w:rPr>
                  </w:pPr>
                  <w:r>
                    <w:rPr>
                      <w:rFonts w:hint="eastAsia" w:ascii="Times New Roman" w:hAnsi="Times New Roman" w:cs="Times New Roman"/>
                      <w:b w:val="0"/>
                      <w:bCs/>
                      <w:color w:val="auto"/>
                      <w:kern w:val="2"/>
                      <w:sz w:val="21"/>
                      <w:szCs w:val="21"/>
                      <w:vertAlign w:val="baseline"/>
                      <w:lang w:val="en-US" w:eastAsia="zh-CN" w:bidi="ar-SA"/>
                    </w:rPr>
                    <w:t>0.01</w:t>
                  </w:r>
                </w:p>
              </w:tc>
              <w:tc>
                <w:tcPr>
                  <w:tcW w:w="1715" w:type="pct"/>
                  <w:shd w:val="clear" w:color="auto" w:fill="auto"/>
                  <w:vAlign w:val="center"/>
                </w:tcPr>
                <w:p w14:paraId="63E2A97C">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vertAlign w:val="baseline"/>
                      <w:lang w:val="en-US" w:eastAsia="zh-CN" w:bidi="ar-SA"/>
                    </w:rPr>
                  </w:pPr>
                  <w:r>
                    <w:rPr>
                      <w:rFonts w:hint="default" w:ascii="Times New Roman" w:hAnsi="Times New Roman" w:eastAsia="宋体" w:cs="Times New Roman"/>
                      <w:b w:val="0"/>
                      <w:bCs w:val="0"/>
                      <w:snapToGrid/>
                      <w:color w:val="auto"/>
                      <w:spacing w:val="0"/>
                      <w:kern w:val="0"/>
                      <w:position w:val="0"/>
                      <w:sz w:val="21"/>
                      <w:szCs w:val="21"/>
                      <w:highlight w:val="none"/>
                      <w:vertAlign w:val="baseline"/>
                      <w:lang w:val="en-US" w:eastAsia="zh-CN" w:bidi="ar-SA"/>
                    </w:rPr>
                    <w:t>统一收集后由资源利用单位回收利用</w:t>
                  </w:r>
                </w:p>
              </w:tc>
            </w:tr>
            <w:tr w14:paraId="5EA4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pct"/>
                  <w:vMerge w:val="continue"/>
                  <w:shd w:val="clear" w:color="auto" w:fill="auto"/>
                  <w:vAlign w:val="center"/>
                </w:tcPr>
                <w:p w14:paraId="2DB52F47">
                  <w:pPr>
                    <w:pStyle w:val="27"/>
                    <w:keepNext w:val="0"/>
                    <w:keepLines w:val="0"/>
                    <w:pageBreakBefore w:val="0"/>
                    <w:kinsoku/>
                    <w:wordWrap/>
                    <w:overflowPunct/>
                    <w:topLinePunct w:val="0"/>
                    <w:bidi w:val="0"/>
                    <w:snapToGrid w:val="0"/>
                    <w:spacing w:line="240" w:lineRule="auto"/>
                    <w:ind w:left="0" w:firstLine="0" w:firstLineChars="0"/>
                    <w:jc w:val="center"/>
                    <w:rPr>
                      <w:rFonts w:hint="default" w:ascii="Times New Roman" w:hAnsi="Times New Roman" w:eastAsia="宋体" w:cs="Times New Roman"/>
                      <w:color w:val="auto"/>
                      <w:sz w:val="21"/>
                      <w:szCs w:val="21"/>
                      <w:highlight w:val="none"/>
                    </w:rPr>
                  </w:pPr>
                </w:p>
              </w:tc>
              <w:tc>
                <w:tcPr>
                  <w:tcW w:w="1154" w:type="pct"/>
                  <w:shd w:val="clear" w:color="auto" w:fill="auto"/>
                  <w:vAlign w:val="center"/>
                </w:tcPr>
                <w:p w14:paraId="3BA2A16A">
                  <w:pPr>
                    <w:pStyle w:val="47"/>
                    <w:keepNext w:val="0"/>
                    <w:keepLines w:val="0"/>
                    <w:pageBreakBefore w:val="0"/>
                    <w:kinsoku/>
                    <w:wordWrap/>
                    <w:overflowPunct/>
                    <w:autoSpaceDE/>
                    <w:autoSpaceDN/>
                    <w:bidi w:val="0"/>
                    <w:spacing w:line="240" w:lineRule="auto"/>
                    <w:ind w:left="0" w:left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ascii="Times New Roman" w:hAnsi="Times New Roman" w:cs="Times New Roman"/>
                      <w:b w:val="0"/>
                      <w:bCs w:val="0"/>
                      <w:color w:val="auto"/>
                      <w:sz w:val="21"/>
                      <w:szCs w:val="21"/>
                      <w:highlight w:val="none"/>
                      <w:vertAlign w:val="baseline"/>
                      <w:lang w:val="en-US" w:eastAsia="zh-CN"/>
                    </w:rPr>
                    <w:t>除尘器收集颗粒物</w:t>
                  </w:r>
                </w:p>
              </w:tc>
              <w:tc>
                <w:tcPr>
                  <w:tcW w:w="1324" w:type="pct"/>
                  <w:gridSpan w:val="2"/>
                  <w:shd w:val="clear" w:color="auto" w:fill="auto"/>
                  <w:vAlign w:val="center"/>
                </w:tcPr>
                <w:p w14:paraId="29E74125">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rPr>
                  </w:pPr>
                  <w:r>
                    <w:rPr>
                      <w:rFonts w:hint="eastAsia" w:ascii="Times New Roman" w:hAnsi="Times New Roman" w:cs="Times New Roman"/>
                      <w:b w:val="0"/>
                      <w:bCs/>
                      <w:color w:val="auto"/>
                      <w:kern w:val="2"/>
                      <w:sz w:val="21"/>
                      <w:szCs w:val="21"/>
                      <w:vertAlign w:val="baseline"/>
                      <w:lang w:val="en-US" w:eastAsia="zh-CN" w:bidi="ar-SA"/>
                    </w:rPr>
                    <w:t>0.562</w:t>
                  </w:r>
                </w:p>
              </w:tc>
              <w:tc>
                <w:tcPr>
                  <w:tcW w:w="1715" w:type="pct"/>
                  <w:shd w:val="clear" w:color="auto" w:fill="auto"/>
                  <w:vAlign w:val="center"/>
                </w:tcPr>
                <w:p w14:paraId="3392B4B7">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统一收集后</w:t>
                  </w:r>
                  <w:r>
                    <w:rPr>
                      <w:rFonts w:hint="eastAsia" w:ascii="Times New Roman" w:hAnsi="Times New Roman" w:cs="Times New Roman"/>
                      <w:b w:val="0"/>
                      <w:bCs w:val="0"/>
                      <w:color w:val="auto"/>
                      <w:kern w:val="2"/>
                      <w:sz w:val="21"/>
                      <w:szCs w:val="21"/>
                      <w:highlight w:val="none"/>
                      <w:vertAlign w:val="baseline"/>
                      <w:lang w:val="en-US" w:eastAsia="zh-CN" w:bidi="ar-SA"/>
                    </w:rPr>
                    <w:t>回用于生产</w:t>
                  </w:r>
                </w:p>
              </w:tc>
            </w:tr>
            <w:tr w14:paraId="7728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pct"/>
                  <w:vMerge w:val="continue"/>
                  <w:shd w:val="clear" w:color="auto" w:fill="auto"/>
                  <w:vAlign w:val="center"/>
                </w:tcPr>
                <w:p w14:paraId="53F417B6">
                  <w:pPr>
                    <w:pStyle w:val="27"/>
                    <w:keepNext w:val="0"/>
                    <w:keepLines w:val="0"/>
                    <w:pageBreakBefore w:val="0"/>
                    <w:kinsoku/>
                    <w:wordWrap/>
                    <w:overflowPunct/>
                    <w:topLinePunct w:val="0"/>
                    <w:bidi w:val="0"/>
                    <w:snapToGrid w:val="0"/>
                    <w:spacing w:line="240" w:lineRule="auto"/>
                    <w:ind w:left="0" w:firstLine="0" w:firstLineChars="0"/>
                    <w:jc w:val="center"/>
                    <w:rPr>
                      <w:rFonts w:hint="default" w:ascii="Times New Roman" w:hAnsi="Times New Roman" w:eastAsia="宋体" w:cs="Times New Roman"/>
                      <w:color w:val="auto"/>
                      <w:sz w:val="21"/>
                      <w:szCs w:val="21"/>
                      <w:highlight w:val="none"/>
                    </w:rPr>
                  </w:pPr>
                </w:p>
              </w:tc>
              <w:tc>
                <w:tcPr>
                  <w:tcW w:w="1154" w:type="pct"/>
                  <w:shd w:val="clear" w:color="auto" w:fill="auto"/>
                  <w:vAlign w:val="center"/>
                </w:tcPr>
                <w:p w14:paraId="561847E7">
                  <w:pPr>
                    <w:pStyle w:val="47"/>
                    <w:keepNext w:val="0"/>
                    <w:keepLines w:val="0"/>
                    <w:pageBreakBefore w:val="0"/>
                    <w:kinsoku/>
                    <w:wordWrap/>
                    <w:overflowPunct/>
                    <w:autoSpaceDE/>
                    <w:autoSpaceDN/>
                    <w:bidi w:val="0"/>
                    <w:spacing w:line="240" w:lineRule="auto"/>
                    <w:ind w:left="0" w:leftChars="0"/>
                    <w:jc w:val="center"/>
                    <w:textAlignment w:val="auto"/>
                    <w:rPr>
                      <w:rFonts w:hint="eastAsia"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废镍催化剂</w:t>
                  </w:r>
                </w:p>
              </w:tc>
              <w:tc>
                <w:tcPr>
                  <w:tcW w:w="1324" w:type="pct"/>
                  <w:gridSpan w:val="2"/>
                  <w:shd w:val="clear" w:color="auto" w:fill="auto"/>
                  <w:vAlign w:val="center"/>
                </w:tcPr>
                <w:p w14:paraId="4D736F28">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kern w:val="2"/>
                      <w:sz w:val="21"/>
                      <w:szCs w:val="21"/>
                      <w:vertAlign w:val="baseline"/>
                      <w:lang w:val="en-US" w:eastAsia="zh-CN" w:bidi="ar-SA"/>
                    </w:rPr>
                    <w:t>0.1</w:t>
                  </w:r>
                </w:p>
              </w:tc>
              <w:tc>
                <w:tcPr>
                  <w:tcW w:w="1715" w:type="pct"/>
                  <w:vMerge w:val="restart"/>
                  <w:shd w:val="clear" w:color="auto" w:fill="auto"/>
                  <w:vAlign w:val="center"/>
                </w:tcPr>
                <w:p w14:paraId="7A5E6A1E">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default" w:ascii="Times New Roman" w:hAnsi="Times New Roman" w:eastAsia="宋体" w:cs="Times New Roman"/>
                      <w:snapToGrid/>
                      <w:color w:val="auto"/>
                      <w:spacing w:val="0"/>
                      <w:kern w:val="0"/>
                      <w:position w:val="0"/>
                      <w:sz w:val="21"/>
                      <w:szCs w:val="21"/>
                      <w:highlight w:val="none"/>
                      <w:lang w:val="en-US" w:eastAsia="zh-CN" w:bidi="ar-SA"/>
                    </w:rPr>
                    <w:t>收集后交由</w:t>
                  </w:r>
                  <w:r>
                    <w:rPr>
                      <w:rFonts w:hint="eastAsia" w:ascii="Times New Roman" w:hAnsi="Times New Roman" w:cs="Times New Roman"/>
                      <w:snapToGrid/>
                      <w:color w:val="auto"/>
                      <w:spacing w:val="0"/>
                      <w:kern w:val="0"/>
                      <w:position w:val="0"/>
                      <w:sz w:val="21"/>
                      <w:szCs w:val="21"/>
                      <w:highlight w:val="none"/>
                      <w:lang w:val="en-US" w:eastAsia="zh-CN" w:bidi="ar-SA"/>
                    </w:rPr>
                    <w:t>有资质单位处置</w:t>
                  </w:r>
                </w:p>
              </w:tc>
            </w:tr>
            <w:tr w14:paraId="0E3F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pct"/>
                  <w:vMerge w:val="continue"/>
                  <w:shd w:val="clear" w:color="auto" w:fill="auto"/>
                  <w:vAlign w:val="center"/>
                </w:tcPr>
                <w:p w14:paraId="2FED9DAD">
                  <w:pPr>
                    <w:pStyle w:val="27"/>
                    <w:keepNext w:val="0"/>
                    <w:keepLines w:val="0"/>
                    <w:pageBreakBefore w:val="0"/>
                    <w:kinsoku/>
                    <w:wordWrap/>
                    <w:overflowPunct/>
                    <w:topLinePunct w:val="0"/>
                    <w:bidi w:val="0"/>
                    <w:snapToGrid w:val="0"/>
                    <w:spacing w:line="240" w:lineRule="auto"/>
                    <w:ind w:left="0" w:firstLine="0" w:firstLineChars="0"/>
                    <w:jc w:val="center"/>
                    <w:rPr>
                      <w:rFonts w:hint="default" w:ascii="Times New Roman" w:hAnsi="Times New Roman" w:eastAsia="宋体" w:cs="Times New Roman"/>
                      <w:color w:val="auto"/>
                      <w:sz w:val="21"/>
                      <w:szCs w:val="21"/>
                      <w:highlight w:val="none"/>
                    </w:rPr>
                  </w:pPr>
                </w:p>
              </w:tc>
              <w:tc>
                <w:tcPr>
                  <w:tcW w:w="1154" w:type="pct"/>
                  <w:shd w:val="clear" w:color="auto" w:fill="auto"/>
                  <w:vAlign w:val="center"/>
                </w:tcPr>
                <w:p w14:paraId="1D2682D0">
                  <w:pPr>
                    <w:pStyle w:val="47"/>
                    <w:keepNext w:val="0"/>
                    <w:keepLines w:val="0"/>
                    <w:pageBreakBefore w:val="0"/>
                    <w:kinsoku/>
                    <w:wordWrap/>
                    <w:overflowPunct/>
                    <w:autoSpaceDE/>
                    <w:autoSpaceDN/>
                    <w:bidi w:val="0"/>
                    <w:spacing w:line="240" w:lineRule="auto"/>
                    <w:ind w:left="0" w:left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废UV灯管</w:t>
                  </w:r>
                </w:p>
              </w:tc>
              <w:tc>
                <w:tcPr>
                  <w:tcW w:w="1324" w:type="pct"/>
                  <w:gridSpan w:val="2"/>
                  <w:shd w:val="clear" w:color="auto" w:fill="auto"/>
                  <w:vAlign w:val="center"/>
                </w:tcPr>
                <w:p w14:paraId="63C52C5B">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kern w:val="2"/>
                      <w:sz w:val="21"/>
                      <w:szCs w:val="21"/>
                      <w:vertAlign w:val="baseline"/>
                      <w:lang w:val="en-US" w:eastAsia="zh-CN" w:bidi="ar-SA"/>
                    </w:rPr>
                    <w:t>0.15</w:t>
                  </w:r>
                </w:p>
              </w:tc>
              <w:tc>
                <w:tcPr>
                  <w:tcW w:w="1715" w:type="pct"/>
                  <w:vMerge w:val="continue"/>
                  <w:shd w:val="clear" w:color="auto" w:fill="auto"/>
                  <w:vAlign w:val="center"/>
                </w:tcPr>
                <w:p w14:paraId="52A3E267">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p>
              </w:tc>
            </w:tr>
            <w:tr w14:paraId="7DFE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pct"/>
                  <w:vMerge w:val="continue"/>
                  <w:shd w:val="clear" w:color="auto" w:fill="auto"/>
                  <w:vAlign w:val="center"/>
                </w:tcPr>
                <w:p w14:paraId="5D00A5E7">
                  <w:pPr>
                    <w:pStyle w:val="27"/>
                    <w:keepNext w:val="0"/>
                    <w:keepLines w:val="0"/>
                    <w:pageBreakBefore w:val="0"/>
                    <w:numPr>
                      <w:ilvl w:val="1"/>
                      <w:numId w:val="0"/>
                    </w:numPr>
                    <w:kinsoku/>
                    <w:wordWrap/>
                    <w:overflowPunct/>
                    <w:topLinePunct w:val="0"/>
                    <w:bidi w:val="0"/>
                    <w:snapToGrid w:val="0"/>
                    <w:spacing w:line="240" w:lineRule="auto"/>
                    <w:ind w:left="0" w:firstLine="0" w:firstLineChars="0"/>
                    <w:jc w:val="center"/>
                    <w:rPr>
                      <w:rFonts w:hint="default" w:ascii="Times New Roman" w:hAnsi="Times New Roman" w:eastAsia="宋体" w:cs="Times New Roman"/>
                      <w:color w:val="auto"/>
                      <w:sz w:val="21"/>
                      <w:szCs w:val="21"/>
                      <w:highlight w:val="none"/>
                    </w:rPr>
                  </w:pPr>
                </w:p>
              </w:tc>
              <w:tc>
                <w:tcPr>
                  <w:tcW w:w="1154" w:type="pct"/>
                  <w:shd w:val="clear" w:color="auto" w:fill="auto"/>
                  <w:vAlign w:val="center"/>
                </w:tcPr>
                <w:p w14:paraId="362EDDF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zh-CN" w:eastAsia="zh-CN" w:bidi="ar-SA"/>
                    </w:rPr>
                  </w:pPr>
                  <w:r>
                    <w:rPr>
                      <w:rFonts w:hint="eastAsia" w:cs="Times New Roman"/>
                      <w:color w:val="auto"/>
                      <w:sz w:val="21"/>
                      <w:szCs w:val="21"/>
                      <w:lang w:val="en-US" w:eastAsia="zh-CN"/>
                    </w:rPr>
                    <w:t>废活性炭</w:t>
                  </w:r>
                </w:p>
              </w:tc>
              <w:tc>
                <w:tcPr>
                  <w:tcW w:w="1324" w:type="pct"/>
                  <w:gridSpan w:val="2"/>
                  <w:shd w:val="clear" w:color="auto" w:fill="auto"/>
                  <w:vAlign w:val="center"/>
                </w:tcPr>
                <w:p w14:paraId="6D4EED64">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b w:val="0"/>
                      <w:bCs/>
                      <w:color w:val="auto"/>
                      <w:kern w:val="2"/>
                      <w:sz w:val="21"/>
                      <w:szCs w:val="21"/>
                      <w:vertAlign w:val="baseline"/>
                      <w:lang w:val="en-US" w:eastAsia="zh-CN" w:bidi="ar-SA"/>
                    </w:rPr>
                    <w:t>1</w:t>
                  </w:r>
                </w:p>
              </w:tc>
              <w:tc>
                <w:tcPr>
                  <w:tcW w:w="1715" w:type="pct"/>
                  <w:vMerge w:val="continue"/>
                  <w:shd w:val="clear" w:color="auto" w:fill="auto"/>
                  <w:vAlign w:val="center"/>
                </w:tcPr>
                <w:p w14:paraId="6B583123">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p>
              </w:tc>
            </w:tr>
            <w:tr w14:paraId="4C44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pct"/>
                  <w:vMerge w:val="continue"/>
                  <w:shd w:val="clear" w:color="auto" w:fill="auto"/>
                  <w:vAlign w:val="center"/>
                </w:tcPr>
                <w:p w14:paraId="6BA1FE10">
                  <w:pPr>
                    <w:pStyle w:val="27"/>
                    <w:keepNext w:val="0"/>
                    <w:keepLines w:val="0"/>
                    <w:pageBreakBefore w:val="0"/>
                    <w:numPr>
                      <w:ilvl w:val="1"/>
                      <w:numId w:val="0"/>
                    </w:numPr>
                    <w:kinsoku/>
                    <w:wordWrap/>
                    <w:overflowPunct/>
                    <w:topLinePunct w:val="0"/>
                    <w:bidi w:val="0"/>
                    <w:snapToGrid w:val="0"/>
                    <w:spacing w:line="240" w:lineRule="auto"/>
                    <w:ind w:left="0" w:firstLine="0" w:firstLineChars="0"/>
                    <w:jc w:val="center"/>
                    <w:rPr>
                      <w:rFonts w:hint="default" w:ascii="Times New Roman" w:hAnsi="Times New Roman" w:eastAsia="宋体" w:cs="Times New Roman"/>
                      <w:color w:val="auto"/>
                      <w:sz w:val="21"/>
                      <w:szCs w:val="21"/>
                      <w:highlight w:val="none"/>
                    </w:rPr>
                  </w:pPr>
                </w:p>
              </w:tc>
              <w:tc>
                <w:tcPr>
                  <w:tcW w:w="1154" w:type="pct"/>
                  <w:shd w:val="clear" w:color="auto" w:fill="auto"/>
                  <w:vAlign w:val="center"/>
                </w:tcPr>
                <w:p w14:paraId="664316E0">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lang w:val="en-US" w:eastAsia="zh-CN"/>
                    </w:rPr>
                    <w:t>废机油</w:t>
                  </w:r>
                </w:p>
              </w:tc>
              <w:tc>
                <w:tcPr>
                  <w:tcW w:w="1324" w:type="pct"/>
                  <w:gridSpan w:val="2"/>
                  <w:shd w:val="clear" w:color="auto" w:fill="auto"/>
                  <w:vAlign w:val="center"/>
                </w:tcPr>
                <w:p w14:paraId="60068F6A">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kern w:val="2"/>
                      <w:sz w:val="21"/>
                      <w:szCs w:val="21"/>
                      <w:vertAlign w:val="baseline"/>
                      <w:lang w:val="en-US" w:eastAsia="zh-CN" w:bidi="ar-SA"/>
                    </w:rPr>
                    <w:t>1</w:t>
                  </w:r>
                </w:p>
              </w:tc>
              <w:tc>
                <w:tcPr>
                  <w:tcW w:w="1715" w:type="pct"/>
                  <w:vMerge w:val="continue"/>
                  <w:shd w:val="clear" w:color="auto" w:fill="auto"/>
                  <w:vAlign w:val="center"/>
                </w:tcPr>
                <w:p w14:paraId="168546B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
                    </w:rPr>
                  </w:pPr>
                </w:p>
              </w:tc>
            </w:tr>
            <w:tr w14:paraId="7EDE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pct"/>
                  <w:vMerge w:val="continue"/>
                  <w:shd w:val="clear" w:color="auto" w:fill="auto"/>
                  <w:vAlign w:val="center"/>
                </w:tcPr>
                <w:p w14:paraId="4D7CA26B">
                  <w:pPr>
                    <w:pStyle w:val="27"/>
                    <w:keepNext w:val="0"/>
                    <w:keepLines w:val="0"/>
                    <w:pageBreakBefore w:val="0"/>
                    <w:numPr>
                      <w:ilvl w:val="1"/>
                      <w:numId w:val="0"/>
                    </w:numPr>
                    <w:kinsoku/>
                    <w:wordWrap/>
                    <w:overflowPunct/>
                    <w:topLinePunct w:val="0"/>
                    <w:bidi w:val="0"/>
                    <w:snapToGrid w:val="0"/>
                    <w:spacing w:line="240" w:lineRule="auto"/>
                    <w:ind w:left="0" w:firstLine="0" w:firstLineChars="0"/>
                    <w:jc w:val="center"/>
                    <w:rPr>
                      <w:rFonts w:hint="default" w:ascii="Times New Roman" w:hAnsi="Times New Roman" w:eastAsia="宋体" w:cs="Times New Roman"/>
                      <w:color w:val="auto"/>
                      <w:sz w:val="21"/>
                      <w:szCs w:val="21"/>
                      <w:highlight w:val="none"/>
                    </w:rPr>
                  </w:pPr>
                </w:p>
              </w:tc>
              <w:tc>
                <w:tcPr>
                  <w:tcW w:w="1154" w:type="pct"/>
                  <w:shd w:val="clear" w:color="auto" w:fill="auto"/>
                  <w:vAlign w:val="center"/>
                </w:tcPr>
                <w:p w14:paraId="0DEE9E72">
                  <w:pPr>
                    <w:keepNext w:val="0"/>
                    <w:keepLines w:val="0"/>
                    <w:pageBreakBefore w:val="0"/>
                    <w:widowControl w:val="0"/>
                    <w:kinsoku/>
                    <w:wordWrap/>
                    <w:overflowPunct/>
                    <w:topLinePunct w:val="0"/>
                    <w:autoSpaceDE/>
                    <w:autoSpaceDN/>
                    <w:bidi w:val="0"/>
                    <w:spacing w:beforeAutospacing="0" w:afterAutospacing="0" w:line="240" w:lineRule="auto"/>
                    <w:ind w:firstLine="0" w:firstLineChars="0"/>
                    <w:jc w:val="center"/>
                    <w:textAlignment w:val="auto"/>
                    <w:rPr>
                      <w:rFonts w:hint="eastAsia"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Cs/>
                      <w:color w:val="auto"/>
                      <w:kern w:val="2"/>
                      <w:sz w:val="21"/>
                      <w:szCs w:val="21"/>
                      <w:lang w:val="en-US" w:eastAsia="zh-CN" w:bidi="ar-SA"/>
                    </w:rPr>
                    <w:t>废弃含油抹布、劳保用品</w:t>
                  </w:r>
                </w:p>
              </w:tc>
              <w:tc>
                <w:tcPr>
                  <w:tcW w:w="1324" w:type="pct"/>
                  <w:gridSpan w:val="2"/>
                  <w:shd w:val="clear" w:color="auto" w:fill="auto"/>
                  <w:vAlign w:val="center"/>
                </w:tcPr>
                <w:p w14:paraId="2F718E03">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kern w:val="2"/>
                      <w:sz w:val="21"/>
                      <w:szCs w:val="21"/>
                      <w:vertAlign w:val="baseline"/>
                      <w:lang w:val="en-US" w:eastAsia="zh-CN" w:bidi="ar-SA"/>
                    </w:rPr>
                    <w:t>0.05</w:t>
                  </w:r>
                </w:p>
              </w:tc>
              <w:tc>
                <w:tcPr>
                  <w:tcW w:w="1715" w:type="pct"/>
                  <w:vMerge w:val="continue"/>
                  <w:shd w:val="clear" w:color="auto" w:fill="auto"/>
                  <w:vAlign w:val="center"/>
                </w:tcPr>
                <w:p w14:paraId="119D08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
                    </w:rPr>
                  </w:pPr>
                </w:p>
              </w:tc>
            </w:tr>
          </w:tbl>
          <w:p w14:paraId="302F834B">
            <w:pPr>
              <w:pStyle w:val="20"/>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0" w:afterAutospacing="0" w:line="360" w:lineRule="auto"/>
              <w:ind w:firstLine="482" w:firstLineChars="200"/>
              <w:jc w:val="left"/>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val="en-US" w:eastAsia="zh-CN"/>
              </w:rPr>
              <w:t>4、</w:t>
            </w:r>
            <w:r>
              <w:rPr>
                <w:rFonts w:hint="default" w:ascii="Times New Roman" w:hAnsi="Times New Roman" w:eastAsia="宋体" w:cs="Times New Roman"/>
                <w:b/>
                <w:bCs/>
                <w:color w:val="auto"/>
                <w:sz w:val="24"/>
                <w:szCs w:val="24"/>
              </w:rPr>
              <w:t>原有项目存在</w:t>
            </w:r>
            <w:r>
              <w:rPr>
                <w:rFonts w:hint="default" w:ascii="Times New Roman" w:hAnsi="Times New Roman" w:eastAsia="宋体" w:cs="Times New Roman"/>
                <w:b/>
                <w:bCs/>
                <w:color w:val="auto"/>
                <w:sz w:val="24"/>
                <w:szCs w:val="24"/>
                <w:lang w:eastAsia="zh-CN"/>
              </w:rPr>
              <w:t>问题</w:t>
            </w:r>
          </w:p>
          <w:p w14:paraId="139EE3E0">
            <w:pPr>
              <w:pStyle w:val="12"/>
              <w:keepNext w:val="0"/>
              <w:keepLines w:val="0"/>
              <w:pageBreakBefore w:val="0"/>
              <w:widowControl/>
              <w:kinsoku/>
              <w:wordWrap/>
              <w:overflowPunct/>
              <w:topLinePunct w:val="0"/>
              <w:autoSpaceDE/>
              <w:autoSpaceDN/>
              <w:bidi w:val="0"/>
              <w:adjustRightInd/>
              <w:snapToGrid w:val="0"/>
              <w:spacing w:before="0" w:after="0" w:line="360" w:lineRule="auto"/>
              <w:ind w:right="113" w:firstLine="480" w:firstLineChars="200"/>
              <w:textAlignment w:val="auto"/>
              <w:rPr>
                <w:rFonts w:hint="default" w:cs="Times New Roman"/>
                <w:b w:val="0"/>
                <w:bCs w:val="0"/>
                <w:snapToGrid/>
                <w:color w:val="auto"/>
                <w:spacing w:val="0"/>
                <w:kern w:val="0"/>
                <w:position w:val="0"/>
                <w:sz w:val="24"/>
                <w:szCs w:val="24"/>
                <w:lang w:val="en-US" w:eastAsia="zh-CN" w:bidi="ar-SA"/>
              </w:rPr>
            </w:pPr>
            <w:r>
              <w:rPr>
                <w:rFonts w:hint="eastAsia" w:cs="Times New Roman"/>
                <w:b w:val="0"/>
                <w:bCs w:val="0"/>
                <w:snapToGrid/>
                <w:color w:val="auto"/>
                <w:spacing w:val="0"/>
                <w:kern w:val="0"/>
                <w:position w:val="0"/>
                <w:sz w:val="24"/>
                <w:szCs w:val="24"/>
                <w:lang w:val="en-US" w:eastAsia="zh-CN" w:bidi="ar-SA"/>
              </w:rPr>
              <w:t>（1）项目有机废气治理措施“UV光解+活性炭处理设施”处理效率不稳定，其中“UV光解”属于2025年《国家污染防治技术指导目录》中“二、低效类技术 14 VOCs 光解（光氧化）及其组合净化技术”，不满足现行技术要求</w:t>
            </w:r>
            <w:r>
              <w:rPr>
                <w:rFonts w:hint="eastAsia" w:ascii="Times New Roman" w:hAnsi="Times New Roman" w:eastAsia="宋体" w:cs="Times New Roman"/>
                <w:snapToGrid/>
                <w:color w:val="auto"/>
                <w:spacing w:val="0"/>
                <w:kern w:val="0"/>
                <w:position w:val="0"/>
                <w:sz w:val="24"/>
                <w:szCs w:val="24"/>
                <w:lang w:val="en-US" w:eastAsia="zh-CN"/>
              </w:rPr>
              <w:t>。</w:t>
            </w:r>
          </w:p>
          <w:p w14:paraId="571610F5">
            <w:pPr>
              <w:pStyle w:val="12"/>
              <w:keepNext w:val="0"/>
              <w:keepLines w:val="0"/>
              <w:pageBreakBefore w:val="0"/>
              <w:widowControl/>
              <w:kinsoku/>
              <w:wordWrap/>
              <w:overflowPunct/>
              <w:topLinePunct w:val="0"/>
              <w:autoSpaceDE/>
              <w:autoSpaceDN/>
              <w:bidi w:val="0"/>
              <w:adjustRightInd/>
              <w:snapToGrid w:val="0"/>
              <w:spacing w:before="0" w:after="0" w:line="360" w:lineRule="auto"/>
              <w:ind w:right="113" w:firstLine="480" w:firstLineChars="200"/>
              <w:textAlignment w:val="auto"/>
              <w:rPr>
                <w:rFonts w:hint="eastAsia" w:cs="Times New Roman"/>
                <w:b w:val="0"/>
                <w:bCs w:val="0"/>
                <w:snapToGrid/>
                <w:color w:val="auto"/>
                <w:spacing w:val="0"/>
                <w:kern w:val="0"/>
                <w:position w:val="0"/>
                <w:sz w:val="24"/>
                <w:szCs w:val="24"/>
                <w:lang w:val="en-US" w:eastAsia="zh-CN" w:bidi="ar-SA"/>
              </w:rPr>
            </w:pPr>
            <w:r>
              <w:rPr>
                <w:rFonts w:hint="eastAsia" w:cs="Times New Roman"/>
                <w:b w:val="0"/>
                <w:bCs w:val="0"/>
                <w:snapToGrid/>
                <w:color w:val="auto"/>
                <w:spacing w:val="0"/>
                <w:kern w:val="0"/>
                <w:position w:val="0"/>
                <w:sz w:val="24"/>
                <w:szCs w:val="24"/>
                <w:lang w:val="en-US" w:eastAsia="zh-CN" w:bidi="ar-SA"/>
              </w:rPr>
              <w:t>整改措施：拆除现有“UV光解+活性炭处理设施”，采用排污许可技术规范中可行技术中的“二级活性炭吸附装置”。</w:t>
            </w:r>
          </w:p>
          <w:p w14:paraId="0ECD5F55">
            <w:pPr>
              <w:pStyle w:val="27"/>
              <w:spacing w:line="360" w:lineRule="auto"/>
              <w:ind w:firstLine="480"/>
              <w:rPr>
                <w:rFonts w:hint="eastAsia" w:ascii="Times New Roman" w:hAnsi="Times New Roman" w:eastAsia="宋体" w:cs="Times New Roman"/>
                <w:snapToGrid/>
                <w:color w:val="auto"/>
                <w:spacing w:val="0"/>
                <w:kern w:val="0"/>
                <w:position w:val="0"/>
                <w:sz w:val="24"/>
                <w:szCs w:val="24"/>
                <w:lang w:val="en-US" w:eastAsia="zh-CN"/>
              </w:rPr>
            </w:pPr>
            <w:r>
              <w:rPr>
                <w:rFonts w:hint="eastAsia" w:cs="Times New Roman"/>
                <w:b w:val="0"/>
                <w:bCs w:val="0"/>
                <w:snapToGrid/>
                <w:color w:val="auto"/>
                <w:spacing w:val="0"/>
                <w:kern w:val="0"/>
                <w:position w:val="0"/>
                <w:sz w:val="24"/>
                <w:szCs w:val="24"/>
                <w:lang w:val="en-US" w:eastAsia="zh-CN" w:bidi="ar-SA"/>
              </w:rPr>
              <w:t>（2）项目颗粒物废气治理措施“布袋除尘器”处理效率低效</w:t>
            </w:r>
            <w:r>
              <w:rPr>
                <w:rFonts w:hint="eastAsia" w:ascii="Times New Roman" w:hAnsi="Times New Roman" w:eastAsia="宋体" w:cs="Times New Roman"/>
                <w:snapToGrid/>
                <w:color w:val="auto"/>
                <w:spacing w:val="0"/>
                <w:kern w:val="0"/>
                <w:position w:val="0"/>
                <w:sz w:val="24"/>
                <w:szCs w:val="24"/>
                <w:lang w:val="en-US" w:eastAsia="zh-CN"/>
              </w:rPr>
              <w:t>。</w:t>
            </w:r>
          </w:p>
          <w:p w14:paraId="75B6264C">
            <w:pPr>
              <w:pStyle w:val="27"/>
              <w:spacing w:line="360" w:lineRule="auto"/>
              <w:ind w:firstLine="480"/>
              <w:rPr>
                <w:rFonts w:hint="default" w:ascii="Times New Roman" w:hAnsi="Times New Roman" w:eastAsia="宋体" w:cs="Times New Roman"/>
                <w:color w:val="auto"/>
                <w:sz w:val="24"/>
                <w:szCs w:val="24"/>
                <w:highlight w:val="none"/>
                <w:lang w:val="en-US" w:eastAsia="zh-CN"/>
              </w:rPr>
            </w:pPr>
            <w:r>
              <w:rPr>
                <w:rFonts w:hint="eastAsia" w:cs="Times New Roman"/>
                <w:b w:val="0"/>
                <w:bCs w:val="0"/>
                <w:snapToGrid/>
                <w:color w:val="auto"/>
                <w:spacing w:val="0"/>
                <w:kern w:val="0"/>
                <w:position w:val="0"/>
                <w:sz w:val="24"/>
                <w:szCs w:val="24"/>
                <w:lang w:val="en-US" w:eastAsia="zh-CN" w:bidi="ar-SA"/>
              </w:rPr>
              <w:t>整改措施：维修现有布袋除尘器，使其处理效率提高到95%以上。</w:t>
            </w:r>
          </w:p>
          <w:p w14:paraId="75712A9F">
            <w:pPr>
              <w:pStyle w:val="27"/>
              <w:spacing w:line="360" w:lineRule="auto"/>
              <w:jc w:val="center"/>
              <w:rPr>
                <w:b/>
                <w:bCs/>
                <w:color w:val="auto"/>
              </w:rPr>
            </w:pPr>
            <w:r>
              <w:rPr>
                <w:b/>
                <w:bCs/>
                <w:color w:val="auto"/>
              </w:rPr>
              <w:t>表</w:t>
            </w:r>
            <w:r>
              <w:rPr>
                <w:rFonts w:hint="eastAsia"/>
                <w:b/>
                <w:bCs/>
                <w:color w:val="auto"/>
              </w:rPr>
              <w:t>2</w:t>
            </w:r>
            <w:r>
              <w:rPr>
                <w:b/>
                <w:bCs/>
                <w:color w:val="auto"/>
              </w:rPr>
              <w:t>.</w:t>
            </w:r>
            <w:r>
              <w:rPr>
                <w:rFonts w:hint="eastAsia"/>
                <w:b/>
                <w:bCs/>
                <w:color w:val="auto"/>
                <w:lang w:val="en-US" w:eastAsia="zh-CN"/>
              </w:rPr>
              <w:t>17</w:t>
            </w:r>
            <w:r>
              <w:rPr>
                <w:rFonts w:hint="eastAsia"/>
                <w:b/>
                <w:bCs/>
                <w:color w:val="auto"/>
              </w:rPr>
              <w:t xml:space="preserve"> </w:t>
            </w:r>
            <w:r>
              <w:rPr>
                <w:b/>
                <w:bCs/>
                <w:color w:val="auto"/>
              </w:rPr>
              <w:t xml:space="preserve"> 项目存在问题及整改措施</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4127"/>
              <w:gridCol w:w="3503"/>
            </w:tblGrid>
            <w:tr w14:paraId="40DE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50" w:type="dxa"/>
                  <w:noWrap w:val="0"/>
                  <w:vAlign w:val="center"/>
                </w:tcPr>
                <w:p w14:paraId="61DF47A4">
                  <w:pPr>
                    <w:pStyle w:val="27"/>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序号</w:t>
                  </w:r>
                </w:p>
              </w:tc>
              <w:tc>
                <w:tcPr>
                  <w:tcW w:w="4127" w:type="dxa"/>
                  <w:noWrap w:val="0"/>
                  <w:vAlign w:val="center"/>
                </w:tcPr>
                <w:p w14:paraId="4681CCEF">
                  <w:pPr>
                    <w:pStyle w:val="27"/>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存在问题</w:t>
                  </w:r>
                </w:p>
              </w:tc>
              <w:tc>
                <w:tcPr>
                  <w:tcW w:w="3503" w:type="dxa"/>
                  <w:noWrap w:val="0"/>
                  <w:vAlign w:val="center"/>
                </w:tcPr>
                <w:p w14:paraId="5B3B2BB0">
                  <w:pPr>
                    <w:pStyle w:val="27"/>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整改措施</w:t>
                  </w:r>
                </w:p>
              </w:tc>
            </w:tr>
            <w:tr w14:paraId="6377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0" w:type="dxa"/>
                  <w:noWrap w:val="0"/>
                  <w:vAlign w:val="center"/>
                </w:tcPr>
                <w:p w14:paraId="3F5FF246">
                  <w:pPr>
                    <w:pStyle w:val="27"/>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outlineLvl w:val="9"/>
                    <w:rPr>
                      <w:rFonts w:hint="default" w:cs="Times New Roman"/>
                      <w:color w:val="auto"/>
                      <w:sz w:val="21"/>
                      <w:szCs w:val="21"/>
                      <w:lang w:val="en-US" w:eastAsia="zh-CN"/>
                    </w:rPr>
                  </w:pPr>
                  <w:r>
                    <w:rPr>
                      <w:rFonts w:hint="eastAsia" w:cs="Times New Roman"/>
                      <w:color w:val="auto"/>
                      <w:sz w:val="21"/>
                      <w:szCs w:val="21"/>
                      <w:lang w:val="en-US" w:eastAsia="zh-CN"/>
                    </w:rPr>
                    <w:t>1</w:t>
                  </w:r>
                </w:p>
              </w:tc>
              <w:tc>
                <w:tcPr>
                  <w:tcW w:w="4127" w:type="dxa"/>
                  <w:noWrap w:val="0"/>
                  <w:vAlign w:val="center"/>
                </w:tcPr>
                <w:p w14:paraId="7816FAAD">
                  <w:pPr>
                    <w:pStyle w:val="27"/>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项目有机废气治理措施“UV光解+活性炭处理设施”处理效率不稳定，其中“UV光解”属于2025年《国家污染防治技术指导目录》中“二、低效类技术 14 VOCs 光解（光氧化）及其组合净化技术”，不满足现行技术要求。</w:t>
                  </w:r>
                </w:p>
              </w:tc>
              <w:tc>
                <w:tcPr>
                  <w:tcW w:w="3503" w:type="dxa"/>
                  <w:noWrap w:val="0"/>
                  <w:vAlign w:val="center"/>
                </w:tcPr>
                <w:p w14:paraId="6E77B1E6">
                  <w:pPr>
                    <w:pStyle w:val="27"/>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拆除现有</w:t>
                  </w:r>
                  <w:r>
                    <w:rPr>
                      <w:rFonts w:hint="eastAsia" w:ascii="宋体" w:hAnsi="宋体" w:eastAsia="宋体" w:cs="宋体"/>
                      <w:color w:val="auto"/>
                      <w:sz w:val="21"/>
                      <w:szCs w:val="21"/>
                      <w:lang w:val="en-US" w:eastAsia="zh-CN"/>
                    </w:rPr>
                    <w:t>“</w:t>
                  </w:r>
                  <w:r>
                    <w:rPr>
                      <w:rFonts w:hint="default" w:ascii="Times New Roman" w:hAnsi="Times New Roman" w:eastAsia="宋体" w:cs="Times New Roman"/>
                      <w:color w:val="auto"/>
                      <w:sz w:val="21"/>
                      <w:szCs w:val="21"/>
                      <w:lang w:val="en-US" w:eastAsia="zh-CN"/>
                    </w:rPr>
                    <w:t>UV光解+活性炭处理</w:t>
                  </w:r>
                  <w:r>
                    <w:rPr>
                      <w:rFonts w:hint="eastAsia" w:ascii="宋体" w:hAnsi="宋体" w:eastAsia="宋体" w:cs="宋体"/>
                      <w:color w:val="auto"/>
                      <w:sz w:val="21"/>
                      <w:szCs w:val="21"/>
                      <w:lang w:val="en-US" w:eastAsia="zh-CN"/>
                    </w:rPr>
                    <w:t>设施”</w:t>
                  </w:r>
                  <w:r>
                    <w:rPr>
                      <w:rFonts w:hint="default" w:ascii="Times New Roman" w:hAnsi="Times New Roman" w:eastAsia="宋体" w:cs="Times New Roman"/>
                      <w:color w:val="auto"/>
                      <w:kern w:val="2"/>
                      <w:sz w:val="21"/>
                      <w:szCs w:val="21"/>
                      <w:lang w:val="en-US" w:eastAsia="zh-CN" w:bidi="ar-SA"/>
                    </w:rPr>
                    <w:t>，采用排污许可技术规范中可行技术中的</w:t>
                  </w:r>
                  <w:r>
                    <w:rPr>
                      <w:rFonts w:hint="eastAsia" w:ascii="宋体" w:hAnsi="宋体" w:eastAsia="宋体" w:cs="宋体"/>
                      <w:color w:val="auto"/>
                      <w:kern w:val="2"/>
                      <w:sz w:val="21"/>
                      <w:szCs w:val="21"/>
                      <w:lang w:val="en-US" w:eastAsia="zh-CN" w:bidi="ar-SA"/>
                    </w:rPr>
                    <w:t>“二级活性炭吸附装置”。</w:t>
                  </w:r>
                </w:p>
              </w:tc>
            </w:tr>
            <w:tr w14:paraId="17AC4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0" w:type="dxa"/>
                  <w:shd w:val="clear" w:color="auto" w:fill="auto"/>
                  <w:noWrap w:val="0"/>
                  <w:vAlign w:val="center"/>
                </w:tcPr>
                <w:p w14:paraId="0744172D">
                  <w:pPr>
                    <w:pStyle w:val="27"/>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w:t>
                  </w:r>
                </w:p>
              </w:tc>
              <w:tc>
                <w:tcPr>
                  <w:tcW w:w="4127" w:type="dxa"/>
                  <w:noWrap w:val="0"/>
                  <w:vAlign w:val="center"/>
                </w:tcPr>
                <w:p w14:paraId="46E677E3">
                  <w:pPr>
                    <w:pStyle w:val="27"/>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项目颗粒物废气治理措施“布袋除尘器”处理效率低效。</w:t>
                  </w:r>
                </w:p>
              </w:tc>
              <w:tc>
                <w:tcPr>
                  <w:tcW w:w="3503" w:type="dxa"/>
                  <w:noWrap w:val="0"/>
                  <w:vAlign w:val="center"/>
                </w:tcPr>
                <w:p w14:paraId="2ED6E596">
                  <w:pPr>
                    <w:pStyle w:val="27"/>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维修现有布袋除尘器，使其处理效率提高到95%以上</w:t>
                  </w:r>
                </w:p>
              </w:tc>
            </w:tr>
          </w:tbl>
          <w:p w14:paraId="4CBC5776">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Chars="0" w:right="0" w:rightChars="0" w:firstLine="480" w:firstLineChars="200"/>
              <w:textAlignment w:val="auto"/>
              <w:rPr>
                <w:rFonts w:hint="eastAsia" w:ascii="Times New Roman" w:hAnsi="Times New Roman" w:cs="Times New Roman"/>
                <w:color w:val="auto"/>
                <w:sz w:val="24"/>
                <w:szCs w:val="24"/>
                <w:highlight w:val="none"/>
                <w:lang w:val="en-US" w:eastAsia="zh-CN"/>
              </w:rPr>
            </w:pPr>
          </w:p>
          <w:p w14:paraId="49C68DCE">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Chars="0" w:right="0" w:rightChars="0" w:firstLine="480" w:firstLineChars="200"/>
              <w:textAlignment w:val="auto"/>
              <w:rPr>
                <w:rFonts w:hint="eastAsia" w:ascii="Times New Roman" w:hAnsi="Times New Roman" w:cs="Times New Roman"/>
                <w:color w:val="auto"/>
                <w:sz w:val="24"/>
                <w:szCs w:val="24"/>
                <w:highlight w:val="none"/>
                <w:lang w:val="en-US" w:eastAsia="zh-CN"/>
              </w:rPr>
            </w:pPr>
          </w:p>
          <w:p w14:paraId="03D2E3E0">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textAlignment w:val="auto"/>
              <w:rPr>
                <w:rFonts w:hint="eastAsia" w:ascii="宋体" w:hAnsi="宋体" w:cs="宋体"/>
                <w:snapToGrid/>
                <w:color w:val="auto"/>
                <w:spacing w:val="0"/>
                <w:kern w:val="0"/>
                <w:position w:val="0"/>
                <w:sz w:val="24"/>
                <w:szCs w:val="24"/>
                <w:lang w:val="en-US" w:eastAsia="zh-CN"/>
              </w:rPr>
            </w:pPr>
          </w:p>
          <w:p w14:paraId="7C6F17BB">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textAlignment w:val="auto"/>
              <w:rPr>
                <w:rFonts w:hint="eastAsia" w:ascii="宋体" w:hAnsi="宋体" w:cs="宋体"/>
                <w:snapToGrid/>
                <w:color w:val="auto"/>
                <w:spacing w:val="0"/>
                <w:kern w:val="0"/>
                <w:position w:val="0"/>
                <w:sz w:val="24"/>
                <w:szCs w:val="24"/>
                <w:lang w:val="en-US" w:eastAsia="zh-CN"/>
              </w:rPr>
            </w:pPr>
          </w:p>
          <w:p w14:paraId="1C02F4B1">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textAlignment w:val="auto"/>
              <w:rPr>
                <w:rFonts w:hint="eastAsia" w:ascii="宋体" w:hAnsi="宋体" w:cs="宋体"/>
                <w:snapToGrid/>
                <w:color w:val="auto"/>
                <w:spacing w:val="0"/>
                <w:kern w:val="0"/>
                <w:position w:val="0"/>
                <w:sz w:val="24"/>
                <w:szCs w:val="24"/>
                <w:lang w:val="en-US" w:eastAsia="zh-CN"/>
              </w:rPr>
            </w:pPr>
          </w:p>
          <w:p w14:paraId="5B173597">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textAlignment w:val="auto"/>
              <w:rPr>
                <w:rFonts w:hint="eastAsia" w:ascii="宋体" w:hAnsi="宋体" w:cs="宋体"/>
                <w:snapToGrid/>
                <w:color w:val="auto"/>
                <w:spacing w:val="0"/>
                <w:kern w:val="0"/>
                <w:position w:val="0"/>
                <w:sz w:val="24"/>
                <w:szCs w:val="24"/>
                <w:lang w:val="en-US" w:eastAsia="zh-CN"/>
              </w:rPr>
            </w:pPr>
          </w:p>
          <w:p w14:paraId="054F5812">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textAlignment w:val="auto"/>
              <w:rPr>
                <w:rFonts w:hint="eastAsia" w:ascii="宋体" w:hAnsi="宋体" w:cs="宋体"/>
                <w:snapToGrid/>
                <w:color w:val="auto"/>
                <w:spacing w:val="0"/>
                <w:kern w:val="0"/>
                <w:position w:val="0"/>
                <w:sz w:val="24"/>
                <w:szCs w:val="24"/>
                <w:lang w:val="en-US" w:eastAsia="zh-CN"/>
              </w:rPr>
            </w:pPr>
          </w:p>
          <w:p w14:paraId="5B517483">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textAlignment w:val="auto"/>
              <w:rPr>
                <w:rFonts w:hint="eastAsia" w:ascii="宋体" w:hAnsi="宋体" w:cs="宋体"/>
                <w:snapToGrid/>
                <w:color w:val="auto"/>
                <w:spacing w:val="0"/>
                <w:kern w:val="0"/>
                <w:position w:val="0"/>
                <w:sz w:val="24"/>
                <w:szCs w:val="24"/>
                <w:lang w:val="en-US" w:eastAsia="zh-CN"/>
              </w:rPr>
            </w:pPr>
          </w:p>
          <w:p w14:paraId="7D97B472">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textAlignment w:val="auto"/>
              <w:rPr>
                <w:rFonts w:hint="eastAsia" w:ascii="宋体" w:hAnsi="宋体" w:cs="宋体"/>
                <w:snapToGrid/>
                <w:color w:val="auto"/>
                <w:spacing w:val="0"/>
                <w:kern w:val="0"/>
                <w:position w:val="0"/>
                <w:sz w:val="24"/>
                <w:szCs w:val="24"/>
                <w:lang w:val="en-US" w:eastAsia="zh-CN"/>
              </w:rPr>
            </w:pPr>
          </w:p>
          <w:p w14:paraId="2A358606">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textAlignment w:val="auto"/>
              <w:rPr>
                <w:rFonts w:hint="eastAsia" w:ascii="宋体" w:hAnsi="宋体" w:cs="宋体"/>
                <w:snapToGrid/>
                <w:color w:val="auto"/>
                <w:spacing w:val="0"/>
                <w:kern w:val="0"/>
                <w:position w:val="0"/>
                <w:sz w:val="24"/>
                <w:szCs w:val="24"/>
                <w:lang w:val="en-US" w:eastAsia="zh-CN"/>
              </w:rPr>
            </w:pPr>
          </w:p>
          <w:p w14:paraId="488C4757">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textAlignment w:val="auto"/>
              <w:rPr>
                <w:rFonts w:hint="eastAsia" w:ascii="宋体" w:hAnsi="宋体" w:cs="宋体"/>
                <w:snapToGrid/>
                <w:color w:val="auto"/>
                <w:spacing w:val="0"/>
                <w:kern w:val="0"/>
                <w:position w:val="0"/>
                <w:sz w:val="24"/>
                <w:szCs w:val="24"/>
                <w:lang w:val="en-US" w:eastAsia="zh-CN"/>
              </w:rPr>
            </w:pPr>
          </w:p>
          <w:p w14:paraId="0FC1F81F">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textAlignment w:val="auto"/>
              <w:rPr>
                <w:rFonts w:hint="eastAsia" w:ascii="宋体" w:hAnsi="宋体" w:cs="宋体"/>
                <w:snapToGrid/>
                <w:color w:val="auto"/>
                <w:spacing w:val="0"/>
                <w:kern w:val="0"/>
                <w:position w:val="0"/>
                <w:sz w:val="24"/>
                <w:szCs w:val="24"/>
                <w:lang w:val="en-US" w:eastAsia="zh-CN"/>
              </w:rPr>
            </w:pPr>
          </w:p>
          <w:p w14:paraId="1744990D">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textAlignment w:val="auto"/>
              <w:rPr>
                <w:rFonts w:hint="eastAsia" w:ascii="宋体" w:hAnsi="宋体" w:cs="宋体"/>
                <w:snapToGrid/>
                <w:color w:val="auto"/>
                <w:spacing w:val="0"/>
                <w:kern w:val="0"/>
                <w:position w:val="0"/>
                <w:sz w:val="24"/>
                <w:szCs w:val="24"/>
                <w:lang w:val="en-US" w:eastAsia="zh-CN"/>
              </w:rPr>
            </w:pPr>
          </w:p>
          <w:p w14:paraId="5F2A7F22">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textAlignment w:val="auto"/>
              <w:rPr>
                <w:rFonts w:hint="eastAsia" w:ascii="宋体" w:hAnsi="宋体" w:cs="宋体"/>
                <w:snapToGrid/>
                <w:color w:val="auto"/>
                <w:spacing w:val="0"/>
                <w:kern w:val="0"/>
                <w:position w:val="0"/>
                <w:sz w:val="24"/>
                <w:szCs w:val="24"/>
                <w:lang w:val="en-US" w:eastAsia="zh-CN"/>
              </w:rPr>
            </w:pPr>
          </w:p>
          <w:p w14:paraId="70DAA5CB">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textAlignment w:val="auto"/>
              <w:rPr>
                <w:rFonts w:hint="eastAsia" w:ascii="宋体" w:hAnsi="宋体" w:cs="宋体"/>
                <w:snapToGrid/>
                <w:color w:val="auto"/>
                <w:spacing w:val="0"/>
                <w:kern w:val="0"/>
                <w:position w:val="0"/>
                <w:sz w:val="24"/>
                <w:szCs w:val="24"/>
                <w:lang w:val="en-US" w:eastAsia="zh-CN"/>
              </w:rPr>
            </w:pPr>
          </w:p>
          <w:p w14:paraId="2CB7B2F3">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textAlignment w:val="auto"/>
              <w:rPr>
                <w:rFonts w:hint="eastAsia" w:ascii="宋体" w:hAnsi="宋体" w:cs="宋体"/>
                <w:snapToGrid/>
                <w:color w:val="auto"/>
                <w:spacing w:val="0"/>
                <w:kern w:val="0"/>
                <w:position w:val="0"/>
                <w:sz w:val="24"/>
                <w:szCs w:val="24"/>
                <w:lang w:val="en-US" w:eastAsia="zh-CN"/>
              </w:rPr>
            </w:pPr>
          </w:p>
          <w:p w14:paraId="520CC365">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textAlignment w:val="auto"/>
              <w:rPr>
                <w:rFonts w:hint="eastAsia" w:ascii="宋体" w:hAnsi="宋体" w:cs="宋体"/>
                <w:snapToGrid/>
                <w:color w:val="auto"/>
                <w:spacing w:val="0"/>
                <w:kern w:val="0"/>
                <w:position w:val="0"/>
                <w:sz w:val="24"/>
                <w:szCs w:val="24"/>
                <w:lang w:val="en-US" w:eastAsia="zh-CN"/>
              </w:rPr>
            </w:pPr>
          </w:p>
          <w:p w14:paraId="0F3E5DE0">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textAlignment w:val="auto"/>
              <w:rPr>
                <w:rFonts w:hint="eastAsia" w:ascii="宋体" w:hAnsi="宋体" w:cs="宋体"/>
                <w:snapToGrid/>
                <w:color w:val="auto"/>
                <w:spacing w:val="0"/>
                <w:kern w:val="0"/>
                <w:position w:val="0"/>
                <w:sz w:val="24"/>
                <w:szCs w:val="24"/>
                <w:lang w:val="en-US" w:eastAsia="zh-CN"/>
              </w:rPr>
            </w:pPr>
          </w:p>
          <w:p w14:paraId="4E0931B0">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textAlignment w:val="auto"/>
              <w:rPr>
                <w:rFonts w:hint="eastAsia" w:ascii="宋体" w:hAnsi="宋体" w:cs="宋体"/>
                <w:snapToGrid/>
                <w:color w:val="auto"/>
                <w:spacing w:val="0"/>
                <w:kern w:val="0"/>
                <w:position w:val="0"/>
                <w:sz w:val="24"/>
                <w:szCs w:val="24"/>
                <w:lang w:val="en-US" w:eastAsia="zh-CN"/>
              </w:rPr>
            </w:pPr>
          </w:p>
          <w:p w14:paraId="5FF50971">
            <w:pPr>
              <w:pStyle w:val="12"/>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textAlignment w:val="auto"/>
              <w:rPr>
                <w:rFonts w:hint="default" w:ascii="宋体" w:hAnsi="宋体" w:eastAsia="宋体" w:cs="宋体"/>
                <w:snapToGrid/>
                <w:color w:val="auto"/>
                <w:spacing w:val="0"/>
                <w:kern w:val="0"/>
                <w:position w:val="0"/>
                <w:sz w:val="24"/>
                <w:szCs w:val="24"/>
                <w:lang w:val="en-US" w:eastAsia="zh-CN"/>
              </w:rPr>
            </w:pPr>
          </w:p>
        </w:tc>
      </w:tr>
    </w:tbl>
    <w:p w14:paraId="5D97A771">
      <w:pPr>
        <w:pStyle w:val="2"/>
        <w:ind w:left="0" w:leftChars="0" w:firstLine="0" w:firstLineChars="0"/>
        <w:rPr>
          <w:rFonts w:hint="eastAsia"/>
          <w:snapToGrid/>
          <w:color w:val="auto"/>
          <w:spacing w:val="0"/>
          <w:kern w:val="0"/>
          <w:position w:val="0"/>
          <w:lang w:val="en-US" w:eastAsia="zh-CN"/>
        </w:rPr>
        <w:sectPr>
          <w:pgSz w:w="11906" w:h="16838"/>
          <w:pgMar w:top="1440" w:right="1803" w:bottom="1440" w:left="1803" w:header="851" w:footer="1077" w:gutter="0"/>
          <w:pgBorders>
            <w:top w:val="none" w:sz="0" w:space="0"/>
            <w:left w:val="none" w:sz="0" w:space="0"/>
            <w:bottom w:val="none" w:sz="0" w:space="0"/>
            <w:right w:val="none" w:sz="0" w:space="0"/>
          </w:pgBorders>
          <w:pgNumType w:fmt="decimal"/>
          <w:cols w:space="720" w:num="1"/>
          <w:docGrid w:linePitch="312" w:charSpace="0"/>
        </w:sectPr>
      </w:pPr>
    </w:p>
    <w:p w14:paraId="71AE09F7">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0"/>
        <w:rPr>
          <w:rFonts w:ascii="黑体" w:hAnsi="黑体" w:eastAsia="黑体"/>
          <w:snapToGrid/>
          <w:color w:val="auto"/>
          <w:spacing w:val="0"/>
          <w:kern w:val="0"/>
          <w:position w:val="0"/>
          <w:sz w:val="30"/>
          <w:szCs w:val="30"/>
        </w:rPr>
      </w:pPr>
      <w:r>
        <w:rPr>
          <w:rFonts w:hint="eastAsia" w:ascii="宋体" w:hAnsi="宋体" w:eastAsia="宋体" w:cs="宋体"/>
          <w:b/>
          <w:bCs/>
          <w:snapToGrid/>
          <w:color w:val="auto"/>
          <w:spacing w:val="0"/>
          <w:kern w:val="0"/>
          <w:position w:val="0"/>
          <w:sz w:val="30"/>
          <w:szCs w:val="30"/>
        </w:rPr>
        <w:t>三、区域环境质量现状、环境保护目标及评价标准</w:t>
      </w:r>
    </w:p>
    <w:tbl>
      <w:tblPr>
        <w:tblStyle w:val="22"/>
        <w:tblW w:w="89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428"/>
      </w:tblGrid>
      <w:tr w14:paraId="02A3C0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2" w:hRule="atLeast"/>
          <w:jc w:val="center"/>
        </w:trPr>
        <w:tc>
          <w:tcPr>
            <w:tcW w:w="567" w:type="dxa"/>
            <w:tcBorders>
              <w:tl2br w:val="nil"/>
              <w:tr2bl w:val="nil"/>
            </w:tcBorders>
            <w:noWrap w:val="0"/>
            <w:vAlign w:val="center"/>
          </w:tcPr>
          <w:p w14:paraId="17AA18B2">
            <w:pPr>
              <w:adjustRightInd w:val="0"/>
              <w:snapToGrid w:val="0"/>
              <w:jc w:val="center"/>
              <w:rPr>
                <w:rFonts w:hint="eastAsia" w:ascii="宋体" w:hAnsi="宋体" w:eastAsia="宋体" w:cs="宋体"/>
                <w:b w:val="0"/>
                <w:bCs w:val="0"/>
                <w:snapToGrid/>
                <w:color w:val="auto"/>
                <w:spacing w:val="0"/>
                <w:kern w:val="0"/>
                <w:position w:val="0"/>
                <w:sz w:val="24"/>
                <w:szCs w:val="24"/>
              </w:rPr>
            </w:pPr>
            <w:r>
              <w:rPr>
                <w:rFonts w:hint="eastAsia" w:ascii="宋体" w:hAnsi="宋体" w:eastAsia="宋体" w:cs="宋体"/>
                <w:b w:val="0"/>
                <w:bCs w:val="0"/>
                <w:snapToGrid/>
                <w:color w:val="auto"/>
                <w:spacing w:val="0"/>
                <w:kern w:val="0"/>
                <w:position w:val="0"/>
                <w:sz w:val="24"/>
                <w:szCs w:val="24"/>
              </w:rPr>
              <w:t>区域</w:t>
            </w:r>
          </w:p>
          <w:p w14:paraId="4B54B1E0">
            <w:pPr>
              <w:adjustRightInd w:val="0"/>
              <w:snapToGrid w:val="0"/>
              <w:jc w:val="center"/>
              <w:rPr>
                <w:rFonts w:hint="eastAsia" w:ascii="宋体" w:hAnsi="宋体" w:eastAsia="宋体" w:cs="宋体"/>
                <w:b w:val="0"/>
                <w:bCs w:val="0"/>
                <w:snapToGrid/>
                <w:color w:val="auto"/>
                <w:spacing w:val="0"/>
                <w:kern w:val="0"/>
                <w:position w:val="0"/>
                <w:sz w:val="24"/>
                <w:szCs w:val="24"/>
              </w:rPr>
            </w:pPr>
            <w:r>
              <w:rPr>
                <w:rFonts w:hint="eastAsia" w:ascii="宋体" w:hAnsi="宋体" w:eastAsia="宋体" w:cs="宋体"/>
                <w:b w:val="0"/>
                <w:bCs w:val="0"/>
                <w:snapToGrid/>
                <w:color w:val="auto"/>
                <w:spacing w:val="0"/>
                <w:kern w:val="0"/>
                <w:position w:val="0"/>
                <w:sz w:val="24"/>
                <w:szCs w:val="24"/>
              </w:rPr>
              <w:t>环境</w:t>
            </w:r>
          </w:p>
          <w:p w14:paraId="1B9ED187">
            <w:pPr>
              <w:adjustRightInd w:val="0"/>
              <w:snapToGrid w:val="0"/>
              <w:jc w:val="center"/>
              <w:rPr>
                <w:rFonts w:hint="eastAsia" w:ascii="宋体" w:hAnsi="宋体" w:eastAsia="宋体" w:cs="宋体"/>
                <w:b w:val="0"/>
                <w:bCs w:val="0"/>
                <w:snapToGrid/>
                <w:color w:val="auto"/>
                <w:spacing w:val="0"/>
                <w:kern w:val="0"/>
                <w:position w:val="0"/>
                <w:sz w:val="24"/>
                <w:szCs w:val="24"/>
              </w:rPr>
            </w:pPr>
            <w:r>
              <w:rPr>
                <w:rFonts w:hint="eastAsia" w:ascii="宋体" w:hAnsi="宋体" w:eastAsia="宋体" w:cs="宋体"/>
                <w:b w:val="0"/>
                <w:bCs w:val="0"/>
                <w:snapToGrid/>
                <w:color w:val="auto"/>
                <w:spacing w:val="0"/>
                <w:kern w:val="0"/>
                <w:position w:val="0"/>
                <w:sz w:val="24"/>
                <w:szCs w:val="24"/>
              </w:rPr>
              <w:t>质量</w:t>
            </w:r>
          </w:p>
          <w:p w14:paraId="245871D1">
            <w:pPr>
              <w:adjustRightInd w:val="0"/>
              <w:snapToGrid w:val="0"/>
              <w:jc w:val="center"/>
              <w:rPr>
                <w:rFonts w:hint="eastAsia" w:ascii="宋体" w:hAnsi="宋体" w:eastAsia="宋体" w:cs="宋体"/>
                <w:snapToGrid/>
                <w:color w:val="auto"/>
                <w:spacing w:val="0"/>
                <w:kern w:val="0"/>
                <w:position w:val="0"/>
                <w:szCs w:val="21"/>
              </w:rPr>
            </w:pPr>
            <w:r>
              <w:rPr>
                <w:rFonts w:hint="eastAsia" w:ascii="宋体" w:hAnsi="宋体" w:eastAsia="宋体" w:cs="宋体"/>
                <w:b w:val="0"/>
                <w:bCs w:val="0"/>
                <w:snapToGrid/>
                <w:color w:val="auto"/>
                <w:spacing w:val="0"/>
                <w:kern w:val="0"/>
                <w:position w:val="0"/>
                <w:sz w:val="24"/>
                <w:szCs w:val="24"/>
              </w:rPr>
              <w:t>现状</w:t>
            </w:r>
          </w:p>
        </w:tc>
        <w:tc>
          <w:tcPr>
            <w:tcW w:w="8539" w:type="dxa"/>
            <w:tcBorders>
              <w:tl2br w:val="nil"/>
              <w:tr2bl w:val="nil"/>
            </w:tcBorders>
            <w:noWrap w:val="0"/>
            <w:vAlign w:val="center"/>
          </w:tcPr>
          <w:p w14:paraId="46EA9DCB">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default" w:ascii="Times New Roman" w:hAnsi="Times New Roman" w:eastAsia="宋体" w:cs="Times New Roman"/>
                <w:b/>
                <w:bCs/>
                <w:snapToGrid/>
                <w:color w:val="auto"/>
                <w:spacing w:val="0"/>
                <w:kern w:val="0"/>
                <w:position w:val="0"/>
                <w:sz w:val="24"/>
                <w:szCs w:val="24"/>
                <w:lang w:val="en-US" w:eastAsia="zh-CN"/>
              </w:rPr>
            </w:pPr>
            <w:r>
              <w:rPr>
                <w:rFonts w:hint="default" w:ascii="Times New Roman" w:hAnsi="Times New Roman" w:eastAsia="宋体" w:cs="Times New Roman"/>
                <w:b/>
                <w:bCs/>
                <w:snapToGrid/>
                <w:color w:val="auto"/>
                <w:spacing w:val="0"/>
                <w:kern w:val="0"/>
                <w:position w:val="0"/>
                <w:sz w:val="24"/>
                <w:szCs w:val="24"/>
                <w:lang w:val="en-US" w:eastAsia="zh-CN"/>
              </w:rPr>
              <w:t>1、大气环境</w:t>
            </w:r>
          </w:p>
          <w:p w14:paraId="420414EE">
            <w:pPr>
              <w:adjustRightInd w:val="0"/>
              <w:snapToGrid w:val="0"/>
              <w:spacing w:line="360" w:lineRule="auto"/>
              <w:ind w:firstLine="480" w:firstLineChars="200"/>
              <w:jc w:val="left"/>
              <w:rPr>
                <w:color w:val="auto"/>
                <w:sz w:val="24"/>
              </w:rPr>
            </w:pPr>
            <w:r>
              <w:rPr>
                <w:rFonts w:hint="eastAsia"/>
                <w:color w:val="auto"/>
                <w:sz w:val="24"/>
              </w:rPr>
              <w:t>（1）基本污染物</w:t>
            </w:r>
          </w:p>
          <w:p w14:paraId="77E5CE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根据《环境影响评价技术导则  大气环境》（HJ2.2-2018），项目所在区域达标情况判定优先采用国家或地方生态环境主管部门公开发布的环境质量公告或环境质量报告中的数据或结论。</w:t>
            </w:r>
          </w:p>
          <w:p w14:paraId="1A9E08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napToGrid/>
                <w:color w:val="auto"/>
                <w:spacing w:val="0"/>
                <w:kern w:val="0"/>
                <w:position w:val="0"/>
                <w:sz w:val="24"/>
                <w:szCs w:val="24"/>
                <w:highlight w:val="none"/>
                <w:lang w:val="en-US" w:eastAsia="zh-CN"/>
              </w:rPr>
            </w:pPr>
            <w:r>
              <w:rPr>
                <w:rFonts w:hint="default" w:ascii="Times New Roman" w:hAnsi="Times New Roman" w:eastAsia="宋体" w:cs="Times New Roman"/>
                <w:snapToGrid/>
                <w:color w:val="auto"/>
                <w:spacing w:val="0"/>
                <w:kern w:val="0"/>
                <w:position w:val="0"/>
                <w:sz w:val="24"/>
                <w:szCs w:val="24"/>
                <w:highlight w:val="none"/>
                <w:lang w:val="en-US" w:eastAsia="zh-CN"/>
              </w:rPr>
              <w:t>本次评价选取</w:t>
            </w:r>
            <w:r>
              <w:rPr>
                <w:rFonts w:hint="eastAsia" w:cs="Times New Roman"/>
                <w:snapToGrid/>
                <w:color w:val="auto"/>
                <w:spacing w:val="0"/>
                <w:kern w:val="0"/>
                <w:position w:val="0"/>
                <w:sz w:val="24"/>
                <w:szCs w:val="24"/>
                <w:highlight w:val="none"/>
                <w:lang w:val="en-US" w:eastAsia="zh-CN"/>
              </w:rPr>
              <w:t>2024</w:t>
            </w:r>
            <w:r>
              <w:rPr>
                <w:rFonts w:hint="default" w:ascii="Times New Roman" w:hAnsi="Times New Roman" w:eastAsia="宋体" w:cs="Times New Roman"/>
                <w:snapToGrid/>
                <w:color w:val="auto"/>
                <w:spacing w:val="0"/>
                <w:kern w:val="0"/>
                <w:position w:val="0"/>
                <w:sz w:val="24"/>
                <w:szCs w:val="24"/>
                <w:highlight w:val="none"/>
                <w:lang w:val="en-US" w:eastAsia="zh-CN"/>
              </w:rPr>
              <w:t>年作为评价基准年。根据</w:t>
            </w:r>
            <w:r>
              <w:rPr>
                <w:rFonts w:hint="default" w:ascii="Times New Roman" w:hAnsi="Times New Roman" w:eastAsia="宋体" w:cs="Times New Roman"/>
                <w:color w:val="auto"/>
                <w:sz w:val="24"/>
                <w:szCs w:val="24"/>
                <w:highlight w:val="none"/>
                <w:shd w:val="clear" w:color="auto" w:fill="auto"/>
                <w:lang w:val="en-US" w:eastAsia="zh-CN"/>
              </w:rPr>
              <w:t>《宿州市</w:t>
            </w:r>
            <w:r>
              <w:rPr>
                <w:rFonts w:hint="eastAsia" w:cs="Times New Roman"/>
                <w:color w:val="auto"/>
                <w:sz w:val="24"/>
                <w:szCs w:val="24"/>
                <w:highlight w:val="none"/>
                <w:shd w:val="clear" w:color="auto" w:fill="auto"/>
                <w:lang w:val="en-US" w:eastAsia="zh-CN"/>
              </w:rPr>
              <w:t>2024</w:t>
            </w:r>
            <w:r>
              <w:rPr>
                <w:rFonts w:hint="default" w:ascii="Times New Roman" w:hAnsi="Times New Roman" w:eastAsia="宋体" w:cs="Times New Roman"/>
                <w:color w:val="auto"/>
                <w:sz w:val="24"/>
                <w:szCs w:val="24"/>
                <w:highlight w:val="none"/>
                <w:shd w:val="clear" w:color="auto" w:fill="auto"/>
                <w:lang w:val="en-US" w:eastAsia="zh-CN"/>
              </w:rPr>
              <w:t>年环境质量公报》</w:t>
            </w:r>
            <w:r>
              <w:rPr>
                <w:rFonts w:hint="default" w:ascii="Times New Roman" w:hAnsi="Times New Roman" w:eastAsia="宋体" w:cs="Times New Roman"/>
                <w:snapToGrid/>
                <w:color w:val="auto"/>
                <w:spacing w:val="0"/>
                <w:kern w:val="0"/>
                <w:position w:val="0"/>
                <w:sz w:val="24"/>
                <w:szCs w:val="24"/>
                <w:highlight w:val="none"/>
                <w:lang w:val="en-US" w:eastAsia="zh-CN"/>
              </w:rPr>
              <w:t>，宿州市</w:t>
            </w:r>
            <w:r>
              <w:rPr>
                <w:rFonts w:hint="eastAsia" w:cs="Times New Roman"/>
                <w:snapToGrid/>
                <w:color w:val="auto"/>
                <w:spacing w:val="0"/>
                <w:kern w:val="0"/>
                <w:position w:val="0"/>
                <w:sz w:val="24"/>
                <w:szCs w:val="24"/>
                <w:highlight w:val="none"/>
                <w:lang w:val="en-US" w:eastAsia="zh-CN"/>
              </w:rPr>
              <w:t>2024</w:t>
            </w:r>
            <w:r>
              <w:rPr>
                <w:rFonts w:hint="default" w:ascii="Times New Roman" w:hAnsi="Times New Roman" w:eastAsia="宋体" w:cs="Times New Roman"/>
                <w:snapToGrid/>
                <w:color w:val="auto"/>
                <w:spacing w:val="0"/>
                <w:kern w:val="0"/>
                <w:position w:val="0"/>
                <w:sz w:val="24"/>
                <w:szCs w:val="24"/>
                <w:highlight w:val="none"/>
                <w:lang w:val="en-US" w:eastAsia="zh-CN"/>
              </w:rPr>
              <w:t>年环境空气质量基础污染物监测浓度项目区域空气质量达标判定见表3.1。</w:t>
            </w:r>
          </w:p>
          <w:p w14:paraId="551AA82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snapToGrid/>
                <w:color w:val="auto"/>
                <w:spacing w:val="0"/>
                <w:kern w:val="0"/>
                <w:position w:val="0"/>
                <w:sz w:val="24"/>
                <w:szCs w:val="24"/>
                <w:highlight w:val="none"/>
                <w:lang w:val="en-US" w:eastAsia="zh-CN"/>
              </w:rPr>
            </w:pPr>
            <w:r>
              <w:rPr>
                <w:rFonts w:hint="default" w:ascii="Times New Roman" w:hAnsi="Times New Roman" w:eastAsia="宋体" w:cs="Times New Roman"/>
                <w:b/>
                <w:bCs/>
                <w:snapToGrid/>
                <w:color w:val="auto"/>
                <w:spacing w:val="0"/>
                <w:kern w:val="0"/>
                <w:position w:val="0"/>
                <w:sz w:val="24"/>
                <w:szCs w:val="24"/>
                <w:highlight w:val="none"/>
                <w:lang w:val="en-US" w:eastAsia="zh-CN"/>
              </w:rPr>
              <w:t>表3.1  区域空气质量现状评价表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992"/>
              <w:gridCol w:w="1283"/>
              <w:gridCol w:w="1304"/>
              <w:gridCol w:w="1279"/>
              <w:gridCol w:w="1369"/>
            </w:tblGrid>
            <w:tr w14:paraId="0C32C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0" w:type="dxa"/>
                  <w:noWrap w:val="0"/>
                  <w:vAlign w:val="center"/>
                </w:tcPr>
                <w:p w14:paraId="2B95432B">
                  <w:pPr>
                    <w:adjustRightInd w:val="0"/>
                    <w:snapToGrid w:val="0"/>
                    <w:jc w:val="center"/>
                    <w:rPr>
                      <w:rFonts w:ascii="Times New Roman" w:hAnsi="Times New Roman" w:eastAsia="宋体" w:cs="Times New Roman"/>
                      <w:color w:val="auto"/>
                      <w:kern w:val="0"/>
                      <w:szCs w:val="21"/>
                      <w:highlight w:val="none"/>
                    </w:rPr>
                  </w:pPr>
                  <w:r>
                    <w:rPr>
                      <w:rFonts w:hint="default"/>
                      <w:color w:val="auto"/>
                      <w:sz w:val="21"/>
                      <w:szCs w:val="21"/>
                      <w:lang w:val="en-US" w:eastAsia="zh-CN"/>
                    </w:rPr>
                    <w:t>污染物</w:t>
                  </w:r>
                </w:p>
              </w:tc>
              <w:tc>
                <w:tcPr>
                  <w:tcW w:w="2004" w:type="dxa"/>
                  <w:noWrap w:val="0"/>
                  <w:vAlign w:val="center"/>
                </w:tcPr>
                <w:p w14:paraId="55BE68B6">
                  <w:pPr>
                    <w:adjustRightInd w:val="0"/>
                    <w:snapToGrid w:val="0"/>
                    <w:jc w:val="center"/>
                    <w:rPr>
                      <w:rFonts w:ascii="Times New Roman" w:hAnsi="Times New Roman" w:eastAsia="宋体" w:cs="Times New Roman"/>
                      <w:color w:val="auto"/>
                      <w:kern w:val="0"/>
                      <w:szCs w:val="21"/>
                      <w:highlight w:val="none"/>
                    </w:rPr>
                  </w:pPr>
                  <w:r>
                    <w:rPr>
                      <w:rFonts w:hint="default"/>
                      <w:color w:val="auto"/>
                      <w:sz w:val="21"/>
                      <w:szCs w:val="21"/>
                      <w:lang w:val="en-US" w:eastAsia="zh-CN"/>
                    </w:rPr>
                    <w:t>评价标准</w:t>
                  </w:r>
                </w:p>
              </w:tc>
              <w:tc>
                <w:tcPr>
                  <w:tcW w:w="1291" w:type="dxa"/>
                  <w:noWrap w:val="0"/>
                  <w:vAlign w:val="center"/>
                </w:tcPr>
                <w:p w14:paraId="4C4BA9CF">
                  <w:pPr>
                    <w:adjustRightInd w:val="0"/>
                    <w:snapToGrid w:val="0"/>
                    <w:jc w:val="center"/>
                    <w:rPr>
                      <w:rFonts w:ascii="Times New Roman" w:hAnsi="Times New Roman" w:eastAsia="宋体" w:cs="Times New Roman"/>
                      <w:color w:val="auto"/>
                      <w:kern w:val="0"/>
                      <w:szCs w:val="21"/>
                      <w:highlight w:val="none"/>
                    </w:rPr>
                  </w:pPr>
                  <w:r>
                    <w:rPr>
                      <w:rFonts w:hint="default"/>
                      <w:color w:val="auto"/>
                      <w:sz w:val="21"/>
                      <w:szCs w:val="21"/>
                      <w:lang w:val="en-US" w:eastAsia="zh-CN"/>
                    </w:rPr>
                    <w:t>年均浓度（μg/m</w:t>
                  </w:r>
                  <w:r>
                    <w:rPr>
                      <w:rFonts w:hint="eastAsia"/>
                      <w:color w:val="auto"/>
                      <w:sz w:val="21"/>
                      <w:szCs w:val="21"/>
                      <w:vertAlign w:val="superscript"/>
                      <w:lang w:val="en-US" w:eastAsia="zh-CN"/>
                    </w:rPr>
                    <w:t>3</w:t>
                  </w:r>
                  <w:r>
                    <w:rPr>
                      <w:rFonts w:hint="default"/>
                      <w:color w:val="auto"/>
                      <w:sz w:val="21"/>
                      <w:szCs w:val="21"/>
                      <w:lang w:val="en-US" w:eastAsia="zh-CN"/>
                    </w:rPr>
                    <w:t>）</w:t>
                  </w:r>
                </w:p>
              </w:tc>
              <w:tc>
                <w:tcPr>
                  <w:tcW w:w="1312" w:type="dxa"/>
                  <w:noWrap w:val="0"/>
                  <w:vAlign w:val="center"/>
                </w:tcPr>
                <w:p w14:paraId="10790AEB">
                  <w:pPr>
                    <w:adjustRightInd w:val="0"/>
                    <w:snapToGrid w:val="0"/>
                    <w:jc w:val="center"/>
                    <w:rPr>
                      <w:rFonts w:ascii="Times New Roman" w:hAnsi="Times New Roman" w:eastAsia="宋体" w:cs="Times New Roman"/>
                      <w:color w:val="auto"/>
                      <w:kern w:val="0"/>
                      <w:szCs w:val="21"/>
                      <w:highlight w:val="none"/>
                    </w:rPr>
                  </w:pPr>
                  <w:r>
                    <w:rPr>
                      <w:rFonts w:hint="default"/>
                      <w:color w:val="auto"/>
                      <w:sz w:val="21"/>
                      <w:szCs w:val="21"/>
                      <w:lang w:val="en-US" w:eastAsia="zh-CN"/>
                    </w:rPr>
                    <w:t>标准值（μg/m</w:t>
                  </w:r>
                  <w:r>
                    <w:rPr>
                      <w:rFonts w:hint="eastAsia"/>
                      <w:color w:val="auto"/>
                      <w:sz w:val="21"/>
                      <w:szCs w:val="21"/>
                      <w:vertAlign w:val="superscript"/>
                      <w:lang w:val="en-US" w:eastAsia="zh-CN"/>
                    </w:rPr>
                    <w:t>3</w:t>
                  </w:r>
                  <w:r>
                    <w:rPr>
                      <w:rFonts w:hint="default"/>
                      <w:color w:val="auto"/>
                      <w:sz w:val="21"/>
                      <w:szCs w:val="21"/>
                      <w:lang w:val="en-US" w:eastAsia="zh-CN"/>
                    </w:rPr>
                    <w:t>）</w:t>
                  </w:r>
                </w:p>
              </w:tc>
              <w:tc>
                <w:tcPr>
                  <w:tcW w:w="1286" w:type="dxa"/>
                  <w:noWrap w:val="0"/>
                  <w:vAlign w:val="center"/>
                </w:tcPr>
                <w:p w14:paraId="01AFD851">
                  <w:pPr>
                    <w:adjustRightInd w:val="0"/>
                    <w:snapToGrid w:val="0"/>
                    <w:jc w:val="center"/>
                    <w:rPr>
                      <w:rFonts w:ascii="Times New Roman" w:hAnsi="Times New Roman" w:eastAsia="宋体" w:cs="Times New Roman"/>
                      <w:color w:val="auto"/>
                      <w:kern w:val="0"/>
                      <w:szCs w:val="21"/>
                      <w:highlight w:val="none"/>
                    </w:rPr>
                  </w:pPr>
                  <w:r>
                    <w:rPr>
                      <w:rFonts w:hint="default"/>
                      <w:color w:val="auto"/>
                      <w:sz w:val="21"/>
                      <w:szCs w:val="21"/>
                      <w:lang w:val="en-US" w:eastAsia="zh-CN"/>
                    </w:rPr>
                    <w:t>占标率%</w:t>
                  </w:r>
                </w:p>
              </w:tc>
              <w:tc>
                <w:tcPr>
                  <w:tcW w:w="1377" w:type="dxa"/>
                  <w:noWrap w:val="0"/>
                  <w:vAlign w:val="center"/>
                </w:tcPr>
                <w:p w14:paraId="394BCDD3">
                  <w:pPr>
                    <w:adjustRightInd w:val="0"/>
                    <w:snapToGrid w:val="0"/>
                    <w:jc w:val="center"/>
                    <w:rPr>
                      <w:rFonts w:ascii="Times New Roman" w:hAnsi="Times New Roman" w:eastAsia="宋体" w:cs="Times New Roman"/>
                      <w:color w:val="auto"/>
                      <w:kern w:val="0"/>
                      <w:szCs w:val="21"/>
                      <w:highlight w:val="none"/>
                    </w:rPr>
                  </w:pPr>
                  <w:r>
                    <w:rPr>
                      <w:rFonts w:hint="default"/>
                      <w:color w:val="auto"/>
                      <w:sz w:val="21"/>
                      <w:szCs w:val="21"/>
                      <w:lang w:val="en-US" w:eastAsia="zh-CN"/>
                    </w:rPr>
                    <w:t>达标情况</w:t>
                  </w:r>
                </w:p>
              </w:tc>
            </w:tr>
            <w:tr w14:paraId="75C4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0" w:type="dxa"/>
                  <w:noWrap w:val="0"/>
                  <w:vAlign w:val="center"/>
                </w:tcPr>
                <w:p w14:paraId="38CB75F6">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sz w:val="21"/>
                      <w:szCs w:val="21"/>
                      <w:lang w:val="en-US" w:eastAsia="zh-CN"/>
                    </w:rPr>
                    <w:t>PM</w:t>
                  </w:r>
                  <w:r>
                    <w:rPr>
                      <w:rFonts w:hint="eastAsia"/>
                      <w:color w:val="auto"/>
                      <w:sz w:val="21"/>
                      <w:szCs w:val="21"/>
                      <w:vertAlign w:val="subscript"/>
                      <w:lang w:val="en-US" w:eastAsia="zh-CN"/>
                    </w:rPr>
                    <w:t>10</w:t>
                  </w:r>
                </w:p>
              </w:tc>
              <w:tc>
                <w:tcPr>
                  <w:tcW w:w="2004" w:type="dxa"/>
                  <w:noWrap w:val="0"/>
                  <w:vAlign w:val="center"/>
                </w:tcPr>
                <w:p w14:paraId="03F1F175">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sz w:val="21"/>
                      <w:szCs w:val="21"/>
                      <w:lang w:val="en-US" w:eastAsia="zh-CN"/>
                    </w:rPr>
                    <w:t>年平均浓度</w:t>
                  </w:r>
                </w:p>
              </w:tc>
              <w:tc>
                <w:tcPr>
                  <w:tcW w:w="1291" w:type="dxa"/>
                  <w:noWrap w:val="0"/>
                  <w:vAlign w:val="center"/>
                </w:tcPr>
                <w:p w14:paraId="7E971774">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71</w:t>
                  </w:r>
                </w:p>
              </w:tc>
              <w:tc>
                <w:tcPr>
                  <w:tcW w:w="1312" w:type="dxa"/>
                  <w:noWrap w:val="0"/>
                  <w:vAlign w:val="center"/>
                </w:tcPr>
                <w:p w14:paraId="325DA668">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sz w:val="21"/>
                      <w:szCs w:val="21"/>
                      <w:lang w:val="en-US" w:eastAsia="zh-CN"/>
                    </w:rPr>
                    <w:t>70</w:t>
                  </w:r>
                </w:p>
              </w:tc>
              <w:tc>
                <w:tcPr>
                  <w:tcW w:w="1286" w:type="dxa"/>
                  <w:noWrap w:val="0"/>
                  <w:vAlign w:val="center"/>
                </w:tcPr>
                <w:p w14:paraId="18D1D329">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sz w:val="21"/>
                      <w:szCs w:val="21"/>
                      <w:lang w:val="en-US" w:eastAsia="zh-CN"/>
                    </w:rPr>
                    <w:t>101.4</w:t>
                  </w:r>
                </w:p>
              </w:tc>
              <w:tc>
                <w:tcPr>
                  <w:tcW w:w="1377" w:type="dxa"/>
                  <w:noWrap w:val="0"/>
                  <w:vAlign w:val="center"/>
                </w:tcPr>
                <w:p w14:paraId="2C62B967">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sz w:val="21"/>
                      <w:szCs w:val="21"/>
                      <w:lang w:val="en-US" w:eastAsia="zh-CN"/>
                    </w:rPr>
                    <w:t>不达标</w:t>
                  </w:r>
                </w:p>
              </w:tc>
            </w:tr>
            <w:tr w14:paraId="3B48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0" w:type="dxa"/>
                  <w:noWrap w:val="0"/>
                  <w:vAlign w:val="center"/>
                </w:tcPr>
                <w:p w14:paraId="01F15430">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sz w:val="21"/>
                      <w:szCs w:val="21"/>
                      <w:lang w:val="en-US" w:eastAsia="zh-CN"/>
                    </w:rPr>
                    <w:t>PM</w:t>
                  </w:r>
                  <w:r>
                    <w:rPr>
                      <w:rFonts w:hint="eastAsia"/>
                      <w:color w:val="auto"/>
                      <w:sz w:val="21"/>
                      <w:szCs w:val="21"/>
                      <w:vertAlign w:val="subscript"/>
                      <w:lang w:val="en-US" w:eastAsia="zh-CN"/>
                    </w:rPr>
                    <w:t>2.5</w:t>
                  </w:r>
                </w:p>
              </w:tc>
              <w:tc>
                <w:tcPr>
                  <w:tcW w:w="2004" w:type="dxa"/>
                  <w:noWrap w:val="0"/>
                  <w:vAlign w:val="center"/>
                </w:tcPr>
                <w:p w14:paraId="5E064AA8">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sz w:val="21"/>
                      <w:szCs w:val="21"/>
                      <w:lang w:val="en-US" w:eastAsia="zh-CN"/>
                    </w:rPr>
                    <w:t>年平均浓度</w:t>
                  </w:r>
                </w:p>
              </w:tc>
              <w:tc>
                <w:tcPr>
                  <w:tcW w:w="1291" w:type="dxa"/>
                  <w:noWrap w:val="0"/>
                  <w:vAlign w:val="center"/>
                </w:tcPr>
                <w:p w14:paraId="6B47E3F9">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43</w:t>
                  </w:r>
                </w:p>
              </w:tc>
              <w:tc>
                <w:tcPr>
                  <w:tcW w:w="1312" w:type="dxa"/>
                  <w:noWrap w:val="0"/>
                  <w:vAlign w:val="center"/>
                </w:tcPr>
                <w:p w14:paraId="5E45EBFB">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sz w:val="21"/>
                      <w:szCs w:val="21"/>
                      <w:lang w:val="en-US" w:eastAsia="zh-CN"/>
                    </w:rPr>
                    <w:t>35</w:t>
                  </w:r>
                </w:p>
              </w:tc>
              <w:tc>
                <w:tcPr>
                  <w:tcW w:w="1286" w:type="dxa"/>
                  <w:noWrap w:val="0"/>
                  <w:vAlign w:val="center"/>
                </w:tcPr>
                <w:p w14:paraId="1DAE53D3">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sz w:val="21"/>
                      <w:szCs w:val="21"/>
                      <w:lang w:val="en-US" w:eastAsia="zh-CN"/>
                    </w:rPr>
                    <w:t>122.9</w:t>
                  </w:r>
                </w:p>
              </w:tc>
              <w:tc>
                <w:tcPr>
                  <w:tcW w:w="1377" w:type="dxa"/>
                  <w:noWrap w:val="0"/>
                  <w:vAlign w:val="center"/>
                </w:tcPr>
                <w:p w14:paraId="092DDC0C">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sz w:val="21"/>
                      <w:szCs w:val="21"/>
                      <w:lang w:val="en-US" w:eastAsia="zh-CN"/>
                    </w:rPr>
                    <w:t>不达标</w:t>
                  </w:r>
                </w:p>
              </w:tc>
            </w:tr>
            <w:tr w14:paraId="7678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0" w:type="dxa"/>
                  <w:noWrap w:val="0"/>
                  <w:vAlign w:val="center"/>
                </w:tcPr>
                <w:p w14:paraId="7712716F">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sz w:val="21"/>
                      <w:szCs w:val="21"/>
                      <w:lang w:val="en-US" w:eastAsia="zh-CN"/>
                    </w:rPr>
                    <w:t>SO</w:t>
                  </w:r>
                  <w:r>
                    <w:rPr>
                      <w:rFonts w:hint="eastAsia"/>
                      <w:color w:val="auto"/>
                      <w:sz w:val="21"/>
                      <w:szCs w:val="21"/>
                      <w:vertAlign w:val="subscript"/>
                      <w:lang w:val="en-US" w:eastAsia="zh-CN"/>
                    </w:rPr>
                    <w:t>2</w:t>
                  </w:r>
                </w:p>
              </w:tc>
              <w:tc>
                <w:tcPr>
                  <w:tcW w:w="2004" w:type="dxa"/>
                  <w:noWrap w:val="0"/>
                  <w:vAlign w:val="center"/>
                </w:tcPr>
                <w:p w14:paraId="4C282B49">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sz w:val="21"/>
                      <w:szCs w:val="21"/>
                      <w:lang w:val="en-US" w:eastAsia="zh-CN"/>
                    </w:rPr>
                    <w:t>年平均浓度</w:t>
                  </w:r>
                </w:p>
              </w:tc>
              <w:tc>
                <w:tcPr>
                  <w:tcW w:w="1291" w:type="dxa"/>
                  <w:noWrap w:val="0"/>
                  <w:vAlign w:val="center"/>
                </w:tcPr>
                <w:p w14:paraId="275B55F7">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6</w:t>
                  </w:r>
                </w:p>
              </w:tc>
              <w:tc>
                <w:tcPr>
                  <w:tcW w:w="1312" w:type="dxa"/>
                  <w:noWrap w:val="0"/>
                  <w:vAlign w:val="center"/>
                </w:tcPr>
                <w:p w14:paraId="4EA80EC4">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sz w:val="21"/>
                      <w:szCs w:val="21"/>
                      <w:lang w:val="en-US" w:eastAsia="zh-CN"/>
                    </w:rPr>
                    <w:t>60</w:t>
                  </w:r>
                </w:p>
              </w:tc>
              <w:tc>
                <w:tcPr>
                  <w:tcW w:w="1286" w:type="dxa"/>
                  <w:noWrap w:val="0"/>
                  <w:vAlign w:val="center"/>
                </w:tcPr>
                <w:p w14:paraId="0A0799E1">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sz w:val="21"/>
                      <w:szCs w:val="21"/>
                      <w:lang w:val="en-US" w:eastAsia="zh-CN"/>
                    </w:rPr>
                    <w:t>10.0</w:t>
                  </w:r>
                </w:p>
              </w:tc>
              <w:tc>
                <w:tcPr>
                  <w:tcW w:w="1377" w:type="dxa"/>
                  <w:noWrap w:val="0"/>
                  <w:vAlign w:val="center"/>
                </w:tcPr>
                <w:p w14:paraId="7E1EB083">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sz w:val="21"/>
                      <w:szCs w:val="21"/>
                      <w:lang w:val="en-US" w:eastAsia="zh-CN"/>
                    </w:rPr>
                    <w:t>达标</w:t>
                  </w:r>
                </w:p>
              </w:tc>
            </w:tr>
            <w:tr w14:paraId="4330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0" w:type="dxa"/>
                  <w:noWrap w:val="0"/>
                  <w:vAlign w:val="center"/>
                </w:tcPr>
                <w:p w14:paraId="1F91735E">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sz w:val="21"/>
                      <w:szCs w:val="21"/>
                      <w:lang w:val="en-US" w:eastAsia="zh-CN"/>
                    </w:rPr>
                    <w:t>NO</w:t>
                  </w:r>
                  <w:r>
                    <w:rPr>
                      <w:rFonts w:hint="eastAsia"/>
                      <w:color w:val="auto"/>
                      <w:sz w:val="21"/>
                      <w:szCs w:val="21"/>
                      <w:vertAlign w:val="subscript"/>
                      <w:lang w:val="en-US" w:eastAsia="zh-CN"/>
                    </w:rPr>
                    <w:t>2</w:t>
                  </w:r>
                </w:p>
              </w:tc>
              <w:tc>
                <w:tcPr>
                  <w:tcW w:w="2004" w:type="dxa"/>
                  <w:noWrap w:val="0"/>
                  <w:vAlign w:val="center"/>
                </w:tcPr>
                <w:p w14:paraId="66D5C788">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sz w:val="21"/>
                      <w:szCs w:val="21"/>
                      <w:lang w:val="en-US" w:eastAsia="zh-CN"/>
                    </w:rPr>
                    <w:t>年平均浓度</w:t>
                  </w:r>
                </w:p>
              </w:tc>
              <w:tc>
                <w:tcPr>
                  <w:tcW w:w="1291" w:type="dxa"/>
                  <w:noWrap w:val="0"/>
                  <w:vAlign w:val="center"/>
                </w:tcPr>
                <w:p w14:paraId="0075E90C">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18</w:t>
                  </w:r>
                </w:p>
              </w:tc>
              <w:tc>
                <w:tcPr>
                  <w:tcW w:w="1312" w:type="dxa"/>
                  <w:noWrap w:val="0"/>
                  <w:vAlign w:val="center"/>
                </w:tcPr>
                <w:p w14:paraId="773B4670">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sz w:val="21"/>
                      <w:szCs w:val="21"/>
                      <w:lang w:val="en-US" w:eastAsia="zh-CN"/>
                    </w:rPr>
                    <w:t>40</w:t>
                  </w:r>
                </w:p>
              </w:tc>
              <w:tc>
                <w:tcPr>
                  <w:tcW w:w="1286" w:type="dxa"/>
                  <w:noWrap w:val="0"/>
                  <w:vAlign w:val="center"/>
                </w:tcPr>
                <w:p w14:paraId="2047A135">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sz w:val="21"/>
                      <w:szCs w:val="21"/>
                      <w:lang w:val="en-US" w:eastAsia="zh-CN"/>
                    </w:rPr>
                    <w:t>45.0</w:t>
                  </w:r>
                </w:p>
              </w:tc>
              <w:tc>
                <w:tcPr>
                  <w:tcW w:w="1377" w:type="dxa"/>
                  <w:noWrap w:val="0"/>
                  <w:vAlign w:val="center"/>
                </w:tcPr>
                <w:p w14:paraId="5241EEBD">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sz w:val="21"/>
                      <w:szCs w:val="21"/>
                      <w:lang w:val="en-US" w:eastAsia="zh-CN"/>
                    </w:rPr>
                    <w:t>达标</w:t>
                  </w:r>
                </w:p>
              </w:tc>
            </w:tr>
            <w:tr w14:paraId="3840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0" w:type="dxa"/>
                  <w:noWrap w:val="0"/>
                  <w:vAlign w:val="center"/>
                </w:tcPr>
                <w:p w14:paraId="37480775">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sz w:val="21"/>
                      <w:szCs w:val="21"/>
                      <w:lang w:val="en-US" w:eastAsia="zh-CN"/>
                    </w:rPr>
                    <w:t>CO</w:t>
                  </w:r>
                </w:p>
              </w:tc>
              <w:tc>
                <w:tcPr>
                  <w:tcW w:w="2004" w:type="dxa"/>
                  <w:noWrap w:val="0"/>
                  <w:vAlign w:val="center"/>
                </w:tcPr>
                <w:p w14:paraId="34F87E5A">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sz w:val="21"/>
                      <w:szCs w:val="21"/>
                      <w:lang w:val="en-US" w:eastAsia="zh-CN"/>
                    </w:rPr>
                    <w:t>日平均第95百分位质量浓度</w:t>
                  </w:r>
                </w:p>
              </w:tc>
              <w:tc>
                <w:tcPr>
                  <w:tcW w:w="1291" w:type="dxa"/>
                  <w:noWrap w:val="0"/>
                  <w:vAlign w:val="center"/>
                </w:tcPr>
                <w:p w14:paraId="5A3D69C3">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sz w:val="21"/>
                      <w:szCs w:val="21"/>
                      <w:lang w:val="en-US" w:eastAsia="zh-CN"/>
                    </w:rPr>
                    <w:t>0.9mg/m</w:t>
                  </w:r>
                  <w:r>
                    <w:rPr>
                      <w:rFonts w:hint="eastAsia"/>
                      <w:color w:val="auto"/>
                      <w:sz w:val="21"/>
                      <w:szCs w:val="21"/>
                      <w:vertAlign w:val="superscript"/>
                      <w:lang w:val="en-US" w:eastAsia="zh-CN"/>
                    </w:rPr>
                    <w:t>3</w:t>
                  </w:r>
                </w:p>
              </w:tc>
              <w:tc>
                <w:tcPr>
                  <w:tcW w:w="1312" w:type="dxa"/>
                  <w:noWrap w:val="0"/>
                  <w:vAlign w:val="center"/>
                </w:tcPr>
                <w:p w14:paraId="66FA570B">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sz w:val="21"/>
                      <w:szCs w:val="21"/>
                      <w:lang w:val="en-US" w:eastAsia="zh-CN"/>
                    </w:rPr>
                    <w:t>4mg/m</w:t>
                  </w:r>
                  <w:r>
                    <w:rPr>
                      <w:rFonts w:hint="eastAsia"/>
                      <w:color w:val="auto"/>
                      <w:sz w:val="21"/>
                      <w:szCs w:val="21"/>
                      <w:vertAlign w:val="superscript"/>
                      <w:lang w:val="en-US" w:eastAsia="zh-CN"/>
                    </w:rPr>
                    <w:t>3</w:t>
                  </w:r>
                </w:p>
              </w:tc>
              <w:tc>
                <w:tcPr>
                  <w:tcW w:w="1286" w:type="dxa"/>
                  <w:noWrap w:val="0"/>
                  <w:vAlign w:val="center"/>
                </w:tcPr>
                <w:p w14:paraId="35C776CD">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sz w:val="21"/>
                      <w:szCs w:val="21"/>
                      <w:lang w:val="en-US" w:eastAsia="zh-CN"/>
                    </w:rPr>
                    <w:t>22.5</w:t>
                  </w:r>
                </w:p>
              </w:tc>
              <w:tc>
                <w:tcPr>
                  <w:tcW w:w="1377" w:type="dxa"/>
                  <w:noWrap w:val="0"/>
                  <w:vAlign w:val="center"/>
                </w:tcPr>
                <w:p w14:paraId="7081721E">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sz w:val="21"/>
                      <w:szCs w:val="21"/>
                      <w:lang w:val="en-US" w:eastAsia="zh-CN"/>
                    </w:rPr>
                    <w:t>达标</w:t>
                  </w:r>
                </w:p>
              </w:tc>
            </w:tr>
            <w:tr w14:paraId="1E3B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0" w:type="dxa"/>
                  <w:noWrap w:val="0"/>
                  <w:vAlign w:val="center"/>
                </w:tcPr>
                <w:p w14:paraId="5BBAC191">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sz w:val="21"/>
                      <w:szCs w:val="21"/>
                      <w:lang w:val="en-US" w:eastAsia="zh-CN"/>
                    </w:rPr>
                    <w:t>O</w:t>
                  </w:r>
                  <w:r>
                    <w:rPr>
                      <w:rFonts w:hint="eastAsia"/>
                      <w:color w:val="auto"/>
                      <w:sz w:val="21"/>
                      <w:szCs w:val="21"/>
                      <w:vertAlign w:val="subscript"/>
                      <w:lang w:val="en-US" w:eastAsia="zh-CN"/>
                    </w:rPr>
                    <w:t>3</w:t>
                  </w:r>
                </w:p>
              </w:tc>
              <w:tc>
                <w:tcPr>
                  <w:tcW w:w="2004" w:type="dxa"/>
                  <w:noWrap w:val="0"/>
                  <w:vAlign w:val="center"/>
                </w:tcPr>
                <w:p w14:paraId="5CFDA85E">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sz w:val="21"/>
                      <w:szCs w:val="21"/>
                      <w:lang w:val="en-US" w:eastAsia="zh-CN"/>
                    </w:rPr>
                    <w:t>日最大8小时平均第90百分位质量浓度</w:t>
                  </w:r>
                </w:p>
              </w:tc>
              <w:tc>
                <w:tcPr>
                  <w:tcW w:w="1291" w:type="dxa"/>
                  <w:noWrap w:val="0"/>
                  <w:vAlign w:val="center"/>
                </w:tcPr>
                <w:p w14:paraId="078F7072">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sz w:val="21"/>
                      <w:szCs w:val="21"/>
                      <w:lang w:val="en-US" w:eastAsia="zh-CN"/>
                    </w:rPr>
                    <w:t>170</w:t>
                  </w:r>
                </w:p>
              </w:tc>
              <w:tc>
                <w:tcPr>
                  <w:tcW w:w="1312" w:type="dxa"/>
                  <w:noWrap w:val="0"/>
                  <w:vAlign w:val="center"/>
                </w:tcPr>
                <w:p w14:paraId="0D6F73A4">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sz w:val="21"/>
                      <w:szCs w:val="21"/>
                      <w:lang w:val="en-US" w:eastAsia="zh-CN"/>
                    </w:rPr>
                    <w:t>160</w:t>
                  </w:r>
                </w:p>
              </w:tc>
              <w:tc>
                <w:tcPr>
                  <w:tcW w:w="1286" w:type="dxa"/>
                  <w:noWrap w:val="0"/>
                  <w:vAlign w:val="center"/>
                </w:tcPr>
                <w:p w14:paraId="62B58CCE">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sz w:val="21"/>
                      <w:szCs w:val="21"/>
                      <w:lang w:val="en-US" w:eastAsia="zh-CN"/>
                    </w:rPr>
                    <w:t>106.3</w:t>
                  </w:r>
                </w:p>
              </w:tc>
              <w:tc>
                <w:tcPr>
                  <w:tcW w:w="1377" w:type="dxa"/>
                  <w:noWrap w:val="0"/>
                  <w:vAlign w:val="center"/>
                </w:tcPr>
                <w:p w14:paraId="1D2FEF8B">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sz w:val="21"/>
                      <w:szCs w:val="21"/>
                      <w:lang w:val="en-US" w:eastAsia="zh-CN"/>
                    </w:rPr>
                    <w:t>不</w:t>
                  </w:r>
                  <w:r>
                    <w:rPr>
                      <w:rFonts w:hint="default"/>
                      <w:color w:val="auto"/>
                      <w:sz w:val="21"/>
                      <w:szCs w:val="21"/>
                      <w:lang w:val="en-US" w:eastAsia="zh-CN"/>
                    </w:rPr>
                    <w:t>达标</w:t>
                  </w:r>
                </w:p>
              </w:tc>
            </w:tr>
          </w:tbl>
          <w:p w14:paraId="10614B8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default" w:ascii="Times New Roman" w:hAnsi="Times New Roman" w:eastAsia="宋体" w:cs="Times New Roman"/>
                <w:snapToGrid/>
                <w:color w:val="auto"/>
                <w:spacing w:val="0"/>
                <w:kern w:val="0"/>
                <w:position w:val="0"/>
                <w:sz w:val="24"/>
                <w:szCs w:val="24"/>
                <w:lang w:val="en-US" w:eastAsia="zh-CN"/>
              </w:rPr>
            </w:pPr>
            <w:r>
              <w:rPr>
                <w:rFonts w:hint="default" w:ascii="Times New Roman" w:hAnsi="Times New Roman" w:eastAsia="宋体" w:cs="Times New Roman"/>
                <w:color w:val="auto"/>
                <w:kern w:val="0"/>
                <w:sz w:val="24"/>
                <w:szCs w:val="24"/>
                <w:lang w:val="en-US" w:eastAsia="zh-CN"/>
              </w:rPr>
              <w:t>宿州市</w:t>
            </w:r>
            <w:r>
              <w:rPr>
                <w:rFonts w:hint="eastAsia" w:cs="Times New Roman"/>
                <w:color w:val="auto"/>
                <w:kern w:val="0"/>
                <w:sz w:val="24"/>
                <w:szCs w:val="24"/>
                <w:lang w:val="en-US" w:eastAsia="zh-CN"/>
              </w:rPr>
              <w:t>2024</w:t>
            </w:r>
            <w:r>
              <w:rPr>
                <w:rFonts w:hint="default" w:ascii="Times New Roman" w:hAnsi="Times New Roman" w:eastAsia="宋体" w:cs="Times New Roman"/>
                <w:color w:val="auto"/>
                <w:kern w:val="0"/>
                <w:sz w:val="24"/>
                <w:szCs w:val="24"/>
                <w:lang w:val="en-US" w:eastAsia="zh-CN"/>
              </w:rPr>
              <w:t>年PM</w:t>
            </w:r>
            <w:r>
              <w:rPr>
                <w:rFonts w:hint="default" w:ascii="Times New Roman" w:hAnsi="Times New Roman" w:eastAsia="宋体" w:cs="Times New Roman"/>
                <w:color w:val="auto"/>
                <w:kern w:val="0"/>
                <w:sz w:val="24"/>
                <w:szCs w:val="24"/>
                <w:vertAlign w:val="subscript"/>
                <w:lang w:val="en-US" w:eastAsia="zh-CN"/>
              </w:rPr>
              <w:t>10</w:t>
            </w:r>
            <w:r>
              <w:rPr>
                <w:rFonts w:hint="default" w:ascii="Times New Roman" w:hAnsi="Times New Roman" w:eastAsia="宋体" w:cs="Times New Roman"/>
                <w:color w:val="auto"/>
                <w:kern w:val="0"/>
                <w:sz w:val="24"/>
                <w:szCs w:val="24"/>
                <w:lang w:val="en-US" w:eastAsia="zh-CN"/>
              </w:rPr>
              <w:t>、PM</w:t>
            </w:r>
            <w:r>
              <w:rPr>
                <w:rFonts w:hint="default" w:ascii="Times New Roman" w:hAnsi="Times New Roman" w:eastAsia="宋体" w:cs="Times New Roman"/>
                <w:color w:val="auto"/>
                <w:kern w:val="0"/>
                <w:sz w:val="24"/>
                <w:szCs w:val="24"/>
                <w:vertAlign w:val="subscript"/>
                <w:lang w:val="en-US" w:eastAsia="zh-CN"/>
              </w:rPr>
              <w:t>2.5</w:t>
            </w:r>
            <w:r>
              <w:rPr>
                <w:rFonts w:hint="eastAsia" w:cs="Times New Roman"/>
                <w:color w:val="auto"/>
                <w:kern w:val="0"/>
                <w:sz w:val="24"/>
                <w:szCs w:val="24"/>
                <w:vertAlign w:val="baseline"/>
                <w:lang w:val="en-US" w:eastAsia="zh-CN"/>
              </w:rPr>
              <w:t>、</w:t>
            </w:r>
            <w:r>
              <w:rPr>
                <w:rFonts w:hint="default" w:ascii="Times New Roman" w:hAnsi="Times New Roman" w:eastAsia="宋体" w:cs="Times New Roman"/>
                <w:color w:val="auto"/>
                <w:kern w:val="0"/>
                <w:sz w:val="24"/>
                <w:szCs w:val="24"/>
                <w:lang w:val="en-US" w:eastAsia="zh-CN"/>
              </w:rPr>
              <w:t>SO</w:t>
            </w:r>
            <w:r>
              <w:rPr>
                <w:rFonts w:hint="default" w:ascii="Times New Roman" w:hAnsi="Times New Roman" w:eastAsia="宋体" w:cs="Times New Roman"/>
                <w:color w:val="auto"/>
                <w:kern w:val="0"/>
                <w:sz w:val="24"/>
                <w:szCs w:val="24"/>
                <w:vertAlign w:val="subscript"/>
                <w:lang w:val="en-US" w:eastAsia="zh-CN"/>
              </w:rPr>
              <w:t>2</w:t>
            </w:r>
            <w:r>
              <w:rPr>
                <w:rFonts w:hint="default" w:ascii="Times New Roman" w:hAnsi="Times New Roman" w:eastAsia="宋体" w:cs="Times New Roman"/>
                <w:color w:val="auto"/>
                <w:kern w:val="0"/>
                <w:sz w:val="24"/>
                <w:szCs w:val="24"/>
                <w:lang w:val="en-US" w:eastAsia="zh-CN"/>
              </w:rPr>
              <w:t>、NO</w:t>
            </w:r>
            <w:r>
              <w:rPr>
                <w:rFonts w:hint="default" w:ascii="Times New Roman" w:hAnsi="Times New Roman" w:eastAsia="宋体" w:cs="Times New Roman"/>
                <w:color w:val="auto"/>
                <w:kern w:val="0"/>
                <w:sz w:val="24"/>
                <w:szCs w:val="24"/>
                <w:vertAlign w:val="subscript"/>
                <w:lang w:val="en-US" w:eastAsia="zh-CN"/>
              </w:rPr>
              <w:t>2</w:t>
            </w:r>
            <w:r>
              <w:rPr>
                <w:rFonts w:hint="default" w:ascii="Times New Roman" w:hAnsi="Times New Roman" w:eastAsia="宋体" w:cs="Times New Roman"/>
                <w:color w:val="auto"/>
                <w:kern w:val="0"/>
                <w:sz w:val="24"/>
                <w:szCs w:val="24"/>
                <w:lang w:val="en-US" w:eastAsia="zh-CN"/>
              </w:rPr>
              <w:t>年均浓度分别为</w:t>
            </w:r>
            <w:r>
              <w:rPr>
                <w:rFonts w:hint="eastAsia" w:cs="Times New Roman"/>
                <w:color w:val="auto"/>
                <w:kern w:val="0"/>
                <w:sz w:val="24"/>
                <w:szCs w:val="24"/>
                <w:lang w:val="en-US" w:eastAsia="zh-CN"/>
              </w:rPr>
              <w:t>71</w:t>
            </w:r>
            <w:r>
              <w:rPr>
                <w:rFonts w:hint="default" w:ascii="Times New Roman" w:hAnsi="Times New Roman" w:eastAsia="宋体" w:cs="Times New Roman"/>
                <w:color w:val="auto"/>
                <w:kern w:val="0"/>
                <w:sz w:val="24"/>
                <w:szCs w:val="24"/>
                <w:lang w:val="en-US" w:eastAsia="zh-CN"/>
              </w:rPr>
              <w:t>μg/m</w:t>
            </w:r>
            <w:r>
              <w:rPr>
                <w:rFonts w:hint="default" w:ascii="Times New Roman" w:hAnsi="Times New Roman" w:eastAsia="宋体" w:cs="Times New Roman"/>
                <w:color w:val="auto"/>
                <w:kern w:val="0"/>
                <w:sz w:val="24"/>
                <w:szCs w:val="24"/>
                <w:vertAlign w:val="superscript"/>
                <w:lang w:val="en-US" w:eastAsia="zh-CN"/>
              </w:rPr>
              <w:t>3</w:t>
            </w:r>
            <w:r>
              <w:rPr>
                <w:rFonts w:hint="default" w:ascii="Times New Roman" w:hAnsi="Times New Roman" w:eastAsia="宋体" w:cs="Times New Roman"/>
                <w:color w:val="auto"/>
                <w:kern w:val="0"/>
                <w:sz w:val="24"/>
                <w:szCs w:val="24"/>
                <w:lang w:val="en-US" w:eastAsia="zh-CN"/>
              </w:rPr>
              <w:t>、</w:t>
            </w:r>
            <w:r>
              <w:rPr>
                <w:rFonts w:hint="eastAsia" w:cs="Times New Roman"/>
                <w:color w:val="auto"/>
                <w:kern w:val="0"/>
                <w:sz w:val="24"/>
                <w:szCs w:val="24"/>
                <w:lang w:val="en-US" w:eastAsia="zh-CN"/>
              </w:rPr>
              <w:t>43</w:t>
            </w:r>
            <w:r>
              <w:rPr>
                <w:rFonts w:hint="default" w:ascii="Times New Roman" w:hAnsi="Times New Roman" w:eastAsia="宋体" w:cs="Times New Roman"/>
                <w:color w:val="auto"/>
                <w:kern w:val="0"/>
                <w:sz w:val="24"/>
                <w:szCs w:val="24"/>
                <w:lang w:val="en-US" w:eastAsia="zh-CN"/>
              </w:rPr>
              <w:t>μg/m</w:t>
            </w:r>
            <w:r>
              <w:rPr>
                <w:rFonts w:hint="default" w:ascii="Times New Roman" w:hAnsi="Times New Roman" w:eastAsia="宋体" w:cs="Times New Roman"/>
                <w:color w:val="auto"/>
                <w:kern w:val="0"/>
                <w:sz w:val="24"/>
                <w:szCs w:val="24"/>
                <w:vertAlign w:val="superscript"/>
                <w:lang w:val="en-US" w:eastAsia="zh-CN"/>
              </w:rPr>
              <w:t>3</w:t>
            </w:r>
            <w:r>
              <w:rPr>
                <w:rFonts w:hint="default" w:ascii="Times New Roman" w:hAnsi="Times New Roman" w:eastAsia="宋体" w:cs="Times New Roman"/>
                <w:color w:val="auto"/>
                <w:kern w:val="0"/>
                <w:sz w:val="24"/>
                <w:szCs w:val="24"/>
                <w:lang w:val="en-US" w:eastAsia="zh-CN"/>
              </w:rPr>
              <w:t>、</w:t>
            </w:r>
            <w:r>
              <w:rPr>
                <w:rFonts w:hint="eastAsia" w:cs="Times New Roman"/>
                <w:color w:val="auto"/>
                <w:kern w:val="0"/>
                <w:sz w:val="24"/>
                <w:szCs w:val="24"/>
                <w:lang w:val="en-US" w:eastAsia="zh-CN"/>
              </w:rPr>
              <w:t>6</w:t>
            </w:r>
            <w:r>
              <w:rPr>
                <w:rFonts w:hint="default" w:ascii="Times New Roman" w:hAnsi="Times New Roman" w:eastAsia="宋体" w:cs="Times New Roman"/>
                <w:color w:val="auto"/>
                <w:kern w:val="0"/>
                <w:sz w:val="24"/>
                <w:szCs w:val="24"/>
                <w:lang w:val="en-US" w:eastAsia="zh-CN"/>
              </w:rPr>
              <w:t>μg/m</w:t>
            </w:r>
            <w:r>
              <w:rPr>
                <w:rFonts w:hint="default" w:ascii="Times New Roman" w:hAnsi="Times New Roman" w:eastAsia="宋体" w:cs="Times New Roman"/>
                <w:color w:val="auto"/>
                <w:kern w:val="0"/>
                <w:sz w:val="24"/>
                <w:szCs w:val="24"/>
                <w:vertAlign w:val="superscript"/>
                <w:lang w:val="en-US" w:eastAsia="zh-CN"/>
              </w:rPr>
              <w:t>3</w:t>
            </w:r>
            <w:r>
              <w:rPr>
                <w:rFonts w:hint="default" w:ascii="Times New Roman" w:hAnsi="Times New Roman" w:eastAsia="宋体" w:cs="Times New Roman"/>
                <w:color w:val="auto"/>
                <w:kern w:val="0"/>
                <w:sz w:val="24"/>
                <w:szCs w:val="24"/>
                <w:lang w:val="en-US" w:eastAsia="zh-CN"/>
              </w:rPr>
              <w:t>、</w:t>
            </w:r>
            <w:r>
              <w:rPr>
                <w:rFonts w:hint="eastAsia" w:cs="Times New Roman"/>
                <w:color w:val="auto"/>
                <w:kern w:val="0"/>
                <w:sz w:val="24"/>
                <w:szCs w:val="24"/>
                <w:lang w:val="en-US" w:eastAsia="zh-CN"/>
              </w:rPr>
              <w:t>18</w:t>
            </w:r>
            <w:r>
              <w:rPr>
                <w:rFonts w:hint="default" w:ascii="Times New Roman" w:hAnsi="Times New Roman" w:eastAsia="宋体" w:cs="Times New Roman"/>
                <w:color w:val="auto"/>
                <w:kern w:val="0"/>
                <w:sz w:val="24"/>
                <w:szCs w:val="24"/>
                <w:lang w:val="en-US" w:eastAsia="zh-CN"/>
              </w:rPr>
              <w:t>μg/m</w:t>
            </w:r>
            <w:r>
              <w:rPr>
                <w:rFonts w:hint="default" w:ascii="Times New Roman" w:hAnsi="Times New Roman" w:eastAsia="宋体" w:cs="Times New Roman"/>
                <w:color w:val="auto"/>
                <w:kern w:val="0"/>
                <w:sz w:val="24"/>
                <w:szCs w:val="24"/>
                <w:vertAlign w:val="superscript"/>
                <w:lang w:val="en-US" w:eastAsia="zh-CN"/>
              </w:rPr>
              <w:t>3</w:t>
            </w:r>
            <w:r>
              <w:rPr>
                <w:rFonts w:hint="default" w:ascii="Times New Roman" w:hAnsi="Times New Roman" w:eastAsia="宋体" w:cs="Times New Roman"/>
                <w:color w:val="auto"/>
                <w:kern w:val="0"/>
                <w:sz w:val="24"/>
                <w:szCs w:val="24"/>
                <w:lang w:val="en-US" w:eastAsia="zh-CN"/>
              </w:rPr>
              <w:t>；CO24小时平均第95百分位数为</w:t>
            </w:r>
            <w:r>
              <w:rPr>
                <w:rFonts w:hint="eastAsia" w:cs="Times New Roman"/>
                <w:color w:val="auto"/>
                <w:kern w:val="0"/>
                <w:sz w:val="24"/>
                <w:szCs w:val="24"/>
                <w:lang w:val="en-US" w:eastAsia="zh-CN"/>
              </w:rPr>
              <w:t>0.9</w:t>
            </w:r>
            <w:r>
              <w:rPr>
                <w:rFonts w:hint="default" w:ascii="Times New Roman" w:hAnsi="Times New Roman" w:eastAsia="宋体" w:cs="Times New Roman"/>
                <w:color w:val="auto"/>
                <w:kern w:val="0"/>
                <w:sz w:val="24"/>
                <w:szCs w:val="24"/>
                <w:lang w:val="en-US" w:eastAsia="zh-CN"/>
              </w:rPr>
              <w:t>mg/m</w:t>
            </w:r>
            <w:r>
              <w:rPr>
                <w:rFonts w:hint="default" w:ascii="Times New Roman" w:hAnsi="Times New Roman" w:eastAsia="宋体" w:cs="Times New Roman"/>
                <w:color w:val="auto"/>
                <w:kern w:val="0"/>
                <w:sz w:val="24"/>
                <w:szCs w:val="24"/>
                <w:vertAlign w:val="superscript"/>
                <w:lang w:val="en-US" w:eastAsia="zh-CN"/>
              </w:rPr>
              <w:t>3</w:t>
            </w:r>
            <w:r>
              <w:rPr>
                <w:rFonts w:hint="default" w:ascii="Times New Roman" w:hAnsi="Times New Roman" w:eastAsia="宋体" w:cs="Times New Roman"/>
                <w:color w:val="auto"/>
                <w:kern w:val="0"/>
                <w:sz w:val="24"/>
                <w:szCs w:val="24"/>
                <w:lang w:val="en-US" w:eastAsia="zh-CN"/>
              </w:rPr>
              <w:t>，O</w:t>
            </w:r>
            <w:r>
              <w:rPr>
                <w:rFonts w:hint="default" w:ascii="Times New Roman" w:hAnsi="Times New Roman" w:eastAsia="宋体" w:cs="Times New Roman"/>
                <w:color w:val="auto"/>
                <w:kern w:val="0"/>
                <w:sz w:val="24"/>
                <w:szCs w:val="24"/>
                <w:vertAlign w:val="subscript"/>
                <w:lang w:val="en-US" w:eastAsia="zh-CN"/>
              </w:rPr>
              <w:t>3</w:t>
            </w:r>
            <w:r>
              <w:rPr>
                <w:rFonts w:hint="default" w:ascii="Times New Roman" w:hAnsi="Times New Roman" w:eastAsia="宋体" w:cs="Times New Roman"/>
                <w:color w:val="auto"/>
                <w:kern w:val="0"/>
                <w:sz w:val="24"/>
                <w:szCs w:val="24"/>
                <w:lang w:val="en-US" w:eastAsia="zh-CN"/>
              </w:rPr>
              <w:t>日最大8小时平均第90百分位数为</w:t>
            </w:r>
            <w:r>
              <w:rPr>
                <w:rFonts w:hint="eastAsia" w:cs="Times New Roman"/>
                <w:color w:val="auto"/>
                <w:kern w:val="0"/>
                <w:sz w:val="24"/>
                <w:szCs w:val="24"/>
                <w:lang w:val="en-US" w:eastAsia="zh-CN"/>
              </w:rPr>
              <w:t>170</w:t>
            </w:r>
            <w:r>
              <w:rPr>
                <w:rFonts w:hint="default" w:ascii="Times New Roman" w:hAnsi="Times New Roman" w:eastAsia="宋体" w:cs="Times New Roman"/>
                <w:color w:val="auto"/>
                <w:kern w:val="0"/>
                <w:sz w:val="24"/>
                <w:szCs w:val="24"/>
                <w:lang w:val="en-US" w:eastAsia="zh-CN"/>
              </w:rPr>
              <w:t>μg/m</w:t>
            </w:r>
            <w:r>
              <w:rPr>
                <w:rFonts w:hint="default" w:ascii="Times New Roman" w:hAnsi="Times New Roman" w:eastAsia="宋体" w:cs="Times New Roman"/>
                <w:color w:val="auto"/>
                <w:kern w:val="0"/>
                <w:sz w:val="24"/>
                <w:szCs w:val="24"/>
                <w:vertAlign w:val="superscript"/>
                <w:lang w:val="en-US" w:eastAsia="zh-CN"/>
              </w:rPr>
              <w:t>3</w:t>
            </w:r>
            <w:r>
              <w:rPr>
                <w:rFonts w:hint="default" w:ascii="Times New Roman" w:hAnsi="Times New Roman" w:eastAsia="宋体" w:cs="Times New Roman"/>
                <w:color w:val="auto"/>
                <w:kern w:val="0"/>
                <w:sz w:val="24"/>
                <w:szCs w:val="24"/>
                <w:lang w:val="en-US" w:eastAsia="zh-CN"/>
              </w:rPr>
              <w:t>；超过《环境空气质量标准》（GB3095-2012）中二级标准限值的污染物为O</w:t>
            </w:r>
            <w:r>
              <w:rPr>
                <w:rFonts w:hint="default" w:ascii="Times New Roman" w:hAnsi="Times New Roman" w:eastAsia="宋体" w:cs="Times New Roman"/>
                <w:color w:val="auto"/>
                <w:kern w:val="0"/>
                <w:sz w:val="24"/>
                <w:szCs w:val="24"/>
                <w:vertAlign w:val="subscript"/>
                <w:lang w:val="en-US" w:eastAsia="zh-CN"/>
              </w:rPr>
              <w:t>3</w:t>
            </w:r>
            <w:r>
              <w:rPr>
                <w:rFonts w:hint="default" w:ascii="Times New Roman" w:hAnsi="Times New Roman" w:eastAsia="宋体" w:cs="Times New Roman"/>
                <w:color w:val="auto"/>
                <w:kern w:val="0"/>
                <w:sz w:val="24"/>
                <w:szCs w:val="24"/>
                <w:lang w:val="en-US" w:eastAsia="zh-CN"/>
              </w:rPr>
              <w:t>、PM</w:t>
            </w:r>
            <w:r>
              <w:rPr>
                <w:rFonts w:hint="default" w:ascii="Times New Roman" w:hAnsi="Times New Roman" w:eastAsia="宋体" w:cs="Times New Roman"/>
                <w:color w:val="auto"/>
                <w:kern w:val="0"/>
                <w:sz w:val="24"/>
                <w:szCs w:val="24"/>
                <w:vertAlign w:val="subscript"/>
                <w:lang w:val="en-US" w:eastAsia="zh-CN"/>
              </w:rPr>
              <w:t>2.5</w:t>
            </w:r>
            <w:r>
              <w:rPr>
                <w:rFonts w:hint="default" w:ascii="Times New Roman" w:hAnsi="Times New Roman" w:eastAsia="宋体" w:cs="Times New Roman"/>
                <w:color w:val="auto"/>
                <w:kern w:val="0"/>
                <w:sz w:val="24"/>
                <w:szCs w:val="24"/>
                <w:lang w:val="en-US" w:eastAsia="zh-CN"/>
              </w:rPr>
              <w:t>、PM</w:t>
            </w:r>
            <w:r>
              <w:rPr>
                <w:rFonts w:hint="eastAsia" w:ascii="Times New Roman" w:hAnsi="Times New Roman" w:eastAsia="宋体" w:cs="Times New Roman"/>
                <w:color w:val="auto"/>
                <w:kern w:val="0"/>
                <w:sz w:val="24"/>
                <w:szCs w:val="24"/>
                <w:vertAlign w:val="subscript"/>
                <w:lang w:val="en-US" w:eastAsia="zh-CN"/>
              </w:rPr>
              <w:t>10</w:t>
            </w:r>
            <w:r>
              <w:rPr>
                <w:rFonts w:hint="eastAsia" w:ascii="Times New Roman" w:hAnsi="Times New Roman" w:eastAsia="宋体" w:cs="Times New Roman"/>
                <w:color w:val="auto"/>
                <w:kern w:val="0"/>
                <w:sz w:val="24"/>
                <w:szCs w:val="24"/>
                <w:vertAlign w:val="baseline"/>
                <w:lang w:val="en-US" w:eastAsia="zh-CN"/>
              </w:rPr>
              <w:t>。</w:t>
            </w:r>
            <w:r>
              <w:rPr>
                <w:rFonts w:hint="default" w:ascii="Times New Roman" w:hAnsi="Times New Roman" w:eastAsia="宋体" w:cs="Times New Roman"/>
                <w:color w:val="auto"/>
                <w:kern w:val="0"/>
                <w:sz w:val="24"/>
                <w:szCs w:val="24"/>
                <w:lang w:val="en-US" w:eastAsia="zh-CN"/>
              </w:rPr>
              <w:t>所以项目所在地为大气环境空气质量不达标区。</w:t>
            </w:r>
          </w:p>
          <w:p w14:paraId="2107F368">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b w:val="0"/>
                <w:bCs w:val="0"/>
                <w:color w:val="auto"/>
                <w:kern w:val="2"/>
                <w:sz w:val="24"/>
                <w:szCs w:val="24"/>
                <w:lang w:val="en-US" w:eastAsia="zh-CN" w:bidi="ar-SA"/>
              </w:rPr>
            </w:pPr>
            <w:r>
              <w:rPr>
                <w:rFonts w:hint="eastAsia" w:cs="Times New Roman"/>
                <w:b w:val="0"/>
                <w:bCs w:val="0"/>
                <w:color w:val="auto"/>
                <w:kern w:val="2"/>
                <w:sz w:val="24"/>
                <w:szCs w:val="24"/>
                <w:lang w:val="en-US" w:eastAsia="zh-CN" w:bidi="ar-SA"/>
              </w:rPr>
              <w:t>特征污染物</w:t>
            </w:r>
          </w:p>
          <w:p w14:paraId="7F10B8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color w:val="auto"/>
                <w:lang w:val="en-US" w:eastAsia="zh-CN"/>
              </w:rPr>
            </w:pPr>
            <w:r>
              <w:rPr>
                <w:rFonts w:hint="eastAsia" w:cs="Times New Roman"/>
                <w:color w:val="auto"/>
                <w:kern w:val="0"/>
                <w:sz w:val="24"/>
                <w:szCs w:val="24"/>
                <w:lang w:val="en-US" w:eastAsia="zh-CN"/>
              </w:rPr>
              <w:t>本</w:t>
            </w:r>
            <w:r>
              <w:rPr>
                <w:rFonts w:hint="eastAsia" w:ascii="Times New Roman" w:hAnsi="Times New Roman" w:eastAsia="宋体" w:cs="Times New Roman"/>
                <w:color w:val="auto"/>
                <w:kern w:val="0"/>
                <w:sz w:val="24"/>
                <w:szCs w:val="24"/>
                <w:lang w:val="en-US" w:eastAsia="zh-CN"/>
              </w:rPr>
              <w:t>项目</w:t>
            </w:r>
            <w:r>
              <w:rPr>
                <w:rFonts w:hint="eastAsia" w:ascii="Times New Roman" w:hAnsi="Times New Roman" w:cs="Times New Roman"/>
                <w:color w:val="auto"/>
                <w:kern w:val="0"/>
                <w:sz w:val="24"/>
                <w:szCs w:val="24"/>
                <w:lang w:val="en-US" w:eastAsia="zh-CN"/>
              </w:rPr>
              <w:t>位于</w:t>
            </w:r>
            <w:r>
              <w:rPr>
                <w:rFonts w:hint="eastAsia" w:cs="Times New Roman"/>
                <w:snapToGrid/>
                <w:color w:val="auto"/>
                <w:spacing w:val="0"/>
                <w:kern w:val="0"/>
                <w:position w:val="0"/>
                <w:sz w:val="24"/>
                <w:szCs w:val="24"/>
                <w:u w:val="none"/>
                <w:lang w:eastAsia="zh-CN"/>
              </w:rPr>
              <w:t>安徽省宿州市灵璧县尹集镇田路村</w:t>
            </w:r>
            <w:r>
              <w:rPr>
                <w:rFonts w:hint="eastAsia" w:ascii="Times New Roman" w:hAnsi="Times New Roman" w:eastAsia="宋体" w:cs="Times New Roman"/>
                <w:color w:val="auto"/>
                <w:kern w:val="0"/>
                <w:sz w:val="24"/>
                <w:szCs w:val="24"/>
                <w:lang w:val="en-US" w:eastAsia="zh-CN"/>
              </w:rPr>
              <w:t>，</w:t>
            </w:r>
            <w:r>
              <w:rPr>
                <w:rFonts w:hint="eastAsia" w:ascii="Times New Roman" w:hAnsi="Times New Roman" w:eastAsia="宋体" w:cs="Times New Roman"/>
                <w:color w:val="auto"/>
                <w:sz w:val="24"/>
                <w:szCs w:val="24"/>
                <w:lang w:eastAsia="zh-CN"/>
              </w:rPr>
              <w:t>本项目</w:t>
            </w:r>
            <w:r>
              <w:rPr>
                <w:rFonts w:hint="eastAsia" w:ascii="Times New Roman" w:hAnsi="Times New Roman"/>
                <w:color w:val="auto"/>
                <w:sz w:val="24"/>
                <w:highlight w:val="none"/>
                <w:lang w:bidi="ar"/>
              </w:rPr>
              <w:t>特征因子</w:t>
            </w:r>
            <w:r>
              <w:rPr>
                <w:rFonts w:hint="eastAsia"/>
                <w:color w:val="auto"/>
                <w:sz w:val="24"/>
                <w:highlight w:val="none"/>
                <w:lang w:val="en-US" w:eastAsia="zh-CN" w:bidi="ar"/>
              </w:rPr>
              <w:t>TSP</w:t>
            </w:r>
            <w:r>
              <w:rPr>
                <w:rFonts w:hint="eastAsia"/>
                <w:color w:val="auto"/>
                <w:sz w:val="24"/>
                <w:szCs w:val="24"/>
                <w:highlight w:val="none"/>
                <w:lang w:eastAsia="zh-CN"/>
              </w:rPr>
              <w:t>（</w:t>
            </w:r>
            <w:r>
              <w:rPr>
                <w:rFonts w:hint="eastAsia"/>
                <w:color w:val="auto"/>
                <w:sz w:val="24"/>
                <w:szCs w:val="24"/>
                <w:highlight w:val="none"/>
                <w:lang w:val="en-US" w:eastAsia="zh-CN" w:bidi="ar"/>
              </w:rPr>
              <w:t>颗粒物</w:t>
            </w:r>
            <w:r>
              <w:rPr>
                <w:rFonts w:hint="eastAsia"/>
                <w:color w:val="auto"/>
                <w:sz w:val="24"/>
                <w:szCs w:val="24"/>
                <w:highlight w:val="none"/>
                <w:lang w:eastAsia="zh-CN"/>
              </w:rPr>
              <w:t>）</w:t>
            </w:r>
            <w:r>
              <w:rPr>
                <w:rFonts w:hint="eastAsia" w:ascii="Times New Roman" w:hAnsi="Times New Roman" w:eastAsia="宋体" w:cs="Times New Roman"/>
                <w:color w:val="auto"/>
                <w:sz w:val="24"/>
                <w:szCs w:val="24"/>
                <w:lang w:eastAsia="zh-CN"/>
              </w:rPr>
              <w:t>现状质量</w:t>
            </w:r>
            <w:r>
              <w:rPr>
                <w:rFonts w:hint="eastAsia" w:cs="Times New Roman"/>
                <w:color w:val="auto"/>
                <w:sz w:val="24"/>
                <w:szCs w:val="24"/>
                <w:lang w:eastAsia="zh-CN"/>
              </w:rPr>
              <w:t>根据</w:t>
            </w:r>
            <w:r>
              <w:rPr>
                <w:rFonts w:hint="eastAsia" w:ascii="Times New Roman" w:hAnsi="Times New Roman"/>
                <w:color w:val="auto"/>
                <w:sz w:val="24"/>
                <w:highlight w:val="none"/>
                <w:lang w:bidi="ar"/>
              </w:rPr>
              <w:t>安徽精检分析股份有限公司</w:t>
            </w:r>
            <w:r>
              <w:rPr>
                <w:rFonts w:hint="eastAsia"/>
                <w:b w:val="0"/>
                <w:bCs w:val="0"/>
                <w:color w:val="auto"/>
                <w:sz w:val="24"/>
                <w:szCs w:val="24"/>
                <w:lang w:val="en-US" w:eastAsia="zh-CN"/>
              </w:rPr>
              <w:t>检测的</w:t>
            </w:r>
            <w:r>
              <w:rPr>
                <w:rFonts w:hint="default" w:ascii="Times New Roman" w:hAnsi="Times New Roman" w:cs="Times New Roman"/>
                <w:color w:val="auto"/>
                <w:sz w:val="24"/>
                <w:szCs w:val="24"/>
                <w:lang w:eastAsia="zh-CN"/>
              </w:rPr>
              <w:t>《</w:t>
            </w:r>
            <w:r>
              <w:rPr>
                <w:rFonts w:hint="eastAsia" w:cs="Times New Roman"/>
                <w:color w:val="auto"/>
                <w:sz w:val="24"/>
                <w:szCs w:val="24"/>
                <w:lang w:val="en-US" w:eastAsia="zh-CN"/>
              </w:rPr>
              <w:t>灵璧县威科钓具有限公司 钨合金渔坠生产扩建项目 环评现状检测</w:t>
            </w:r>
            <w:r>
              <w:rPr>
                <w:rFonts w:hint="default" w:ascii="Times New Roman" w:hAnsi="Times New Roman" w:cs="Times New Roman"/>
                <w:color w:val="auto"/>
                <w:sz w:val="24"/>
                <w:szCs w:val="24"/>
                <w:lang w:eastAsia="zh-CN"/>
              </w:rPr>
              <w:t>》</w:t>
            </w:r>
            <w:r>
              <w:rPr>
                <w:rFonts w:hint="eastAsia" w:cs="Times New Roman"/>
                <w:color w:val="auto"/>
                <w:sz w:val="24"/>
                <w:szCs w:val="24"/>
                <w:lang w:eastAsia="zh-CN"/>
              </w:rPr>
              <w:t>（</w:t>
            </w:r>
            <w:r>
              <w:rPr>
                <w:rFonts w:hint="eastAsia" w:cs="Times New Roman"/>
                <w:color w:val="auto"/>
                <w:sz w:val="24"/>
                <w:szCs w:val="24"/>
                <w:lang w:val="en-US" w:eastAsia="zh-CN"/>
              </w:rPr>
              <w:t>JJHP2025011</w:t>
            </w:r>
            <w:r>
              <w:rPr>
                <w:rFonts w:hint="eastAsia" w:cs="Times New Roman"/>
                <w:color w:val="auto"/>
                <w:sz w:val="24"/>
                <w:szCs w:val="24"/>
                <w:lang w:eastAsia="zh-CN"/>
              </w:rPr>
              <w:t>）</w:t>
            </w:r>
            <w:r>
              <w:rPr>
                <w:rFonts w:hint="eastAsia" w:ascii="Times New Roman" w:hAnsi="Times New Roman" w:eastAsia="宋体" w:cs="Times New Roman"/>
                <w:color w:val="auto"/>
                <w:sz w:val="24"/>
                <w:szCs w:val="24"/>
                <w:lang w:eastAsia="zh-CN"/>
              </w:rPr>
              <w:t>中数据进行评价</w:t>
            </w:r>
            <w:r>
              <w:rPr>
                <w:rFonts w:hint="eastAsia" w:cs="Times New Roman"/>
                <w:color w:val="auto"/>
                <w:sz w:val="24"/>
                <w:szCs w:val="24"/>
                <w:lang w:eastAsia="zh-CN"/>
              </w:rPr>
              <w:t>。</w:t>
            </w:r>
          </w:p>
          <w:p w14:paraId="650864DC">
            <w:pPr>
              <w:keepNext w:val="0"/>
              <w:keepLines w:val="0"/>
              <w:pageBreakBefore w:val="0"/>
              <w:kinsoku/>
              <w:wordWrap/>
              <w:overflowPunct/>
              <w:topLinePunct w:val="0"/>
              <w:bidi w:val="0"/>
              <w:snapToGrid w:val="0"/>
              <w:spacing w:line="360" w:lineRule="auto"/>
              <w:jc w:val="center"/>
              <w:textAlignment w:val="auto"/>
              <w:rPr>
                <w:b/>
                <w:color w:val="auto"/>
                <w:sz w:val="24"/>
                <w:szCs w:val="24"/>
                <w:highlight w:val="none"/>
              </w:rPr>
            </w:pPr>
            <w:r>
              <w:rPr>
                <w:rFonts w:ascii="宋体" w:hAnsi="宋体"/>
                <w:b/>
                <w:color w:val="auto"/>
                <w:sz w:val="24"/>
                <w:szCs w:val="24"/>
                <w:highlight w:val="none"/>
              </w:rPr>
              <w:t>表</w:t>
            </w:r>
            <w:r>
              <w:rPr>
                <w:b/>
                <w:color w:val="auto"/>
                <w:sz w:val="24"/>
                <w:szCs w:val="24"/>
                <w:highlight w:val="none"/>
              </w:rPr>
              <w:t>3</w:t>
            </w:r>
            <w:r>
              <w:rPr>
                <w:rFonts w:hint="eastAsia"/>
                <w:b/>
                <w:color w:val="auto"/>
                <w:sz w:val="24"/>
                <w:szCs w:val="24"/>
                <w:highlight w:val="none"/>
                <w:lang w:val="en-US" w:eastAsia="zh-CN"/>
              </w:rPr>
              <w:t>.</w:t>
            </w:r>
            <w:r>
              <w:rPr>
                <w:rFonts w:hint="eastAsia"/>
                <w:b/>
                <w:color w:val="auto"/>
                <w:sz w:val="24"/>
                <w:szCs w:val="24"/>
                <w:highlight w:val="none"/>
              </w:rPr>
              <w:t>2</w:t>
            </w:r>
            <w:r>
              <w:rPr>
                <w:rFonts w:ascii="宋体" w:hAnsi="宋体"/>
                <w:color w:val="auto"/>
                <w:sz w:val="24"/>
                <w:szCs w:val="24"/>
                <w:highlight w:val="none"/>
              </w:rPr>
              <w:t xml:space="preserve">  </w:t>
            </w:r>
            <w:r>
              <w:rPr>
                <w:rFonts w:hint="eastAsia" w:ascii="宋体" w:hAnsi="宋体"/>
                <w:b/>
                <w:bCs/>
                <w:color w:val="auto"/>
                <w:sz w:val="24"/>
                <w:szCs w:val="24"/>
                <w:highlight w:val="none"/>
                <w:lang w:val="en-US" w:eastAsia="zh-CN"/>
              </w:rPr>
              <w:t>现状</w:t>
            </w:r>
            <w:r>
              <w:rPr>
                <w:rFonts w:ascii="Times New Roman" w:hAnsi="Times New Roman"/>
                <w:b/>
                <w:color w:val="auto"/>
                <w:sz w:val="24"/>
                <w:szCs w:val="24"/>
                <w:highlight w:val="none"/>
              </w:rPr>
              <w:t>检测结果</w:t>
            </w:r>
            <w:r>
              <w:rPr>
                <w:rFonts w:hint="eastAsia" w:ascii="Times New Roman" w:hAnsi="Times New Roman"/>
                <w:b/>
                <w:color w:val="auto"/>
                <w:sz w:val="24"/>
                <w:szCs w:val="24"/>
                <w:highlight w:val="none"/>
              </w:rPr>
              <w:t xml:space="preserve"> （单</w:t>
            </w:r>
            <w:r>
              <w:rPr>
                <w:rFonts w:ascii="Times New Roman" w:hAnsi="Times New Roman"/>
                <w:b/>
                <w:color w:val="auto"/>
                <w:sz w:val="24"/>
                <w:szCs w:val="24"/>
                <w:highlight w:val="none"/>
              </w:rPr>
              <w:t>位：µg/m</w:t>
            </w:r>
            <w:r>
              <w:rPr>
                <w:rFonts w:ascii="Times New Roman" w:hAnsi="Times New Roman"/>
                <w:b/>
                <w:color w:val="auto"/>
                <w:sz w:val="24"/>
                <w:szCs w:val="24"/>
                <w:highlight w:val="none"/>
                <w:vertAlign w:val="superscript"/>
              </w:rPr>
              <w:t>3</w:t>
            </w:r>
            <w:r>
              <w:rPr>
                <w:rFonts w:hint="eastAsia" w:ascii="Times New Roman" w:hAnsi="Times New Roman"/>
                <w:b/>
                <w:color w:val="auto"/>
                <w:sz w:val="24"/>
                <w:szCs w:val="24"/>
                <w:highlight w:val="none"/>
              </w:rPr>
              <w:t>）</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256"/>
              <w:gridCol w:w="151"/>
              <w:gridCol w:w="945"/>
              <w:gridCol w:w="723"/>
              <w:gridCol w:w="376"/>
              <w:gridCol w:w="638"/>
              <w:gridCol w:w="461"/>
              <w:gridCol w:w="77"/>
              <w:gridCol w:w="1020"/>
              <w:gridCol w:w="1136"/>
            </w:tblGrid>
            <w:tr w14:paraId="0B34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00" w:type="pct"/>
                  <w:gridSpan w:val="11"/>
                  <w:tcBorders>
                    <w:tl2br w:val="nil"/>
                    <w:tr2bl w:val="nil"/>
                  </w:tcBorders>
                  <w:noWrap w:val="0"/>
                  <w:vAlign w:val="center"/>
                </w:tcPr>
                <w:p w14:paraId="4439FB86">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检测信息表</w:t>
                  </w:r>
                </w:p>
              </w:tc>
            </w:tr>
            <w:tr w14:paraId="174A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5" w:type="pct"/>
                  <w:tcBorders>
                    <w:tl2br w:val="nil"/>
                    <w:tr2bl w:val="nil"/>
                  </w:tcBorders>
                  <w:noWrap w:val="0"/>
                  <w:vAlign w:val="center"/>
                </w:tcPr>
                <w:p w14:paraId="76B994EF">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采样日期</w:t>
                  </w:r>
                </w:p>
              </w:tc>
              <w:tc>
                <w:tcPr>
                  <w:tcW w:w="1874" w:type="pct"/>
                  <w:gridSpan w:val="4"/>
                  <w:tcBorders>
                    <w:tl2br w:val="nil"/>
                    <w:tr2bl w:val="nil"/>
                  </w:tcBorders>
                  <w:noWrap w:val="0"/>
                  <w:vAlign w:val="center"/>
                </w:tcPr>
                <w:p w14:paraId="6552051E">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202</w:t>
                  </w:r>
                  <w:r>
                    <w:rPr>
                      <w:rFonts w:hint="eastAsia" w:cs="Times New Roman"/>
                      <w:b w:val="0"/>
                      <w:bCs w:val="0"/>
                      <w:color w:val="auto"/>
                      <w:sz w:val="21"/>
                      <w:szCs w:val="21"/>
                      <w:lang w:val="en-US" w:eastAsia="zh-CN"/>
                    </w:rPr>
                    <w:t>5</w:t>
                  </w:r>
                  <w:r>
                    <w:rPr>
                      <w:rFonts w:hint="eastAsia" w:ascii="Times New Roman" w:hAnsi="Times New Roman" w:cs="Times New Roman"/>
                      <w:b w:val="0"/>
                      <w:bCs w:val="0"/>
                      <w:color w:val="auto"/>
                      <w:sz w:val="21"/>
                      <w:szCs w:val="21"/>
                      <w:lang w:val="en-US" w:eastAsia="zh-CN"/>
                    </w:rPr>
                    <w:t>年</w:t>
                  </w:r>
                  <w:r>
                    <w:rPr>
                      <w:rFonts w:hint="eastAsia" w:cs="Times New Roman"/>
                      <w:b w:val="0"/>
                      <w:bCs w:val="0"/>
                      <w:color w:val="auto"/>
                      <w:sz w:val="21"/>
                      <w:szCs w:val="21"/>
                      <w:lang w:val="en-US" w:eastAsia="zh-CN"/>
                    </w:rPr>
                    <w:t>5</w:t>
                  </w:r>
                  <w:r>
                    <w:rPr>
                      <w:rFonts w:hint="eastAsia" w:ascii="Times New Roman" w:hAnsi="Times New Roman" w:cs="Times New Roman"/>
                      <w:b w:val="0"/>
                      <w:bCs w:val="0"/>
                      <w:color w:val="auto"/>
                      <w:sz w:val="21"/>
                      <w:szCs w:val="21"/>
                      <w:lang w:val="en-US" w:eastAsia="zh-CN"/>
                    </w:rPr>
                    <w:t>月</w:t>
                  </w:r>
                  <w:r>
                    <w:rPr>
                      <w:rFonts w:hint="eastAsia" w:cs="Times New Roman"/>
                      <w:b w:val="0"/>
                      <w:bCs w:val="0"/>
                      <w:color w:val="auto"/>
                      <w:sz w:val="21"/>
                      <w:szCs w:val="21"/>
                      <w:lang w:val="en-US" w:eastAsia="zh-CN"/>
                    </w:rPr>
                    <w:t>13</w:t>
                  </w:r>
                  <w:r>
                    <w:rPr>
                      <w:rFonts w:hint="default" w:ascii="Times New Roman" w:hAnsi="Times New Roman" w:eastAsia="宋体" w:cs="Times New Roman"/>
                      <w:b w:val="0"/>
                      <w:bCs w:val="0"/>
                      <w:color w:val="auto"/>
                      <w:sz w:val="21"/>
                      <w:szCs w:val="21"/>
                      <w:lang w:val="en-US" w:eastAsia="zh-CN"/>
                    </w:rPr>
                    <w:t>日-</w:t>
                  </w:r>
                  <w:r>
                    <w:rPr>
                      <w:rFonts w:hint="eastAsia" w:cs="Times New Roman"/>
                      <w:b w:val="0"/>
                      <w:bCs w:val="0"/>
                      <w:color w:val="auto"/>
                      <w:sz w:val="21"/>
                      <w:szCs w:val="21"/>
                      <w:lang w:val="en-US" w:eastAsia="zh-CN"/>
                    </w:rPr>
                    <w:t>5</w:t>
                  </w:r>
                  <w:r>
                    <w:rPr>
                      <w:rFonts w:hint="default" w:ascii="Times New Roman" w:hAnsi="Times New Roman" w:eastAsia="宋体" w:cs="Times New Roman"/>
                      <w:b w:val="0"/>
                      <w:bCs w:val="0"/>
                      <w:color w:val="auto"/>
                      <w:sz w:val="21"/>
                      <w:szCs w:val="21"/>
                      <w:lang w:val="en-US" w:eastAsia="zh-CN"/>
                    </w:rPr>
                    <w:t>月</w:t>
                  </w:r>
                  <w:r>
                    <w:rPr>
                      <w:rFonts w:hint="eastAsia" w:cs="Times New Roman"/>
                      <w:b w:val="0"/>
                      <w:bCs w:val="0"/>
                      <w:color w:val="auto"/>
                      <w:sz w:val="21"/>
                      <w:szCs w:val="21"/>
                      <w:lang w:val="en-US" w:eastAsia="zh-CN"/>
                    </w:rPr>
                    <w:t>16</w:t>
                  </w:r>
                  <w:r>
                    <w:rPr>
                      <w:rFonts w:hint="default" w:ascii="Times New Roman" w:hAnsi="Times New Roman" w:eastAsia="宋体" w:cs="Times New Roman"/>
                      <w:b w:val="0"/>
                      <w:bCs w:val="0"/>
                      <w:color w:val="auto"/>
                      <w:sz w:val="21"/>
                      <w:szCs w:val="21"/>
                      <w:lang w:val="en-US" w:eastAsia="zh-CN"/>
                    </w:rPr>
                    <w:t>日</w:t>
                  </w:r>
                </w:p>
              </w:tc>
              <w:tc>
                <w:tcPr>
                  <w:tcW w:w="946" w:type="pct"/>
                  <w:gridSpan w:val="4"/>
                  <w:tcBorders>
                    <w:tl2br w:val="nil"/>
                    <w:tr2bl w:val="nil"/>
                  </w:tcBorders>
                  <w:noWrap w:val="0"/>
                  <w:vAlign w:val="center"/>
                </w:tcPr>
                <w:p w14:paraId="0364C70B">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分析</w:t>
                  </w:r>
                  <w:r>
                    <w:rPr>
                      <w:rFonts w:hint="default" w:ascii="Times New Roman" w:hAnsi="Times New Roman" w:eastAsia="宋体" w:cs="Times New Roman"/>
                      <w:b w:val="0"/>
                      <w:bCs w:val="0"/>
                      <w:color w:val="auto"/>
                      <w:sz w:val="21"/>
                      <w:szCs w:val="21"/>
                    </w:rPr>
                    <w:t>日期</w:t>
                  </w:r>
                </w:p>
              </w:tc>
              <w:tc>
                <w:tcPr>
                  <w:tcW w:w="1314" w:type="pct"/>
                  <w:gridSpan w:val="2"/>
                  <w:tcBorders>
                    <w:tl2br w:val="nil"/>
                    <w:tr2bl w:val="nil"/>
                  </w:tcBorders>
                  <w:noWrap w:val="0"/>
                  <w:vAlign w:val="center"/>
                </w:tcPr>
                <w:p w14:paraId="109CD45D">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color w:val="auto"/>
                      <w:sz w:val="21"/>
                      <w:szCs w:val="21"/>
                      <w:lang w:val="en-US" w:eastAsia="zh-CN"/>
                    </w:rPr>
                    <w:t>202</w:t>
                  </w:r>
                  <w:r>
                    <w:rPr>
                      <w:rFonts w:hint="eastAsia" w:cs="Times New Roman"/>
                      <w:color w:val="auto"/>
                      <w:sz w:val="21"/>
                      <w:szCs w:val="21"/>
                      <w:lang w:val="en-US" w:eastAsia="zh-CN"/>
                    </w:rPr>
                    <w:t>5</w:t>
                  </w:r>
                  <w:r>
                    <w:rPr>
                      <w:rFonts w:hint="eastAsia" w:ascii="Times New Roman" w:hAnsi="Times New Roman" w:cs="Times New Roman"/>
                      <w:color w:val="auto"/>
                      <w:sz w:val="21"/>
                      <w:szCs w:val="21"/>
                      <w:lang w:val="en-US" w:eastAsia="zh-CN"/>
                    </w:rPr>
                    <w:t>年</w:t>
                  </w:r>
                  <w:r>
                    <w:rPr>
                      <w:rFonts w:hint="eastAsia" w:cs="Times New Roman"/>
                      <w:color w:val="auto"/>
                      <w:sz w:val="21"/>
                      <w:szCs w:val="21"/>
                      <w:lang w:val="en-US" w:eastAsia="zh-CN"/>
                    </w:rPr>
                    <w:t>5</w:t>
                  </w:r>
                  <w:r>
                    <w:rPr>
                      <w:rFonts w:hint="eastAsia" w:ascii="Times New Roman" w:hAnsi="Times New Roman" w:cs="Times New Roman"/>
                      <w:color w:val="auto"/>
                      <w:sz w:val="21"/>
                      <w:szCs w:val="21"/>
                      <w:lang w:val="en-US" w:eastAsia="zh-CN"/>
                    </w:rPr>
                    <w:t>月</w:t>
                  </w:r>
                  <w:r>
                    <w:rPr>
                      <w:rFonts w:hint="eastAsia" w:cs="Times New Roman"/>
                      <w:color w:val="auto"/>
                      <w:sz w:val="21"/>
                      <w:szCs w:val="21"/>
                      <w:lang w:val="en-US" w:eastAsia="zh-CN"/>
                    </w:rPr>
                    <w:t>15</w:t>
                  </w:r>
                  <w:r>
                    <w:rPr>
                      <w:rFonts w:hint="default" w:ascii="Times New Roman" w:hAnsi="Times New Roman" w:eastAsia="宋体" w:cs="Times New Roman"/>
                      <w:color w:val="auto"/>
                      <w:sz w:val="21"/>
                      <w:szCs w:val="21"/>
                      <w:lang w:val="en-US" w:eastAsia="zh-CN"/>
                    </w:rPr>
                    <w:t>日</w:t>
                  </w:r>
                  <w:r>
                    <w:rPr>
                      <w:rFonts w:hint="eastAsia" w:cs="Times New Roman"/>
                      <w:color w:val="auto"/>
                      <w:sz w:val="21"/>
                      <w:szCs w:val="21"/>
                      <w:lang w:val="en-US" w:eastAsia="zh-CN"/>
                    </w:rPr>
                    <w:t>-5</w:t>
                  </w:r>
                  <w:r>
                    <w:rPr>
                      <w:rFonts w:hint="eastAsia" w:ascii="Times New Roman" w:hAnsi="Times New Roman" w:cs="Times New Roman"/>
                      <w:color w:val="auto"/>
                      <w:sz w:val="21"/>
                      <w:szCs w:val="21"/>
                      <w:lang w:val="en-US" w:eastAsia="zh-CN"/>
                    </w:rPr>
                    <w:t>月</w:t>
                  </w:r>
                  <w:r>
                    <w:rPr>
                      <w:rFonts w:hint="eastAsia" w:cs="Times New Roman"/>
                      <w:color w:val="auto"/>
                      <w:sz w:val="21"/>
                      <w:szCs w:val="21"/>
                      <w:lang w:val="en-US" w:eastAsia="zh-CN"/>
                    </w:rPr>
                    <w:t>17</w:t>
                  </w:r>
                  <w:r>
                    <w:rPr>
                      <w:rFonts w:hint="default" w:ascii="Times New Roman" w:hAnsi="Times New Roman" w:eastAsia="宋体" w:cs="Times New Roman"/>
                      <w:color w:val="auto"/>
                      <w:sz w:val="21"/>
                      <w:szCs w:val="21"/>
                      <w:lang w:val="en-US" w:eastAsia="zh-CN"/>
                    </w:rPr>
                    <w:t>日</w:t>
                  </w:r>
                </w:p>
              </w:tc>
            </w:tr>
            <w:tr w14:paraId="3B29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00" w:type="pct"/>
                  <w:gridSpan w:val="11"/>
                  <w:tcBorders>
                    <w:tl2br w:val="nil"/>
                    <w:tr2bl w:val="nil"/>
                  </w:tcBorders>
                  <w:noWrap w:val="0"/>
                  <w:vAlign w:val="center"/>
                </w:tcPr>
                <w:p w14:paraId="39BDDCF5">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大气检测气象参数</w:t>
                  </w:r>
                </w:p>
              </w:tc>
            </w:tr>
            <w:tr w14:paraId="14E1E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30" w:type="pct"/>
                  <w:gridSpan w:val="2"/>
                  <w:tcBorders>
                    <w:tl2br w:val="nil"/>
                    <w:tr2bl w:val="nil"/>
                  </w:tcBorders>
                  <w:noWrap w:val="0"/>
                  <w:vAlign w:val="center"/>
                </w:tcPr>
                <w:p w14:paraId="1F3F7152">
                  <w:pPr>
                    <w:spacing w:line="240" w:lineRule="atLeast"/>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采样日期</w:t>
                  </w:r>
                </w:p>
              </w:tc>
              <w:tc>
                <w:tcPr>
                  <w:tcW w:w="668" w:type="pct"/>
                  <w:gridSpan w:val="2"/>
                  <w:tcBorders>
                    <w:tl2br w:val="nil"/>
                    <w:tr2bl w:val="nil"/>
                  </w:tcBorders>
                  <w:noWrap w:val="0"/>
                  <w:vAlign w:val="center"/>
                </w:tcPr>
                <w:p w14:paraId="657EF8A9">
                  <w:pPr>
                    <w:spacing w:line="240" w:lineRule="atLeast"/>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rPr>
                    <w:t>风速（m/s）</w:t>
                  </w:r>
                </w:p>
              </w:tc>
              <w:tc>
                <w:tcPr>
                  <w:tcW w:w="669" w:type="pct"/>
                  <w:gridSpan w:val="2"/>
                  <w:tcBorders>
                    <w:tl2br w:val="nil"/>
                    <w:tr2bl w:val="nil"/>
                  </w:tcBorders>
                  <w:noWrap w:val="0"/>
                  <w:vAlign w:val="center"/>
                </w:tcPr>
                <w:p w14:paraId="2FCF3BBC">
                  <w:pPr>
                    <w:spacing w:line="240" w:lineRule="atLeast"/>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rPr>
                    <w:t>风向</w:t>
                  </w:r>
                </w:p>
              </w:tc>
              <w:tc>
                <w:tcPr>
                  <w:tcW w:w="669" w:type="pct"/>
                  <w:gridSpan w:val="2"/>
                  <w:tcBorders>
                    <w:tl2br w:val="nil"/>
                    <w:tr2bl w:val="nil"/>
                  </w:tcBorders>
                  <w:noWrap w:val="0"/>
                  <w:vAlign w:val="center"/>
                </w:tcPr>
                <w:p w14:paraId="206F6743">
                  <w:pPr>
                    <w:spacing w:line="240" w:lineRule="atLeast"/>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rPr>
                    <w:t>气温（℃）</w:t>
                  </w:r>
                </w:p>
              </w:tc>
              <w:tc>
                <w:tcPr>
                  <w:tcW w:w="668" w:type="pct"/>
                  <w:gridSpan w:val="2"/>
                  <w:tcBorders>
                    <w:tl2br w:val="nil"/>
                    <w:tr2bl w:val="nil"/>
                  </w:tcBorders>
                  <w:noWrap w:val="0"/>
                  <w:vAlign w:val="center"/>
                </w:tcPr>
                <w:p w14:paraId="66393CCA">
                  <w:pPr>
                    <w:spacing w:line="240" w:lineRule="atLeast"/>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eastAsia="zh-CN"/>
                    </w:rPr>
                    <w:t>气压（</w:t>
                  </w:r>
                  <w:r>
                    <w:rPr>
                      <w:rFonts w:hint="default" w:ascii="Times New Roman" w:hAnsi="Times New Roman" w:eastAsia="宋体" w:cs="Times New Roman"/>
                      <w:b w:val="0"/>
                      <w:bCs/>
                      <w:color w:val="auto"/>
                      <w:sz w:val="21"/>
                      <w:szCs w:val="21"/>
                      <w:lang w:val="en-US" w:eastAsia="zh-CN"/>
                    </w:rPr>
                    <w:t>Kpa</w:t>
                  </w:r>
                  <w:r>
                    <w:rPr>
                      <w:rFonts w:hint="default" w:ascii="Times New Roman" w:hAnsi="Times New Roman" w:eastAsia="宋体" w:cs="Times New Roman"/>
                      <w:b w:val="0"/>
                      <w:bCs/>
                      <w:color w:val="auto"/>
                      <w:sz w:val="21"/>
                      <w:szCs w:val="21"/>
                      <w:lang w:eastAsia="zh-CN"/>
                    </w:rPr>
                    <w:t>）</w:t>
                  </w:r>
                </w:p>
              </w:tc>
              <w:tc>
                <w:tcPr>
                  <w:tcW w:w="692" w:type="pct"/>
                  <w:tcBorders>
                    <w:tl2br w:val="nil"/>
                    <w:tr2bl w:val="nil"/>
                  </w:tcBorders>
                  <w:noWrap w:val="0"/>
                  <w:vAlign w:val="center"/>
                </w:tcPr>
                <w:p w14:paraId="5C9A2910">
                  <w:pPr>
                    <w:spacing w:line="240" w:lineRule="atLeast"/>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rPr>
                    <w:t>天气状况</w:t>
                  </w:r>
                </w:p>
              </w:tc>
            </w:tr>
            <w:tr w14:paraId="6460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30" w:type="pct"/>
                  <w:gridSpan w:val="2"/>
                  <w:tcBorders>
                    <w:tl2br w:val="nil"/>
                    <w:tr2bl w:val="nil"/>
                  </w:tcBorders>
                  <w:noWrap w:val="0"/>
                  <w:vAlign w:val="center"/>
                </w:tcPr>
                <w:p w14:paraId="20BAA67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cs="Times New Roman"/>
                      <w:b w:val="0"/>
                      <w:bCs w:val="0"/>
                      <w:color w:val="auto"/>
                      <w:sz w:val="21"/>
                      <w:szCs w:val="21"/>
                      <w:lang w:val="en-US" w:eastAsia="zh-CN"/>
                    </w:rPr>
                    <w:t>20</w:t>
                  </w:r>
                  <w:r>
                    <w:rPr>
                      <w:rFonts w:hint="eastAsia" w:cs="Times New Roman"/>
                      <w:b w:val="0"/>
                      <w:bCs w:val="0"/>
                      <w:color w:val="auto"/>
                      <w:sz w:val="21"/>
                      <w:szCs w:val="21"/>
                      <w:lang w:val="en-US" w:eastAsia="zh-CN"/>
                    </w:rPr>
                    <w:t>25</w:t>
                  </w:r>
                  <w:r>
                    <w:rPr>
                      <w:rFonts w:hint="eastAsia" w:ascii="Times New Roman" w:hAnsi="Times New Roman" w:cs="Times New Roman"/>
                      <w:b w:val="0"/>
                      <w:bCs w:val="0"/>
                      <w:color w:val="auto"/>
                      <w:sz w:val="21"/>
                      <w:szCs w:val="21"/>
                      <w:lang w:val="en-US" w:eastAsia="zh-CN"/>
                    </w:rPr>
                    <w:t>.</w:t>
                  </w:r>
                  <w:r>
                    <w:rPr>
                      <w:rFonts w:hint="eastAsia" w:cs="Times New Roman"/>
                      <w:b w:val="0"/>
                      <w:bCs w:val="0"/>
                      <w:color w:val="auto"/>
                      <w:sz w:val="21"/>
                      <w:szCs w:val="21"/>
                      <w:lang w:val="en-US" w:eastAsia="zh-CN"/>
                    </w:rPr>
                    <w:t>05.13-05.14</w:t>
                  </w:r>
                </w:p>
              </w:tc>
              <w:tc>
                <w:tcPr>
                  <w:tcW w:w="668" w:type="pct"/>
                  <w:gridSpan w:val="2"/>
                  <w:tcBorders>
                    <w:tl2br w:val="nil"/>
                    <w:tr2bl w:val="nil"/>
                  </w:tcBorders>
                  <w:noWrap w:val="0"/>
                  <w:vAlign w:val="center"/>
                </w:tcPr>
                <w:p w14:paraId="69C8F6AE">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0.5</w:t>
                  </w:r>
                </w:p>
              </w:tc>
              <w:tc>
                <w:tcPr>
                  <w:tcW w:w="669" w:type="pct"/>
                  <w:gridSpan w:val="2"/>
                  <w:tcBorders>
                    <w:tl2br w:val="nil"/>
                    <w:tr2bl w:val="nil"/>
                  </w:tcBorders>
                  <w:noWrap w:val="0"/>
                  <w:vAlign w:val="center"/>
                </w:tcPr>
                <w:p w14:paraId="38766C37">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东北</w:t>
                  </w:r>
                </w:p>
              </w:tc>
              <w:tc>
                <w:tcPr>
                  <w:tcW w:w="669" w:type="pct"/>
                  <w:gridSpan w:val="2"/>
                  <w:tcBorders>
                    <w:tl2br w:val="nil"/>
                    <w:tr2bl w:val="nil"/>
                  </w:tcBorders>
                  <w:noWrap w:val="0"/>
                  <w:vAlign w:val="center"/>
                </w:tcPr>
                <w:p w14:paraId="5D755C8E">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30.1</w:t>
                  </w:r>
                </w:p>
              </w:tc>
              <w:tc>
                <w:tcPr>
                  <w:tcW w:w="668" w:type="pct"/>
                  <w:gridSpan w:val="2"/>
                  <w:tcBorders>
                    <w:tl2br w:val="nil"/>
                    <w:tr2bl w:val="nil"/>
                  </w:tcBorders>
                  <w:noWrap w:val="0"/>
                  <w:vAlign w:val="center"/>
                </w:tcPr>
                <w:p w14:paraId="0EAF65E1">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100.7</w:t>
                  </w:r>
                </w:p>
              </w:tc>
              <w:tc>
                <w:tcPr>
                  <w:tcW w:w="692" w:type="pct"/>
                  <w:tcBorders>
                    <w:tl2br w:val="nil"/>
                    <w:tr2bl w:val="nil"/>
                  </w:tcBorders>
                  <w:noWrap w:val="0"/>
                  <w:vAlign w:val="center"/>
                </w:tcPr>
                <w:p w14:paraId="494CCF14">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晴</w:t>
                  </w:r>
                </w:p>
              </w:tc>
            </w:tr>
            <w:tr w14:paraId="5A8BB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30" w:type="pct"/>
                  <w:gridSpan w:val="2"/>
                  <w:tcBorders>
                    <w:tl2br w:val="nil"/>
                    <w:tr2bl w:val="nil"/>
                  </w:tcBorders>
                  <w:noWrap w:val="0"/>
                  <w:vAlign w:val="center"/>
                </w:tcPr>
                <w:p w14:paraId="3053F83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cs="Times New Roman"/>
                      <w:b w:val="0"/>
                      <w:bCs w:val="0"/>
                      <w:color w:val="auto"/>
                      <w:sz w:val="21"/>
                      <w:szCs w:val="21"/>
                      <w:lang w:val="en-US" w:eastAsia="zh-CN"/>
                    </w:rPr>
                    <w:t>20</w:t>
                  </w:r>
                  <w:r>
                    <w:rPr>
                      <w:rFonts w:hint="eastAsia" w:cs="Times New Roman"/>
                      <w:b w:val="0"/>
                      <w:bCs w:val="0"/>
                      <w:color w:val="auto"/>
                      <w:sz w:val="21"/>
                      <w:szCs w:val="21"/>
                      <w:lang w:val="en-US" w:eastAsia="zh-CN"/>
                    </w:rPr>
                    <w:t>25</w:t>
                  </w:r>
                  <w:r>
                    <w:rPr>
                      <w:rFonts w:hint="eastAsia" w:ascii="Times New Roman" w:hAnsi="Times New Roman" w:cs="Times New Roman"/>
                      <w:b w:val="0"/>
                      <w:bCs w:val="0"/>
                      <w:color w:val="auto"/>
                      <w:sz w:val="21"/>
                      <w:szCs w:val="21"/>
                      <w:lang w:val="en-US" w:eastAsia="zh-CN"/>
                    </w:rPr>
                    <w:t>.</w:t>
                  </w:r>
                  <w:r>
                    <w:rPr>
                      <w:rFonts w:hint="eastAsia" w:cs="Times New Roman"/>
                      <w:b w:val="0"/>
                      <w:bCs w:val="0"/>
                      <w:color w:val="auto"/>
                      <w:sz w:val="21"/>
                      <w:szCs w:val="21"/>
                      <w:lang w:val="en-US" w:eastAsia="zh-CN"/>
                    </w:rPr>
                    <w:t>05.14-05.15</w:t>
                  </w:r>
                </w:p>
              </w:tc>
              <w:tc>
                <w:tcPr>
                  <w:tcW w:w="668" w:type="pct"/>
                  <w:gridSpan w:val="2"/>
                  <w:tcBorders>
                    <w:tl2br w:val="nil"/>
                    <w:tr2bl w:val="nil"/>
                  </w:tcBorders>
                  <w:noWrap w:val="0"/>
                  <w:vAlign w:val="center"/>
                </w:tcPr>
                <w:p w14:paraId="48A866E6">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1.8</w:t>
                  </w:r>
                </w:p>
              </w:tc>
              <w:tc>
                <w:tcPr>
                  <w:tcW w:w="669" w:type="pct"/>
                  <w:gridSpan w:val="2"/>
                  <w:tcBorders>
                    <w:tl2br w:val="nil"/>
                    <w:tr2bl w:val="nil"/>
                  </w:tcBorders>
                  <w:noWrap w:val="0"/>
                  <w:vAlign w:val="center"/>
                </w:tcPr>
                <w:p w14:paraId="1B4D6B9E">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西</w:t>
                  </w:r>
                </w:p>
              </w:tc>
              <w:tc>
                <w:tcPr>
                  <w:tcW w:w="669" w:type="pct"/>
                  <w:gridSpan w:val="2"/>
                  <w:tcBorders>
                    <w:tl2br w:val="nil"/>
                    <w:tr2bl w:val="nil"/>
                  </w:tcBorders>
                  <w:noWrap w:val="0"/>
                  <w:vAlign w:val="center"/>
                </w:tcPr>
                <w:p w14:paraId="4100D9D2">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29.2</w:t>
                  </w:r>
                </w:p>
              </w:tc>
              <w:tc>
                <w:tcPr>
                  <w:tcW w:w="668" w:type="pct"/>
                  <w:gridSpan w:val="2"/>
                  <w:tcBorders>
                    <w:tl2br w:val="nil"/>
                    <w:tr2bl w:val="nil"/>
                  </w:tcBorders>
                  <w:noWrap w:val="0"/>
                  <w:vAlign w:val="center"/>
                </w:tcPr>
                <w:p w14:paraId="017AD064">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100.9</w:t>
                  </w:r>
                </w:p>
              </w:tc>
              <w:tc>
                <w:tcPr>
                  <w:tcW w:w="692" w:type="pct"/>
                  <w:tcBorders>
                    <w:tl2br w:val="nil"/>
                    <w:tr2bl w:val="nil"/>
                  </w:tcBorders>
                  <w:noWrap w:val="0"/>
                  <w:vAlign w:val="center"/>
                </w:tcPr>
                <w:p w14:paraId="12475484">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sz w:val="21"/>
                      <w:szCs w:val="21"/>
                      <w:lang w:val="en-US" w:eastAsia="zh-CN"/>
                    </w:rPr>
                    <w:t>晴</w:t>
                  </w:r>
                </w:p>
              </w:tc>
            </w:tr>
            <w:tr w14:paraId="619F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30" w:type="pct"/>
                  <w:gridSpan w:val="2"/>
                  <w:tcBorders>
                    <w:tl2br w:val="nil"/>
                    <w:tr2bl w:val="nil"/>
                  </w:tcBorders>
                  <w:noWrap w:val="0"/>
                  <w:vAlign w:val="center"/>
                </w:tcPr>
                <w:p w14:paraId="6C26140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cs="Times New Roman"/>
                      <w:b w:val="0"/>
                      <w:bCs w:val="0"/>
                      <w:color w:val="auto"/>
                      <w:sz w:val="21"/>
                      <w:szCs w:val="21"/>
                      <w:lang w:val="en-US" w:eastAsia="zh-CN"/>
                    </w:rPr>
                    <w:t>20</w:t>
                  </w:r>
                  <w:r>
                    <w:rPr>
                      <w:rFonts w:hint="eastAsia" w:cs="Times New Roman"/>
                      <w:b w:val="0"/>
                      <w:bCs w:val="0"/>
                      <w:color w:val="auto"/>
                      <w:sz w:val="21"/>
                      <w:szCs w:val="21"/>
                      <w:lang w:val="en-US" w:eastAsia="zh-CN"/>
                    </w:rPr>
                    <w:t>25</w:t>
                  </w:r>
                  <w:r>
                    <w:rPr>
                      <w:rFonts w:hint="eastAsia" w:ascii="Times New Roman" w:hAnsi="Times New Roman" w:cs="Times New Roman"/>
                      <w:b w:val="0"/>
                      <w:bCs w:val="0"/>
                      <w:color w:val="auto"/>
                      <w:sz w:val="21"/>
                      <w:szCs w:val="21"/>
                      <w:lang w:val="en-US" w:eastAsia="zh-CN"/>
                    </w:rPr>
                    <w:t>.</w:t>
                  </w:r>
                  <w:r>
                    <w:rPr>
                      <w:rFonts w:hint="eastAsia" w:cs="Times New Roman"/>
                      <w:b w:val="0"/>
                      <w:bCs w:val="0"/>
                      <w:color w:val="auto"/>
                      <w:sz w:val="21"/>
                      <w:szCs w:val="21"/>
                      <w:lang w:val="en-US" w:eastAsia="zh-CN"/>
                    </w:rPr>
                    <w:t>05.15-05.16</w:t>
                  </w:r>
                </w:p>
              </w:tc>
              <w:tc>
                <w:tcPr>
                  <w:tcW w:w="668" w:type="pct"/>
                  <w:gridSpan w:val="2"/>
                  <w:tcBorders>
                    <w:tl2br w:val="nil"/>
                    <w:tr2bl w:val="nil"/>
                  </w:tcBorders>
                  <w:noWrap w:val="0"/>
                  <w:vAlign w:val="center"/>
                </w:tcPr>
                <w:p w14:paraId="346924EF">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1.4</w:t>
                  </w:r>
                </w:p>
              </w:tc>
              <w:tc>
                <w:tcPr>
                  <w:tcW w:w="669" w:type="pct"/>
                  <w:gridSpan w:val="2"/>
                  <w:tcBorders>
                    <w:tl2br w:val="nil"/>
                    <w:tr2bl w:val="nil"/>
                  </w:tcBorders>
                  <w:noWrap w:val="0"/>
                  <w:vAlign w:val="center"/>
                </w:tcPr>
                <w:p w14:paraId="7665AE69">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东</w:t>
                  </w:r>
                </w:p>
              </w:tc>
              <w:tc>
                <w:tcPr>
                  <w:tcW w:w="669" w:type="pct"/>
                  <w:gridSpan w:val="2"/>
                  <w:tcBorders>
                    <w:tl2br w:val="nil"/>
                    <w:tr2bl w:val="nil"/>
                  </w:tcBorders>
                  <w:noWrap w:val="0"/>
                  <w:vAlign w:val="center"/>
                </w:tcPr>
                <w:p w14:paraId="45F7228A">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27.7</w:t>
                  </w:r>
                </w:p>
              </w:tc>
              <w:tc>
                <w:tcPr>
                  <w:tcW w:w="668" w:type="pct"/>
                  <w:gridSpan w:val="2"/>
                  <w:tcBorders>
                    <w:tl2br w:val="nil"/>
                    <w:tr2bl w:val="nil"/>
                  </w:tcBorders>
                  <w:noWrap w:val="0"/>
                  <w:vAlign w:val="center"/>
                </w:tcPr>
                <w:p w14:paraId="1180A1AE">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101.3</w:t>
                  </w:r>
                </w:p>
              </w:tc>
              <w:tc>
                <w:tcPr>
                  <w:tcW w:w="692" w:type="pct"/>
                  <w:tcBorders>
                    <w:tl2br w:val="nil"/>
                    <w:tr2bl w:val="nil"/>
                  </w:tcBorders>
                  <w:noWrap w:val="0"/>
                  <w:vAlign w:val="center"/>
                </w:tcPr>
                <w:p w14:paraId="490E36DD">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阴</w:t>
                  </w:r>
                </w:p>
              </w:tc>
            </w:tr>
            <w:tr w14:paraId="378F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00" w:type="pct"/>
                  <w:gridSpan w:val="11"/>
                  <w:noWrap w:val="0"/>
                  <w:vAlign w:val="center"/>
                </w:tcPr>
                <w:p w14:paraId="3C510BA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kern w:val="0"/>
                      <w:sz w:val="21"/>
                      <w:szCs w:val="21"/>
                      <w:lang w:val="en-US" w:eastAsia="zh-CN" w:bidi="ar-SA"/>
                    </w:rPr>
                    <w:t>颗粒物</w:t>
                  </w:r>
                  <w:r>
                    <w:rPr>
                      <w:rFonts w:hint="default" w:ascii="Times New Roman" w:hAnsi="Times New Roman" w:eastAsia="宋体" w:cs="Times New Roman"/>
                      <w:b w:val="0"/>
                      <w:bCs w:val="0"/>
                      <w:color w:val="auto"/>
                      <w:kern w:val="0"/>
                      <w:sz w:val="21"/>
                      <w:szCs w:val="21"/>
                      <w:lang w:val="en-US" w:eastAsia="zh-CN" w:bidi="ar-SA"/>
                    </w:rPr>
                    <w:t>测点</w:t>
                  </w:r>
                  <w:r>
                    <w:rPr>
                      <w:rFonts w:hint="eastAsia" w:ascii="Times New Roman" w:hAnsi="Times New Roman" w:eastAsia="宋体" w:cs="Times New Roman"/>
                      <w:b w:val="0"/>
                      <w:bCs w:val="0"/>
                      <w:color w:val="auto"/>
                      <w:kern w:val="0"/>
                      <w:sz w:val="21"/>
                      <w:szCs w:val="21"/>
                      <w:lang w:val="en-US" w:eastAsia="zh-CN" w:bidi="ar-SA"/>
                    </w:rPr>
                    <w:t>位置</w:t>
                  </w:r>
                  <w:r>
                    <w:rPr>
                      <w:rFonts w:hint="default" w:ascii="Times New Roman" w:hAnsi="Times New Roman" w:eastAsia="宋体" w:cs="Times New Roman"/>
                      <w:b w:val="0"/>
                      <w:bCs w:val="0"/>
                      <w:color w:val="auto"/>
                      <w:kern w:val="0"/>
                      <w:sz w:val="21"/>
                      <w:szCs w:val="21"/>
                      <w:lang w:val="en-US" w:eastAsia="zh-CN" w:bidi="ar-SA"/>
                    </w:rPr>
                    <w:t>及结果（μg/m</w:t>
                  </w:r>
                  <w:r>
                    <w:rPr>
                      <w:rFonts w:hint="default" w:ascii="Times New Roman" w:hAnsi="Times New Roman" w:eastAsia="宋体" w:cs="Times New Roman"/>
                      <w:b w:val="0"/>
                      <w:bCs w:val="0"/>
                      <w:color w:val="auto"/>
                      <w:kern w:val="0"/>
                      <w:sz w:val="21"/>
                      <w:szCs w:val="21"/>
                      <w:vertAlign w:val="superscript"/>
                      <w:lang w:val="en-US" w:eastAsia="zh-CN" w:bidi="ar-SA"/>
                    </w:rPr>
                    <w:t>3</w:t>
                  </w:r>
                  <w:r>
                    <w:rPr>
                      <w:rFonts w:hint="default" w:ascii="Times New Roman" w:hAnsi="Times New Roman" w:eastAsia="宋体" w:cs="Times New Roman"/>
                      <w:b w:val="0"/>
                      <w:bCs w:val="0"/>
                      <w:color w:val="auto"/>
                      <w:kern w:val="0"/>
                      <w:sz w:val="21"/>
                      <w:szCs w:val="21"/>
                      <w:lang w:val="en-US" w:eastAsia="zh-CN" w:bidi="ar-SA"/>
                    </w:rPr>
                    <w:t>）</w:t>
                  </w:r>
                </w:p>
              </w:tc>
            </w:tr>
            <w:tr w14:paraId="1B26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22" w:type="pct"/>
                  <w:gridSpan w:val="3"/>
                  <w:noWrap w:val="0"/>
                  <w:vAlign w:val="center"/>
                </w:tcPr>
                <w:p w14:paraId="1A09EEA0">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采样日期</w:t>
                  </w:r>
                </w:p>
              </w:tc>
              <w:tc>
                <w:tcPr>
                  <w:tcW w:w="1634" w:type="pct"/>
                  <w:gridSpan w:val="4"/>
                  <w:noWrap w:val="0"/>
                  <w:vAlign w:val="center"/>
                </w:tcPr>
                <w:p w14:paraId="54F2FF66">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SA"/>
                    </w:rPr>
                    <w:t>采样时间</w:t>
                  </w:r>
                </w:p>
              </w:tc>
              <w:tc>
                <w:tcPr>
                  <w:tcW w:w="1642" w:type="pct"/>
                  <w:gridSpan w:val="4"/>
                  <w:noWrap w:val="0"/>
                  <w:vAlign w:val="center"/>
                </w:tcPr>
                <w:p w14:paraId="30CC6AFB">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cs="Times New Roman"/>
                      <w:b w:val="0"/>
                      <w:bCs w:val="0"/>
                      <w:color w:val="auto"/>
                      <w:kern w:val="0"/>
                      <w:sz w:val="21"/>
                      <w:szCs w:val="21"/>
                      <w:lang w:val="en-US" w:eastAsia="zh-CN" w:bidi="ar-SA"/>
                    </w:rPr>
                    <w:t>项目所在地G1</w:t>
                  </w:r>
                </w:p>
              </w:tc>
            </w:tr>
            <w:tr w14:paraId="1D2B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22" w:type="pct"/>
                  <w:gridSpan w:val="3"/>
                  <w:shd w:val="clear" w:color="auto" w:fill="auto"/>
                  <w:noWrap w:val="0"/>
                  <w:vAlign w:val="center"/>
                </w:tcPr>
                <w:p w14:paraId="12C4612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cs="Times New Roman"/>
                      <w:b w:val="0"/>
                      <w:bCs w:val="0"/>
                      <w:color w:val="auto"/>
                      <w:sz w:val="21"/>
                      <w:szCs w:val="21"/>
                      <w:lang w:val="en-US" w:eastAsia="zh-CN"/>
                    </w:rPr>
                    <w:t>20</w:t>
                  </w:r>
                  <w:r>
                    <w:rPr>
                      <w:rFonts w:hint="eastAsia" w:cs="Times New Roman"/>
                      <w:b w:val="0"/>
                      <w:bCs w:val="0"/>
                      <w:color w:val="auto"/>
                      <w:sz w:val="21"/>
                      <w:szCs w:val="21"/>
                      <w:lang w:val="en-US" w:eastAsia="zh-CN"/>
                    </w:rPr>
                    <w:t>25</w:t>
                  </w:r>
                  <w:r>
                    <w:rPr>
                      <w:rFonts w:hint="eastAsia" w:ascii="Times New Roman" w:hAnsi="Times New Roman" w:cs="Times New Roman"/>
                      <w:b w:val="0"/>
                      <w:bCs w:val="0"/>
                      <w:color w:val="auto"/>
                      <w:sz w:val="21"/>
                      <w:szCs w:val="21"/>
                      <w:lang w:val="en-US" w:eastAsia="zh-CN"/>
                    </w:rPr>
                    <w:t>.</w:t>
                  </w:r>
                  <w:r>
                    <w:rPr>
                      <w:rFonts w:hint="eastAsia" w:cs="Times New Roman"/>
                      <w:b w:val="0"/>
                      <w:bCs w:val="0"/>
                      <w:color w:val="auto"/>
                      <w:sz w:val="21"/>
                      <w:szCs w:val="21"/>
                      <w:lang w:val="en-US" w:eastAsia="zh-CN"/>
                    </w:rPr>
                    <w:t>05.13-05.14</w:t>
                  </w:r>
                </w:p>
              </w:tc>
              <w:tc>
                <w:tcPr>
                  <w:tcW w:w="1634" w:type="pct"/>
                  <w:gridSpan w:val="4"/>
                  <w:noWrap w:val="0"/>
                  <w:vAlign w:val="center"/>
                </w:tcPr>
                <w:p w14:paraId="53BC95B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12</w:t>
                  </w:r>
                  <w:r>
                    <w:rPr>
                      <w:rFonts w:hint="eastAsia" w:ascii="Times New Roman" w:hAnsi="Times New Roman" w:cs="Times New Roman"/>
                      <w:b w:val="0"/>
                      <w:bCs w:val="0"/>
                      <w:color w:val="auto"/>
                      <w:kern w:val="0"/>
                      <w:sz w:val="21"/>
                      <w:szCs w:val="21"/>
                      <w:lang w:val="en-US" w:eastAsia="zh-CN" w:bidi="ar-SA"/>
                    </w:rPr>
                    <w:t>:1</w:t>
                  </w:r>
                  <w:r>
                    <w:rPr>
                      <w:rFonts w:hint="eastAsia" w:cs="Times New Roman"/>
                      <w:b w:val="0"/>
                      <w:bCs w:val="0"/>
                      <w:color w:val="auto"/>
                      <w:kern w:val="0"/>
                      <w:sz w:val="21"/>
                      <w:szCs w:val="21"/>
                      <w:lang w:val="en-US" w:eastAsia="zh-CN" w:bidi="ar-SA"/>
                    </w:rPr>
                    <w:t>9</w:t>
                  </w:r>
                  <w:r>
                    <w:rPr>
                      <w:rFonts w:hint="eastAsia" w:ascii="Times New Roman" w:hAnsi="Times New Roman" w:cs="Times New Roman"/>
                      <w:b w:val="0"/>
                      <w:bCs w:val="0"/>
                      <w:color w:val="auto"/>
                      <w:kern w:val="0"/>
                      <w:sz w:val="21"/>
                      <w:szCs w:val="21"/>
                      <w:lang w:val="en-US" w:eastAsia="zh-CN" w:bidi="ar-SA"/>
                    </w:rPr>
                    <w:t>-</w:t>
                  </w:r>
                  <w:r>
                    <w:rPr>
                      <w:rFonts w:hint="eastAsia" w:cs="Times New Roman"/>
                      <w:b w:val="0"/>
                      <w:bCs w:val="0"/>
                      <w:color w:val="auto"/>
                      <w:kern w:val="0"/>
                      <w:sz w:val="21"/>
                      <w:szCs w:val="21"/>
                      <w:lang w:val="en-US" w:eastAsia="zh-CN" w:bidi="ar-SA"/>
                    </w:rPr>
                    <w:t>12</w:t>
                  </w:r>
                  <w:r>
                    <w:rPr>
                      <w:rFonts w:hint="eastAsia" w:ascii="Times New Roman" w:hAnsi="Times New Roman" w:cs="Times New Roman"/>
                      <w:b w:val="0"/>
                      <w:bCs w:val="0"/>
                      <w:color w:val="auto"/>
                      <w:kern w:val="0"/>
                      <w:sz w:val="21"/>
                      <w:szCs w:val="21"/>
                      <w:lang w:val="en-US" w:eastAsia="zh-CN" w:bidi="ar-SA"/>
                    </w:rPr>
                    <w:t>:1</w:t>
                  </w:r>
                  <w:r>
                    <w:rPr>
                      <w:rFonts w:hint="eastAsia" w:cs="Times New Roman"/>
                      <w:b w:val="0"/>
                      <w:bCs w:val="0"/>
                      <w:color w:val="auto"/>
                      <w:kern w:val="0"/>
                      <w:sz w:val="21"/>
                      <w:szCs w:val="21"/>
                      <w:lang w:val="en-US" w:eastAsia="zh-CN" w:bidi="ar-SA"/>
                    </w:rPr>
                    <w:t>9</w:t>
                  </w:r>
                </w:p>
              </w:tc>
              <w:tc>
                <w:tcPr>
                  <w:tcW w:w="1642" w:type="pct"/>
                  <w:gridSpan w:val="4"/>
                  <w:noWrap w:val="0"/>
                  <w:vAlign w:val="center"/>
                </w:tcPr>
                <w:p w14:paraId="15A9B58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170</w:t>
                  </w:r>
                </w:p>
              </w:tc>
            </w:tr>
            <w:tr w14:paraId="3E74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22" w:type="pct"/>
                  <w:gridSpan w:val="3"/>
                  <w:shd w:val="clear" w:color="auto" w:fill="auto"/>
                  <w:noWrap w:val="0"/>
                  <w:vAlign w:val="center"/>
                </w:tcPr>
                <w:p w14:paraId="5D39A23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cs="Times New Roman"/>
                      <w:b w:val="0"/>
                      <w:bCs w:val="0"/>
                      <w:color w:val="auto"/>
                      <w:sz w:val="21"/>
                      <w:szCs w:val="21"/>
                      <w:lang w:val="en-US" w:eastAsia="zh-CN"/>
                    </w:rPr>
                    <w:t>20</w:t>
                  </w:r>
                  <w:r>
                    <w:rPr>
                      <w:rFonts w:hint="eastAsia" w:cs="Times New Roman"/>
                      <w:b w:val="0"/>
                      <w:bCs w:val="0"/>
                      <w:color w:val="auto"/>
                      <w:sz w:val="21"/>
                      <w:szCs w:val="21"/>
                      <w:lang w:val="en-US" w:eastAsia="zh-CN"/>
                    </w:rPr>
                    <w:t>25</w:t>
                  </w:r>
                  <w:r>
                    <w:rPr>
                      <w:rFonts w:hint="eastAsia" w:ascii="Times New Roman" w:hAnsi="Times New Roman" w:cs="Times New Roman"/>
                      <w:b w:val="0"/>
                      <w:bCs w:val="0"/>
                      <w:color w:val="auto"/>
                      <w:sz w:val="21"/>
                      <w:szCs w:val="21"/>
                      <w:lang w:val="en-US" w:eastAsia="zh-CN"/>
                    </w:rPr>
                    <w:t>.</w:t>
                  </w:r>
                  <w:r>
                    <w:rPr>
                      <w:rFonts w:hint="eastAsia" w:cs="Times New Roman"/>
                      <w:b w:val="0"/>
                      <w:bCs w:val="0"/>
                      <w:color w:val="auto"/>
                      <w:sz w:val="21"/>
                      <w:szCs w:val="21"/>
                      <w:lang w:val="en-US" w:eastAsia="zh-CN"/>
                    </w:rPr>
                    <w:t>05.14-05.15</w:t>
                  </w:r>
                </w:p>
              </w:tc>
              <w:tc>
                <w:tcPr>
                  <w:tcW w:w="1634" w:type="pct"/>
                  <w:gridSpan w:val="4"/>
                  <w:noWrap w:val="0"/>
                  <w:vAlign w:val="center"/>
                </w:tcPr>
                <w:p w14:paraId="312B54A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14:40</w:t>
                  </w:r>
                  <w:r>
                    <w:rPr>
                      <w:rFonts w:hint="eastAsia" w:ascii="Times New Roman" w:hAnsi="Times New Roman" w:cs="Times New Roman"/>
                      <w:b w:val="0"/>
                      <w:bCs w:val="0"/>
                      <w:color w:val="auto"/>
                      <w:kern w:val="0"/>
                      <w:sz w:val="21"/>
                      <w:szCs w:val="21"/>
                      <w:lang w:val="en-US" w:eastAsia="zh-CN" w:bidi="ar-SA"/>
                    </w:rPr>
                    <w:t>-</w:t>
                  </w:r>
                  <w:r>
                    <w:rPr>
                      <w:rFonts w:hint="eastAsia" w:cs="Times New Roman"/>
                      <w:b w:val="0"/>
                      <w:bCs w:val="0"/>
                      <w:color w:val="auto"/>
                      <w:kern w:val="0"/>
                      <w:sz w:val="21"/>
                      <w:szCs w:val="21"/>
                      <w:lang w:val="en-US" w:eastAsia="zh-CN" w:bidi="ar-SA"/>
                    </w:rPr>
                    <w:t>14:40</w:t>
                  </w:r>
                </w:p>
              </w:tc>
              <w:tc>
                <w:tcPr>
                  <w:tcW w:w="1642" w:type="pct"/>
                  <w:gridSpan w:val="4"/>
                  <w:noWrap w:val="0"/>
                  <w:vAlign w:val="center"/>
                </w:tcPr>
                <w:p w14:paraId="15FC643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176</w:t>
                  </w:r>
                </w:p>
              </w:tc>
            </w:tr>
            <w:tr w14:paraId="0DBA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22" w:type="pct"/>
                  <w:gridSpan w:val="3"/>
                  <w:shd w:val="clear" w:color="auto" w:fill="auto"/>
                  <w:noWrap w:val="0"/>
                  <w:vAlign w:val="center"/>
                </w:tcPr>
                <w:p w14:paraId="01513DE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0"/>
                      <w:sz w:val="21"/>
                      <w:szCs w:val="21"/>
                      <w:lang w:val="en-US" w:eastAsia="zh-CN" w:bidi="ar-SA"/>
                    </w:rPr>
                  </w:pPr>
                  <w:r>
                    <w:rPr>
                      <w:rFonts w:hint="eastAsia" w:ascii="Times New Roman" w:hAnsi="Times New Roman" w:cs="Times New Roman"/>
                      <w:b w:val="0"/>
                      <w:bCs w:val="0"/>
                      <w:color w:val="auto"/>
                      <w:sz w:val="21"/>
                      <w:szCs w:val="21"/>
                      <w:lang w:val="en-US" w:eastAsia="zh-CN"/>
                    </w:rPr>
                    <w:t>20</w:t>
                  </w:r>
                  <w:r>
                    <w:rPr>
                      <w:rFonts w:hint="eastAsia" w:cs="Times New Roman"/>
                      <w:b w:val="0"/>
                      <w:bCs w:val="0"/>
                      <w:color w:val="auto"/>
                      <w:sz w:val="21"/>
                      <w:szCs w:val="21"/>
                      <w:lang w:val="en-US" w:eastAsia="zh-CN"/>
                    </w:rPr>
                    <w:t>25</w:t>
                  </w:r>
                  <w:r>
                    <w:rPr>
                      <w:rFonts w:hint="eastAsia" w:ascii="Times New Roman" w:hAnsi="Times New Roman" w:cs="Times New Roman"/>
                      <w:b w:val="0"/>
                      <w:bCs w:val="0"/>
                      <w:color w:val="auto"/>
                      <w:sz w:val="21"/>
                      <w:szCs w:val="21"/>
                      <w:lang w:val="en-US" w:eastAsia="zh-CN"/>
                    </w:rPr>
                    <w:t>.</w:t>
                  </w:r>
                  <w:r>
                    <w:rPr>
                      <w:rFonts w:hint="eastAsia" w:cs="Times New Roman"/>
                      <w:b w:val="0"/>
                      <w:bCs w:val="0"/>
                      <w:color w:val="auto"/>
                      <w:sz w:val="21"/>
                      <w:szCs w:val="21"/>
                      <w:lang w:val="en-US" w:eastAsia="zh-CN"/>
                    </w:rPr>
                    <w:t>05.15-05.16</w:t>
                  </w:r>
                </w:p>
              </w:tc>
              <w:tc>
                <w:tcPr>
                  <w:tcW w:w="1634" w:type="pct"/>
                  <w:gridSpan w:val="4"/>
                  <w:noWrap w:val="0"/>
                  <w:vAlign w:val="center"/>
                </w:tcPr>
                <w:p w14:paraId="290DEEE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15</w:t>
                  </w:r>
                  <w:r>
                    <w:rPr>
                      <w:rFonts w:hint="eastAsia" w:ascii="Times New Roman" w:hAnsi="Times New Roman" w:cs="Times New Roman"/>
                      <w:b w:val="0"/>
                      <w:bCs w:val="0"/>
                      <w:color w:val="auto"/>
                      <w:kern w:val="0"/>
                      <w:sz w:val="21"/>
                      <w:szCs w:val="21"/>
                      <w:lang w:val="en-US" w:eastAsia="zh-CN" w:bidi="ar-SA"/>
                    </w:rPr>
                    <w:t>:</w:t>
                  </w:r>
                  <w:r>
                    <w:rPr>
                      <w:rFonts w:hint="eastAsia" w:cs="Times New Roman"/>
                      <w:b w:val="0"/>
                      <w:bCs w:val="0"/>
                      <w:color w:val="auto"/>
                      <w:kern w:val="0"/>
                      <w:sz w:val="21"/>
                      <w:szCs w:val="21"/>
                      <w:lang w:val="en-US" w:eastAsia="zh-CN" w:bidi="ar-SA"/>
                    </w:rPr>
                    <w:t>10</w:t>
                  </w:r>
                  <w:r>
                    <w:rPr>
                      <w:rFonts w:hint="eastAsia" w:ascii="Times New Roman" w:hAnsi="Times New Roman" w:cs="Times New Roman"/>
                      <w:b w:val="0"/>
                      <w:bCs w:val="0"/>
                      <w:color w:val="auto"/>
                      <w:kern w:val="0"/>
                      <w:sz w:val="21"/>
                      <w:szCs w:val="21"/>
                      <w:lang w:val="en-US" w:eastAsia="zh-CN" w:bidi="ar-SA"/>
                    </w:rPr>
                    <w:t>-</w:t>
                  </w:r>
                  <w:r>
                    <w:rPr>
                      <w:rFonts w:hint="eastAsia" w:cs="Times New Roman"/>
                      <w:b w:val="0"/>
                      <w:bCs w:val="0"/>
                      <w:color w:val="auto"/>
                      <w:kern w:val="0"/>
                      <w:sz w:val="21"/>
                      <w:szCs w:val="21"/>
                      <w:lang w:val="en-US" w:eastAsia="zh-CN" w:bidi="ar-SA"/>
                    </w:rPr>
                    <w:t>15</w:t>
                  </w:r>
                  <w:r>
                    <w:rPr>
                      <w:rFonts w:hint="eastAsia" w:ascii="Times New Roman" w:hAnsi="Times New Roman" w:cs="Times New Roman"/>
                      <w:b w:val="0"/>
                      <w:bCs w:val="0"/>
                      <w:color w:val="auto"/>
                      <w:kern w:val="0"/>
                      <w:sz w:val="21"/>
                      <w:szCs w:val="21"/>
                      <w:lang w:val="en-US" w:eastAsia="zh-CN" w:bidi="ar-SA"/>
                    </w:rPr>
                    <w:t>:</w:t>
                  </w:r>
                  <w:r>
                    <w:rPr>
                      <w:rFonts w:hint="eastAsia" w:cs="Times New Roman"/>
                      <w:b w:val="0"/>
                      <w:bCs w:val="0"/>
                      <w:color w:val="auto"/>
                      <w:kern w:val="0"/>
                      <w:sz w:val="21"/>
                      <w:szCs w:val="21"/>
                      <w:lang w:val="en-US" w:eastAsia="zh-CN" w:bidi="ar-SA"/>
                    </w:rPr>
                    <w:t>10</w:t>
                  </w:r>
                </w:p>
              </w:tc>
              <w:tc>
                <w:tcPr>
                  <w:tcW w:w="1642" w:type="pct"/>
                  <w:gridSpan w:val="4"/>
                  <w:noWrap w:val="0"/>
                  <w:vAlign w:val="center"/>
                </w:tcPr>
                <w:p w14:paraId="218CF7E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184</w:t>
                  </w:r>
                </w:p>
              </w:tc>
            </w:tr>
          </w:tbl>
          <w:p w14:paraId="2083BEF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由上表可知，项目区</w:t>
            </w:r>
            <w:r>
              <w:rPr>
                <w:rFonts w:hint="eastAsia" w:ascii="宋体" w:hAnsi="宋体"/>
                <w:color w:val="auto"/>
                <w:sz w:val="24"/>
                <w:szCs w:val="24"/>
                <w:highlight w:val="none"/>
                <w:lang w:val="en-US" w:eastAsia="zh-CN"/>
              </w:rPr>
              <w:t>域</w:t>
            </w:r>
            <w:r>
              <w:rPr>
                <w:rFonts w:hint="eastAsia" w:ascii="宋体" w:hAnsi="宋体"/>
                <w:color w:val="auto"/>
                <w:sz w:val="24"/>
                <w:szCs w:val="24"/>
                <w:highlight w:val="none"/>
              </w:rPr>
              <w:t>内</w:t>
            </w:r>
            <w:r>
              <w:rPr>
                <w:rFonts w:hint="eastAsia" w:cs="Times New Roman"/>
                <w:color w:val="auto"/>
                <w:sz w:val="24"/>
                <w:szCs w:val="24"/>
                <w:highlight w:val="none"/>
                <w:lang w:val="en-US" w:eastAsia="zh-CN"/>
              </w:rPr>
              <w:t>TSP</w:t>
            </w:r>
            <w:r>
              <w:rPr>
                <w:rFonts w:hint="eastAsia" w:ascii="宋体" w:hAnsi="宋体"/>
                <w:color w:val="auto"/>
                <w:sz w:val="24"/>
                <w:szCs w:val="24"/>
                <w:highlight w:val="none"/>
              </w:rPr>
              <w:t>满足</w:t>
            </w:r>
            <w:r>
              <w:rPr>
                <w:rFonts w:ascii="宋体" w:hAnsi="宋体"/>
                <w:color w:val="auto"/>
                <w:sz w:val="24"/>
                <w:szCs w:val="24"/>
                <w:highlight w:val="none"/>
              </w:rPr>
              <w:t>《环境空气质量标准》</w:t>
            </w:r>
            <w:r>
              <w:rPr>
                <w:rFonts w:hAnsi="宋体" w:cs="Times New Roman"/>
                <w:color w:val="auto"/>
                <w:sz w:val="24"/>
                <w:szCs w:val="24"/>
                <w:highlight w:val="none"/>
              </w:rPr>
              <w:t>（</w:t>
            </w:r>
            <w:r>
              <w:rPr>
                <w:rFonts w:cs="Times New Roman"/>
                <w:color w:val="auto"/>
                <w:sz w:val="24"/>
                <w:szCs w:val="24"/>
                <w:highlight w:val="none"/>
              </w:rPr>
              <w:t>GB3095-2012</w:t>
            </w:r>
            <w:r>
              <w:rPr>
                <w:rFonts w:hAnsi="宋体" w:cs="Times New Roman"/>
                <w:color w:val="auto"/>
                <w:sz w:val="24"/>
                <w:szCs w:val="24"/>
                <w:highlight w:val="none"/>
              </w:rPr>
              <w:t>）</w:t>
            </w:r>
            <w:r>
              <w:rPr>
                <w:rFonts w:ascii="宋体" w:hAnsi="宋体"/>
                <w:color w:val="auto"/>
                <w:sz w:val="24"/>
                <w:szCs w:val="24"/>
                <w:highlight w:val="none"/>
              </w:rPr>
              <w:t>中二级标准及修改单</w:t>
            </w:r>
            <w:r>
              <w:rPr>
                <w:rFonts w:hint="eastAsia" w:ascii="宋体" w:hAnsi="宋体"/>
                <w:color w:val="auto"/>
                <w:sz w:val="24"/>
                <w:szCs w:val="24"/>
                <w:highlight w:val="none"/>
              </w:rPr>
              <w:t>中的浓度限值</w:t>
            </w:r>
            <w:r>
              <w:rPr>
                <w:rFonts w:hint="eastAsia" w:ascii="宋体" w:hAnsi="宋体"/>
                <w:color w:val="auto"/>
                <w:sz w:val="24"/>
                <w:szCs w:val="24"/>
                <w:highlight w:val="none"/>
                <w:lang w:eastAsia="zh-CN"/>
              </w:rPr>
              <w:t>（</w:t>
            </w:r>
            <w:r>
              <w:rPr>
                <w:rFonts w:hint="eastAsia" w:cs="Times New Roman"/>
                <w:color w:val="auto"/>
                <w:sz w:val="24"/>
                <w:szCs w:val="24"/>
                <w:highlight w:val="none"/>
                <w:lang w:val="en-US" w:eastAsia="zh-CN"/>
              </w:rPr>
              <w:t>TSP：24小时平均0.3</w:t>
            </w:r>
            <w:r>
              <w:rPr>
                <w:rFonts w:hint="eastAsia" w:ascii="Times New Roman" w:hAnsi="Times New Roman" w:eastAsia="宋体" w:cs="Times New Roman"/>
                <w:b w:val="0"/>
                <w:bCs w:val="0"/>
                <w:color w:val="auto"/>
                <w:kern w:val="0"/>
                <w:sz w:val="24"/>
                <w:szCs w:val="24"/>
                <w:lang w:val="en-US" w:eastAsia="zh-CN" w:bidi="ar-SA"/>
              </w:rPr>
              <w:t>m</w:t>
            </w:r>
            <w:r>
              <w:rPr>
                <w:rFonts w:hint="default" w:ascii="Times New Roman" w:hAnsi="Times New Roman" w:eastAsia="宋体" w:cs="Times New Roman"/>
                <w:b w:val="0"/>
                <w:bCs w:val="0"/>
                <w:color w:val="auto"/>
                <w:kern w:val="0"/>
                <w:sz w:val="24"/>
                <w:szCs w:val="24"/>
                <w:lang w:val="en-US" w:eastAsia="zh-CN" w:bidi="ar-SA"/>
              </w:rPr>
              <w:t>g/m</w:t>
            </w:r>
            <w:r>
              <w:rPr>
                <w:rFonts w:hint="default" w:ascii="Times New Roman" w:hAnsi="Times New Roman" w:eastAsia="宋体" w:cs="Times New Roman"/>
                <w:b w:val="0"/>
                <w:bCs w:val="0"/>
                <w:color w:val="auto"/>
                <w:kern w:val="0"/>
                <w:sz w:val="24"/>
                <w:szCs w:val="24"/>
                <w:vertAlign w:val="superscript"/>
                <w:lang w:val="en-US" w:eastAsia="zh-CN" w:bidi="ar-SA"/>
              </w:rPr>
              <w:t>3</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p>
          <w:p w14:paraId="7836C6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eastAsia" w:ascii="宋体" w:hAnsi="宋体"/>
                <w:color w:val="auto"/>
                <w:sz w:val="24"/>
                <w:szCs w:val="24"/>
                <w:highlight w:val="none"/>
              </w:rPr>
              <w:t>《建设项目环境影响报告表编制技术指南（污染影响类）（试行）》中提到“排放国家、地方环境空气质量标准中有标准限值要求的特征污染物”，其中环境空气质量标准指《环境空气质量标准》</w:t>
            </w:r>
            <w:r>
              <w:rPr>
                <w:rFonts w:hint="default" w:ascii="Times New Roman" w:hAnsi="Times New Roman" w:cs="Times New Roman"/>
                <w:color w:val="auto"/>
                <w:sz w:val="24"/>
                <w:szCs w:val="24"/>
                <w:highlight w:val="none"/>
              </w:rPr>
              <w:t>（GB3095</w:t>
            </w:r>
            <w:r>
              <w:rPr>
                <w:rFonts w:cs="Times New Roman"/>
                <w:color w:val="auto"/>
                <w:sz w:val="24"/>
                <w:szCs w:val="24"/>
                <w:highlight w:val="none"/>
              </w:rPr>
              <w:t>-2012</w:t>
            </w:r>
            <w:r>
              <w:rPr>
                <w:rFonts w:hint="default" w:ascii="Times New Roman" w:hAnsi="Times New Roman" w:cs="Times New Roman"/>
                <w:color w:val="auto"/>
                <w:sz w:val="24"/>
                <w:szCs w:val="24"/>
                <w:highlight w:val="none"/>
              </w:rPr>
              <w:t>）</w:t>
            </w:r>
            <w:r>
              <w:rPr>
                <w:rFonts w:hint="eastAsia" w:ascii="宋体" w:hAnsi="宋体"/>
                <w:color w:val="auto"/>
                <w:sz w:val="24"/>
                <w:szCs w:val="24"/>
                <w:highlight w:val="none"/>
              </w:rPr>
              <w:t>和地方的环境空气质量标准，不包括《环境影响评价技术导则 大气环境》</w:t>
            </w:r>
            <w:r>
              <w:rPr>
                <w:rFonts w:hint="default" w:ascii="Times New Roman" w:hAnsi="Times New Roman" w:cs="Times New Roman"/>
                <w:color w:val="auto"/>
                <w:sz w:val="24"/>
                <w:szCs w:val="24"/>
                <w:highlight w:val="none"/>
              </w:rPr>
              <w:t>（HJ2.2-2018）</w:t>
            </w:r>
            <w:r>
              <w:rPr>
                <w:rFonts w:hint="eastAsia" w:ascii="宋体" w:hAnsi="宋体"/>
                <w:color w:val="auto"/>
                <w:sz w:val="24"/>
                <w:szCs w:val="24"/>
                <w:highlight w:val="none"/>
              </w:rPr>
              <w:t>附录</w:t>
            </w:r>
            <w:r>
              <w:rPr>
                <w:rFonts w:hint="default" w:ascii="Times New Roman" w:hAnsi="Times New Roman" w:cs="Times New Roman"/>
                <w:color w:val="auto"/>
                <w:sz w:val="24"/>
                <w:szCs w:val="24"/>
                <w:highlight w:val="none"/>
              </w:rPr>
              <w:t>D</w:t>
            </w:r>
            <w:r>
              <w:rPr>
                <w:rFonts w:hint="eastAsia" w:ascii="宋体" w:hAnsi="宋体"/>
                <w:color w:val="auto"/>
                <w:sz w:val="24"/>
                <w:szCs w:val="24"/>
                <w:highlight w:val="none"/>
              </w:rPr>
              <w:t>等技术导则。</w:t>
            </w:r>
            <w:r>
              <w:rPr>
                <w:rFonts w:hint="eastAsia" w:ascii="宋体" w:hAnsi="宋体"/>
                <w:color w:val="auto"/>
                <w:sz w:val="24"/>
                <w:szCs w:val="24"/>
                <w:highlight w:val="none"/>
                <w:lang w:eastAsia="zh-CN"/>
              </w:rPr>
              <w:t>且根据《</w:t>
            </w:r>
            <w:r>
              <w:rPr>
                <w:rFonts w:hint="eastAsia" w:ascii="宋体" w:hAnsi="宋体"/>
                <w:color w:val="auto"/>
                <w:sz w:val="24"/>
                <w:szCs w:val="24"/>
                <w:highlight w:val="none"/>
              </w:rPr>
              <w:t>关于加强重点行业涉新污染物建设项目环境影响评价工作的意见</w:t>
            </w:r>
            <w:r>
              <w:rPr>
                <w:rFonts w:hint="eastAsia" w:ascii="宋体" w:hAnsi="宋体"/>
                <w:color w:val="auto"/>
                <w:sz w:val="24"/>
                <w:szCs w:val="24"/>
                <w:highlight w:val="none"/>
                <w:lang w:eastAsia="zh-CN"/>
              </w:rPr>
              <w:t>》，对环境质量标准规定的新污染物，根据相关环境质量标准进行现状评价，环境质量标准未规定但已有环境监测方法标准的，应给出监测值。</w:t>
            </w:r>
            <w:r>
              <w:rPr>
                <w:rFonts w:hint="eastAsia" w:ascii="宋体" w:hAnsi="宋体"/>
                <w:color w:val="auto"/>
                <w:sz w:val="24"/>
                <w:szCs w:val="24"/>
                <w:highlight w:val="none"/>
              </w:rPr>
              <w:t>因此，本项目排放的特征污染物</w:t>
            </w:r>
            <w:r>
              <w:rPr>
                <w:rFonts w:hint="eastAsia" w:ascii="宋体" w:hAnsi="宋体"/>
                <w:color w:val="auto"/>
                <w:sz w:val="24"/>
                <w:szCs w:val="24"/>
                <w:highlight w:val="none"/>
                <w:lang w:val="en-US" w:eastAsia="zh-CN"/>
              </w:rPr>
              <w:t>挥发性有机物、</w:t>
            </w:r>
            <w:r>
              <w:rPr>
                <w:rFonts w:hint="default" w:ascii="Times New Roman" w:hAnsi="Times New Roman" w:cs="Times New Roman"/>
                <w:color w:val="auto"/>
                <w:sz w:val="24"/>
                <w:szCs w:val="24"/>
                <w:highlight w:val="none"/>
                <w:vertAlign w:val="baseline"/>
                <w:lang w:val="en-US" w:eastAsia="zh-CN"/>
              </w:rPr>
              <w:t>NH</w:t>
            </w:r>
            <w:r>
              <w:rPr>
                <w:rFonts w:hint="default" w:ascii="Times New Roman" w:hAnsi="Times New Roman" w:cs="Times New Roman"/>
                <w:color w:val="auto"/>
                <w:sz w:val="24"/>
                <w:szCs w:val="24"/>
                <w:highlight w:val="none"/>
                <w:vertAlign w:val="subscript"/>
                <w:lang w:val="en-US" w:eastAsia="zh-CN"/>
              </w:rPr>
              <w:t>3</w:t>
            </w:r>
            <w:r>
              <w:rPr>
                <w:rFonts w:hint="eastAsia" w:ascii="宋体" w:hAnsi="宋体"/>
                <w:color w:val="auto"/>
                <w:sz w:val="24"/>
                <w:szCs w:val="24"/>
                <w:highlight w:val="none"/>
              </w:rPr>
              <w:t>无国家、地方环境空气质量标准限值要求，</w:t>
            </w:r>
            <w:r>
              <w:rPr>
                <w:rFonts w:hint="eastAsia" w:ascii="宋体" w:hAnsi="宋体"/>
                <w:color w:val="auto"/>
                <w:sz w:val="24"/>
                <w:szCs w:val="24"/>
                <w:highlight w:val="none"/>
                <w:lang w:eastAsia="zh-CN"/>
              </w:rPr>
              <w:t>且</w:t>
            </w:r>
            <w:r>
              <w:rPr>
                <w:rFonts w:hint="eastAsia" w:ascii="宋体" w:hAnsi="宋体"/>
                <w:color w:val="auto"/>
                <w:sz w:val="24"/>
                <w:szCs w:val="24"/>
                <w:highlight w:val="none"/>
                <w:lang w:val="en-US" w:eastAsia="zh-CN"/>
              </w:rPr>
              <w:t>发性有机物、</w:t>
            </w:r>
            <w:r>
              <w:rPr>
                <w:rFonts w:hint="default" w:ascii="Times New Roman" w:hAnsi="Times New Roman" w:cs="Times New Roman"/>
                <w:color w:val="auto"/>
                <w:sz w:val="24"/>
                <w:szCs w:val="24"/>
                <w:highlight w:val="none"/>
                <w:vertAlign w:val="baseline"/>
                <w:lang w:val="en-US" w:eastAsia="zh-CN"/>
              </w:rPr>
              <w:t>NH</w:t>
            </w:r>
            <w:r>
              <w:rPr>
                <w:rFonts w:hint="default" w:ascii="Times New Roman" w:hAnsi="Times New Roman" w:cs="Times New Roman"/>
                <w:color w:val="auto"/>
                <w:sz w:val="24"/>
                <w:szCs w:val="24"/>
                <w:highlight w:val="none"/>
                <w:vertAlign w:val="subscript"/>
                <w:lang w:val="en-US" w:eastAsia="zh-CN"/>
              </w:rPr>
              <w:t>3</w:t>
            </w:r>
            <w:r>
              <w:rPr>
                <w:rFonts w:hint="eastAsia" w:ascii="宋体" w:hAnsi="宋体"/>
                <w:color w:val="auto"/>
                <w:sz w:val="24"/>
                <w:szCs w:val="24"/>
                <w:highlight w:val="none"/>
                <w:lang w:eastAsia="zh-CN"/>
              </w:rPr>
              <w:t>不是新增污染物种类，</w:t>
            </w:r>
            <w:r>
              <w:rPr>
                <w:rFonts w:hint="eastAsia" w:ascii="宋体" w:hAnsi="宋体"/>
                <w:color w:val="auto"/>
                <w:sz w:val="24"/>
                <w:szCs w:val="24"/>
                <w:highlight w:val="none"/>
              </w:rPr>
              <w:t>不涉及现状监测。</w:t>
            </w:r>
          </w:p>
          <w:p w14:paraId="54D61E5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eastAsia="宋体" w:cs="Times New Roman"/>
                <w:b/>
                <w:bCs/>
                <w:snapToGrid/>
                <w:color w:val="auto"/>
                <w:spacing w:val="0"/>
                <w:kern w:val="0"/>
                <w:position w:val="0"/>
                <w:sz w:val="24"/>
                <w:szCs w:val="24"/>
                <w:lang w:val="en-US" w:eastAsia="zh-CN"/>
              </w:rPr>
            </w:pPr>
            <w:r>
              <w:rPr>
                <w:rFonts w:hint="default" w:ascii="Times New Roman" w:hAnsi="Times New Roman" w:eastAsia="宋体" w:cs="Times New Roman"/>
                <w:b/>
                <w:bCs/>
                <w:snapToGrid/>
                <w:color w:val="auto"/>
                <w:spacing w:val="0"/>
                <w:kern w:val="0"/>
                <w:position w:val="0"/>
                <w:sz w:val="24"/>
                <w:szCs w:val="24"/>
                <w:lang w:val="en-US" w:eastAsia="zh-CN"/>
              </w:rPr>
              <w:t>2、</w:t>
            </w:r>
            <w:r>
              <w:rPr>
                <w:rFonts w:hint="eastAsia" w:ascii="Times New Roman" w:hAnsi="Times New Roman" w:eastAsia="宋体" w:cs="Times New Roman"/>
                <w:b/>
                <w:bCs/>
                <w:snapToGrid/>
                <w:color w:val="auto"/>
                <w:spacing w:val="0"/>
                <w:kern w:val="0"/>
                <w:position w:val="0"/>
                <w:sz w:val="24"/>
                <w:szCs w:val="24"/>
                <w:lang w:val="en-US" w:eastAsia="zh-CN"/>
              </w:rPr>
              <w:t>地表</w:t>
            </w:r>
            <w:r>
              <w:rPr>
                <w:rFonts w:hint="default" w:ascii="Times New Roman" w:hAnsi="Times New Roman" w:eastAsia="宋体" w:cs="Times New Roman"/>
                <w:b/>
                <w:bCs/>
                <w:snapToGrid/>
                <w:color w:val="auto"/>
                <w:spacing w:val="0"/>
                <w:kern w:val="0"/>
                <w:position w:val="0"/>
                <w:sz w:val="24"/>
                <w:szCs w:val="24"/>
                <w:lang w:val="en-US" w:eastAsia="zh-CN"/>
              </w:rPr>
              <w:t>水环境</w:t>
            </w:r>
          </w:p>
          <w:p w14:paraId="0AE13556">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cs="Times New Roman"/>
                <w:snapToGrid/>
                <w:color w:val="auto"/>
                <w:spacing w:val="0"/>
                <w:kern w:val="0"/>
                <w:position w:val="0"/>
                <w:sz w:val="24"/>
                <w:lang w:eastAsia="zh-CN"/>
              </w:rPr>
            </w:pPr>
            <w:r>
              <w:rPr>
                <w:rFonts w:hint="default" w:ascii="Times New Roman" w:hAnsi="Times New Roman" w:eastAsia="宋体" w:cs="Times New Roman"/>
                <w:color w:val="auto"/>
                <w:sz w:val="24"/>
                <w:szCs w:val="24"/>
                <w:lang w:val="en-US" w:eastAsia="zh-CN"/>
              </w:rPr>
              <w:t>根据宿州市</w:t>
            </w:r>
            <w:r>
              <w:rPr>
                <w:rFonts w:hint="eastAsia" w:cs="Times New Roman"/>
                <w:color w:val="auto"/>
                <w:sz w:val="24"/>
                <w:szCs w:val="24"/>
                <w:lang w:val="en-US" w:eastAsia="zh-CN"/>
              </w:rPr>
              <w:t>2024</w:t>
            </w:r>
            <w:r>
              <w:rPr>
                <w:rFonts w:hint="default" w:ascii="Times New Roman" w:hAnsi="Times New Roman" w:eastAsia="宋体" w:cs="Times New Roman"/>
                <w:color w:val="auto"/>
                <w:sz w:val="24"/>
                <w:szCs w:val="24"/>
                <w:lang w:val="en-US" w:eastAsia="zh-CN"/>
              </w:rPr>
              <w:t>年环境质量状况：</w:t>
            </w:r>
            <w:r>
              <w:rPr>
                <w:rFonts w:hint="default" w:ascii="Times New Roman" w:hAnsi="Times New Roman" w:eastAsia="宋体" w:cs="Times New Roman"/>
                <w:color w:val="auto"/>
                <w:kern w:val="0"/>
                <w:sz w:val="24"/>
                <w:szCs w:val="24"/>
                <w:lang w:val="en-US" w:eastAsia="zh-CN"/>
              </w:rPr>
              <w:t>水环境质量：2024年，宿州市水环境质量稳中向好、稳中趋优。全市13个地表水国家考核断面中10个水质达到Ⅲ类，水质优良比例为76.9%，较上一年同比提升7.7个百分点，超额完成省厅下达的年度力争考核目标；10个地表水省考核断面中5个断面水质为Ⅲ类，水质优良比例为50%，超出省年度考核目标20个百分点。9个县级及以上集中式饮用水水源地水质达标率保持100%，切实保障了市</w:t>
            </w:r>
            <w:r>
              <w:rPr>
                <w:rFonts w:hint="eastAsia" w:ascii="宋体" w:hAnsi="宋体" w:eastAsia="宋体" w:cs="宋体"/>
                <w:color w:val="auto"/>
                <w:kern w:val="0"/>
                <w:sz w:val="24"/>
                <w:szCs w:val="24"/>
                <w:lang w:val="en-US" w:eastAsia="zh-CN"/>
              </w:rPr>
              <w:t>民“水缸子”的安</w:t>
            </w:r>
            <w:r>
              <w:rPr>
                <w:rFonts w:hint="default" w:ascii="Times New Roman" w:hAnsi="Times New Roman" w:eastAsia="宋体" w:cs="Times New Roman"/>
                <w:color w:val="auto"/>
                <w:kern w:val="0"/>
                <w:sz w:val="24"/>
                <w:szCs w:val="24"/>
                <w:lang w:val="en-US" w:eastAsia="zh-CN"/>
              </w:rPr>
              <w:t>全，让群众喝上放心水。</w:t>
            </w:r>
            <w:r>
              <w:rPr>
                <w:rFonts w:hint="eastAsia" w:cs="Times New Roman"/>
                <w:b w:val="0"/>
                <w:bCs w:val="0"/>
                <w:color w:val="auto"/>
                <w:kern w:val="0"/>
                <w:sz w:val="24"/>
                <w:szCs w:val="24"/>
                <w:lang w:val="en-US" w:eastAsia="zh-CN"/>
              </w:rPr>
              <w:t>新濉河</w:t>
            </w:r>
            <w:r>
              <w:rPr>
                <w:rFonts w:hint="default" w:ascii="Times New Roman" w:hAnsi="Times New Roman" w:eastAsia="宋体" w:cs="Times New Roman"/>
                <w:color w:val="auto"/>
                <w:sz w:val="24"/>
                <w:szCs w:val="24"/>
              </w:rPr>
              <w:t>满足《地表水环境质量标准》（GB3838-2002）中Ⅳ类标准要求。</w:t>
            </w:r>
          </w:p>
          <w:p w14:paraId="22EA741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bCs/>
                <w:snapToGrid/>
                <w:color w:val="auto"/>
                <w:spacing w:val="0"/>
                <w:kern w:val="0"/>
                <w:position w:val="0"/>
                <w:sz w:val="24"/>
                <w:szCs w:val="24"/>
                <w:lang w:val="en-US" w:eastAsia="zh-CN"/>
              </w:rPr>
            </w:pPr>
            <w:r>
              <w:rPr>
                <w:rFonts w:hint="default" w:ascii="Times New Roman" w:hAnsi="Times New Roman" w:eastAsia="宋体" w:cs="Times New Roman"/>
                <w:b/>
                <w:bCs/>
                <w:snapToGrid/>
                <w:color w:val="auto"/>
                <w:spacing w:val="0"/>
                <w:kern w:val="0"/>
                <w:position w:val="0"/>
                <w:sz w:val="24"/>
                <w:szCs w:val="24"/>
                <w:lang w:val="en-US" w:eastAsia="zh-CN"/>
              </w:rPr>
              <w:t>3、声环境</w:t>
            </w:r>
          </w:p>
          <w:p w14:paraId="0272918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snapToGrid/>
                <w:color w:val="auto"/>
                <w:spacing w:val="0"/>
                <w:kern w:val="0"/>
                <w:position w:val="0"/>
                <w:sz w:val="24"/>
                <w:szCs w:val="24"/>
                <w:lang w:val="en-US" w:eastAsia="zh-CN"/>
              </w:rPr>
            </w:pPr>
            <w:r>
              <w:rPr>
                <w:rFonts w:hint="default" w:ascii="Times New Roman" w:hAnsi="Times New Roman" w:eastAsia="宋体" w:cs="Times New Roman"/>
                <w:color w:val="auto"/>
                <w:sz w:val="24"/>
                <w:szCs w:val="24"/>
                <w:lang w:val="en-US" w:eastAsia="zh-CN"/>
              </w:rPr>
              <w:t>本</w:t>
            </w:r>
            <w:r>
              <w:rPr>
                <w:rFonts w:hint="eastAsia" w:ascii="Times New Roman" w:hAnsi="Times New Roman" w:eastAsia="宋体" w:cs="Times New Roman"/>
                <w:snapToGrid/>
                <w:color w:val="auto"/>
                <w:spacing w:val="0"/>
                <w:kern w:val="0"/>
                <w:position w:val="0"/>
                <w:sz w:val="24"/>
                <w:szCs w:val="24"/>
                <w:lang w:val="en-US" w:eastAsia="zh-CN"/>
              </w:rPr>
              <w:t>项目位于</w:t>
            </w:r>
            <w:r>
              <w:rPr>
                <w:rFonts w:hint="default" w:ascii="Times New Roman" w:hAnsi="Times New Roman" w:eastAsia="宋体" w:cs="Times New Roman"/>
                <w:snapToGrid/>
                <w:color w:val="auto"/>
                <w:spacing w:val="0"/>
                <w:kern w:val="0"/>
                <w:position w:val="0"/>
                <w:sz w:val="24"/>
                <w:szCs w:val="24"/>
                <w:highlight w:val="none"/>
                <w:lang w:eastAsia="zh-CN"/>
              </w:rPr>
              <w:t>尹集镇新型乡村工业园</w:t>
            </w:r>
            <w:r>
              <w:rPr>
                <w:rFonts w:hint="eastAsia" w:eastAsia="宋体" w:cs="Times New Roman"/>
                <w:snapToGrid/>
                <w:color w:val="auto"/>
                <w:spacing w:val="0"/>
                <w:kern w:val="0"/>
                <w:position w:val="0"/>
                <w:sz w:val="24"/>
                <w:szCs w:val="24"/>
                <w:highlight w:val="none"/>
                <w:lang w:eastAsia="zh-CN"/>
              </w:rPr>
              <w:t>内</w:t>
            </w:r>
            <w:r>
              <w:rPr>
                <w:rFonts w:hint="eastAsia" w:ascii="Times New Roman" w:hAnsi="Times New Roman" w:eastAsia="宋体" w:cs="Times New Roman"/>
                <w:snapToGrid/>
                <w:color w:val="auto"/>
                <w:spacing w:val="0"/>
                <w:kern w:val="0"/>
                <w:position w:val="0"/>
                <w:sz w:val="24"/>
                <w:szCs w:val="24"/>
                <w:lang w:val="en-US" w:eastAsia="zh-CN"/>
              </w:rPr>
              <w:t>，</w:t>
            </w:r>
            <w:r>
              <w:rPr>
                <w:rFonts w:hint="default" w:ascii="Times New Roman" w:hAnsi="Times New Roman" w:eastAsia="宋体" w:cs="Times New Roman"/>
                <w:color w:val="auto"/>
                <w:sz w:val="24"/>
                <w:szCs w:val="24"/>
                <w:lang w:val="en-US" w:eastAsia="zh-CN"/>
              </w:rPr>
              <w:t>根据《建设项目环境影响报告表编制技术指南（污染影响类）（试行）》规定</w:t>
            </w:r>
            <w:r>
              <w:rPr>
                <w:rFonts w:hint="eastAsia" w:cs="Times New Roman"/>
                <w:color w:val="auto"/>
                <w:sz w:val="24"/>
                <w:szCs w:val="24"/>
                <w:lang w:val="en-US" w:eastAsia="zh-CN"/>
              </w:rPr>
              <w:t>，</w:t>
            </w:r>
            <w:r>
              <w:rPr>
                <w:rFonts w:hint="eastAsia" w:ascii="Times New Roman" w:hAnsi="Times New Roman" w:eastAsia="宋体" w:cs="Times New Roman"/>
                <w:snapToGrid/>
                <w:color w:val="auto"/>
                <w:spacing w:val="0"/>
                <w:kern w:val="0"/>
                <w:position w:val="0"/>
                <w:sz w:val="24"/>
                <w:szCs w:val="24"/>
                <w:lang w:val="en-US" w:eastAsia="zh-CN"/>
              </w:rPr>
              <w:t>50m范围内没有声环境保护目标，无需进行声环境现状监测。</w:t>
            </w:r>
          </w:p>
          <w:p w14:paraId="61B5483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宋体" w:cs="Times New Roman"/>
                <w:b/>
                <w:bCs/>
                <w:snapToGrid/>
                <w:color w:val="auto"/>
                <w:spacing w:val="0"/>
                <w:kern w:val="0"/>
                <w:position w:val="0"/>
                <w:sz w:val="24"/>
                <w:szCs w:val="24"/>
                <w:lang w:val="en-US" w:eastAsia="zh-CN"/>
              </w:rPr>
            </w:pPr>
            <w:r>
              <w:rPr>
                <w:rFonts w:hint="eastAsia" w:ascii="Times New Roman" w:hAnsi="Times New Roman" w:eastAsia="宋体" w:cs="Times New Roman"/>
                <w:b/>
                <w:bCs/>
                <w:snapToGrid/>
                <w:color w:val="auto"/>
                <w:spacing w:val="0"/>
                <w:kern w:val="0"/>
                <w:position w:val="0"/>
                <w:sz w:val="24"/>
                <w:szCs w:val="24"/>
                <w:lang w:val="en-US" w:eastAsia="zh-CN"/>
              </w:rPr>
              <w:t>4、生态环境</w:t>
            </w:r>
          </w:p>
          <w:p w14:paraId="602516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snapToGrid/>
                <w:color w:val="auto"/>
                <w:spacing w:val="0"/>
                <w:kern w:val="0"/>
                <w:position w:val="0"/>
                <w:sz w:val="24"/>
                <w:szCs w:val="24"/>
                <w:lang w:val="en-US" w:eastAsia="zh-CN"/>
              </w:rPr>
            </w:pPr>
            <w:r>
              <w:rPr>
                <w:rFonts w:hint="eastAsia" w:ascii="Times New Roman" w:hAnsi="Times New Roman" w:eastAsia="宋体" w:cs="Times New Roman"/>
                <w:color w:val="auto"/>
                <w:kern w:val="0"/>
                <w:sz w:val="24"/>
                <w:szCs w:val="24"/>
                <w:lang w:val="en-US" w:eastAsia="zh-CN"/>
              </w:rPr>
              <w:t>本项目位于</w:t>
            </w:r>
            <w:r>
              <w:rPr>
                <w:rFonts w:hint="default" w:ascii="Times New Roman" w:hAnsi="Times New Roman" w:eastAsia="宋体" w:cs="Times New Roman"/>
                <w:snapToGrid/>
                <w:color w:val="auto"/>
                <w:spacing w:val="0"/>
                <w:kern w:val="0"/>
                <w:position w:val="0"/>
                <w:sz w:val="24"/>
                <w:szCs w:val="24"/>
                <w:highlight w:val="none"/>
                <w:lang w:eastAsia="zh-CN"/>
              </w:rPr>
              <w:t>尹集镇新型乡村工业园</w:t>
            </w:r>
            <w:r>
              <w:rPr>
                <w:rFonts w:hint="eastAsia" w:eastAsia="宋体" w:cs="Times New Roman"/>
                <w:snapToGrid/>
                <w:color w:val="auto"/>
                <w:spacing w:val="0"/>
                <w:kern w:val="0"/>
                <w:position w:val="0"/>
                <w:sz w:val="24"/>
                <w:szCs w:val="24"/>
                <w:highlight w:val="none"/>
                <w:lang w:eastAsia="zh-CN"/>
              </w:rPr>
              <w:t>内</w:t>
            </w:r>
            <w:r>
              <w:rPr>
                <w:rFonts w:hint="eastAsia" w:ascii="Times New Roman" w:hAnsi="Times New Roman" w:eastAsia="宋体" w:cs="Times New Roman"/>
                <w:color w:val="auto"/>
                <w:kern w:val="0"/>
                <w:sz w:val="24"/>
                <w:szCs w:val="24"/>
                <w:lang w:val="en-US" w:eastAsia="zh-CN"/>
              </w:rPr>
              <w:t>，</w:t>
            </w:r>
            <w:r>
              <w:rPr>
                <w:rFonts w:hint="default" w:ascii="Times New Roman" w:hAnsi="Times New Roman" w:eastAsia="宋体" w:cs="Times New Roman"/>
                <w:color w:val="auto"/>
                <w:sz w:val="24"/>
                <w:szCs w:val="24"/>
                <w:lang w:eastAsia="zh-CN"/>
              </w:rPr>
              <w:t>不新增用地，用地范围内不含生态环境保护目标，因此无需进行生态现状调查。</w:t>
            </w:r>
          </w:p>
          <w:p w14:paraId="20B2C25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宋体" w:cs="Times New Roman"/>
                <w:b/>
                <w:bCs/>
                <w:snapToGrid/>
                <w:color w:val="auto"/>
                <w:spacing w:val="0"/>
                <w:kern w:val="0"/>
                <w:position w:val="0"/>
                <w:sz w:val="24"/>
                <w:szCs w:val="24"/>
                <w:lang w:val="en-US" w:eastAsia="zh-CN"/>
              </w:rPr>
            </w:pPr>
            <w:r>
              <w:rPr>
                <w:rFonts w:hint="eastAsia" w:ascii="Times New Roman" w:hAnsi="Times New Roman" w:eastAsia="宋体" w:cs="Times New Roman"/>
                <w:b/>
                <w:bCs/>
                <w:snapToGrid/>
                <w:color w:val="auto"/>
                <w:spacing w:val="0"/>
                <w:kern w:val="0"/>
                <w:position w:val="0"/>
                <w:sz w:val="24"/>
                <w:szCs w:val="24"/>
                <w:lang w:val="en-US" w:eastAsia="zh-CN"/>
              </w:rPr>
              <w:t>5、电磁辐射</w:t>
            </w:r>
          </w:p>
          <w:p w14:paraId="510E850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jc w:val="left"/>
              <w:textAlignment w:val="auto"/>
              <w:rPr>
                <w:rFonts w:hint="eastAsia" w:ascii="Times New Roman" w:hAnsi="Times New Roman" w:eastAsia="宋体" w:cs="Times New Roman"/>
                <w:snapToGrid/>
                <w:color w:val="auto"/>
                <w:spacing w:val="0"/>
                <w:kern w:val="0"/>
                <w:position w:val="0"/>
                <w:sz w:val="24"/>
                <w:szCs w:val="24"/>
                <w:lang w:val="en-US" w:eastAsia="zh-CN"/>
              </w:rPr>
            </w:pPr>
            <w:r>
              <w:rPr>
                <w:rFonts w:hint="default" w:ascii="Times New Roman" w:hAnsi="Times New Roman" w:eastAsia="宋体" w:cs="Times New Roman"/>
                <w:snapToGrid/>
                <w:color w:val="auto"/>
                <w:spacing w:val="0"/>
                <w:kern w:val="0"/>
                <w:position w:val="0"/>
                <w:sz w:val="24"/>
                <w:szCs w:val="24"/>
                <w:lang w:val="en-US" w:eastAsia="zh-CN"/>
              </w:rPr>
              <w:t>本项目</w:t>
            </w:r>
            <w:r>
              <w:rPr>
                <w:rFonts w:hint="eastAsia" w:ascii="Times New Roman" w:hAnsi="Times New Roman" w:eastAsia="宋体" w:cs="Times New Roman"/>
                <w:snapToGrid/>
                <w:color w:val="auto"/>
                <w:spacing w:val="0"/>
                <w:kern w:val="0"/>
                <w:position w:val="0"/>
                <w:sz w:val="24"/>
                <w:szCs w:val="24"/>
                <w:lang w:val="en-US" w:eastAsia="zh-CN"/>
              </w:rPr>
              <w:t>为</w:t>
            </w:r>
            <w:r>
              <w:rPr>
                <w:rFonts w:hint="eastAsia" w:cs="Times New Roman"/>
                <w:snapToGrid/>
                <w:color w:val="auto"/>
                <w:spacing w:val="0"/>
                <w:kern w:val="0"/>
                <w:position w:val="0"/>
                <w:sz w:val="24"/>
                <w:lang w:val="en-US" w:eastAsia="zh-CN"/>
              </w:rPr>
              <w:t>钨合金渔坠制造</w:t>
            </w:r>
            <w:r>
              <w:rPr>
                <w:rFonts w:hint="eastAsia" w:ascii="Times New Roman" w:hAnsi="Times New Roman" w:eastAsia="宋体" w:cs="Times New Roman"/>
                <w:color w:val="auto"/>
                <w:sz w:val="24"/>
                <w:szCs w:val="24"/>
                <w:lang w:val="en-US" w:eastAsia="zh-CN"/>
              </w:rPr>
              <w:t>，</w:t>
            </w:r>
            <w:r>
              <w:rPr>
                <w:rFonts w:hint="eastAsia"/>
                <w:color w:val="auto"/>
                <w:sz w:val="24"/>
                <w:lang w:eastAsia="zh-CN"/>
              </w:rPr>
              <w:t>不涉及</w:t>
            </w:r>
            <w:r>
              <w:rPr>
                <w:rFonts w:hint="eastAsia"/>
                <w:color w:val="auto"/>
                <w:sz w:val="24"/>
                <w:lang w:val="en-US" w:eastAsia="zh-CN"/>
              </w:rPr>
              <w:t>电磁辐射类项目</w:t>
            </w:r>
            <w:r>
              <w:rPr>
                <w:rFonts w:hint="eastAsia"/>
                <w:color w:val="auto"/>
                <w:kern w:val="0"/>
                <w:sz w:val="24"/>
              </w:rPr>
              <w:t>。</w:t>
            </w:r>
          </w:p>
          <w:p w14:paraId="0F0F4889">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imes New Roman" w:hAnsi="Times New Roman" w:eastAsia="宋体" w:cs="Times New Roman"/>
                <w:b/>
                <w:bCs/>
                <w:snapToGrid/>
                <w:color w:val="auto"/>
                <w:spacing w:val="0"/>
                <w:kern w:val="0"/>
                <w:position w:val="0"/>
                <w:sz w:val="24"/>
                <w:szCs w:val="24"/>
                <w:lang w:val="en-US" w:eastAsia="zh-CN"/>
              </w:rPr>
            </w:pPr>
            <w:r>
              <w:rPr>
                <w:rFonts w:hint="eastAsia" w:ascii="Times New Roman" w:hAnsi="Times New Roman" w:eastAsia="宋体" w:cs="Times New Roman"/>
                <w:b/>
                <w:bCs/>
                <w:snapToGrid/>
                <w:color w:val="auto"/>
                <w:spacing w:val="0"/>
                <w:kern w:val="0"/>
                <w:position w:val="0"/>
                <w:sz w:val="24"/>
                <w:szCs w:val="24"/>
                <w:lang w:val="en-US" w:eastAsia="zh-CN"/>
              </w:rPr>
              <w:t>6、地下水环境</w:t>
            </w:r>
          </w:p>
          <w:p w14:paraId="100B69C7">
            <w:pPr>
              <w:adjustRightInd w:val="0"/>
              <w:snapToGrid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根据《建设项目环境影响评价报告表编制技术指南</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污染影响类</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 xml:space="preserve"> </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试行</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》要求，报告表项目原则上不开展地下水、土壤环境质量现状调查。本项目租用已建成厂房进行生产，厂区地面已采用水泥硬化。本项目建成后，危废</w:t>
            </w:r>
            <w:r>
              <w:rPr>
                <w:rFonts w:hint="eastAsia" w:ascii="Times New Roman" w:hAnsi="Times New Roman" w:cs="Times New Roman"/>
                <w:color w:val="auto"/>
                <w:sz w:val="24"/>
                <w:szCs w:val="24"/>
                <w:lang w:eastAsia="zh-CN"/>
              </w:rPr>
              <w:t>暂存间</w:t>
            </w:r>
            <w:r>
              <w:rPr>
                <w:rFonts w:hint="default" w:ascii="Times New Roman" w:hAnsi="Times New Roman" w:eastAsia="宋体" w:cs="Times New Roman"/>
                <w:color w:val="auto"/>
                <w:sz w:val="24"/>
                <w:szCs w:val="24"/>
              </w:rPr>
              <w:t>等单元将按照有关规范进行防腐防渗设计，可防止危险废物等泄漏对地下水和土壤产生污染。因此本项目不存在地下水、土壤污染途径，无需开展地下水、土壤环境质量现状评价。</w:t>
            </w:r>
          </w:p>
          <w:p w14:paraId="25208684">
            <w:pPr>
              <w:keepNext w:val="0"/>
              <w:keepLines w:val="0"/>
              <w:pageBreakBefore w:val="0"/>
              <w:widowControl w:val="0"/>
              <w:kinsoku/>
              <w:wordWrap/>
              <w:overflowPunct/>
              <w:topLinePunct w:val="0"/>
              <w:autoSpaceDE/>
              <w:autoSpaceDN/>
              <w:bidi w:val="0"/>
              <w:adjustRightInd w:val="0"/>
              <w:snapToGrid w:val="0"/>
              <w:spacing w:before="157" w:beforeLines="50" w:line="360" w:lineRule="auto"/>
              <w:ind w:right="0" w:rightChars="0" w:firstLine="480" w:firstLineChars="200"/>
              <w:jc w:val="both"/>
              <w:textAlignment w:val="auto"/>
              <w:outlineLvl w:val="9"/>
              <w:rPr>
                <w:rFonts w:hint="eastAsia" w:ascii="Times New Roman" w:hAnsi="Times New Roman" w:eastAsia="宋体" w:cs="Times New Roman"/>
                <w:color w:val="auto"/>
                <w:kern w:val="0"/>
                <w:sz w:val="24"/>
                <w:szCs w:val="24"/>
                <w:highlight w:val="none"/>
                <w:lang w:val="en-US" w:eastAsia="zh-CN" w:bidi="ar"/>
              </w:rPr>
            </w:pPr>
          </w:p>
          <w:p w14:paraId="33E6564E">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cs="Times New Roman"/>
                <w:snapToGrid/>
                <w:color w:val="auto"/>
                <w:spacing w:val="0"/>
                <w:kern w:val="0"/>
                <w:position w:val="0"/>
                <w:szCs w:val="21"/>
                <w:lang w:val="en-US" w:eastAsia="zh-CN"/>
              </w:rPr>
            </w:pPr>
          </w:p>
          <w:p w14:paraId="4908E2EC">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cs="Times New Roman"/>
                <w:snapToGrid/>
                <w:color w:val="auto"/>
                <w:spacing w:val="0"/>
                <w:kern w:val="0"/>
                <w:position w:val="0"/>
                <w:szCs w:val="21"/>
                <w:lang w:val="en-US" w:eastAsia="zh-CN"/>
              </w:rPr>
            </w:pPr>
          </w:p>
          <w:p w14:paraId="0C1333F8">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cs="Times New Roman"/>
                <w:snapToGrid/>
                <w:color w:val="auto"/>
                <w:spacing w:val="0"/>
                <w:kern w:val="0"/>
                <w:position w:val="0"/>
                <w:szCs w:val="21"/>
                <w:lang w:val="en-US" w:eastAsia="zh-CN"/>
              </w:rPr>
            </w:pPr>
          </w:p>
          <w:p w14:paraId="070D05B4">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cs="Times New Roman"/>
                <w:snapToGrid/>
                <w:color w:val="auto"/>
                <w:spacing w:val="0"/>
                <w:kern w:val="0"/>
                <w:position w:val="0"/>
                <w:szCs w:val="21"/>
                <w:lang w:val="en-US" w:eastAsia="zh-CN"/>
              </w:rPr>
            </w:pPr>
          </w:p>
          <w:p w14:paraId="6D0E594E">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cs="Times New Roman"/>
                <w:snapToGrid/>
                <w:color w:val="auto"/>
                <w:spacing w:val="0"/>
                <w:kern w:val="0"/>
                <w:position w:val="0"/>
                <w:szCs w:val="21"/>
                <w:lang w:val="en-US" w:eastAsia="zh-CN"/>
              </w:rPr>
            </w:pPr>
          </w:p>
          <w:p w14:paraId="42D2CC39">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cs="Times New Roman"/>
                <w:snapToGrid/>
                <w:color w:val="auto"/>
                <w:spacing w:val="0"/>
                <w:kern w:val="0"/>
                <w:position w:val="0"/>
                <w:szCs w:val="21"/>
                <w:lang w:val="en-US" w:eastAsia="zh-CN"/>
              </w:rPr>
            </w:pPr>
          </w:p>
          <w:p w14:paraId="33A24138">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cs="Times New Roman"/>
                <w:snapToGrid/>
                <w:color w:val="auto"/>
                <w:spacing w:val="0"/>
                <w:kern w:val="0"/>
                <w:position w:val="0"/>
                <w:szCs w:val="21"/>
                <w:lang w:val="en-US" w:eastAsia="zh-CN"/>
              </w:rPr>
            </w:pPr>
          </w:p>
          <w:p w14:paraId="2A65BFA9">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cs="Times New Roman"/>
                <w:snapToGrid/>
                <w:color w:val="auto"/>
                <w:spacing w:val="0"/>
                <w:kern w:val="0"/>
                <w:position w:val="0"/>
                <w:szCs w:val="21"/>
                <w:lang w:val="en-US" w:eastAsia="zh-CN"/>
              </w:rPr>
            </w:pPr>
          </w:p>
          <w:p w14:paraId="7F64BF91">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cs="Times New Roman"/>
                <w:snapToGrid/>
                <w:color w:val="auto"/>
                <w:spacing w:val="0"/>
                <w:kern w:val="0"/>
                <w:position w:val="0"/>
                <w:szCs w:val="21"/>
                <w:lang w:val="en-US" w:eastAsia="zh-CN"/>
              </w:rPr>
            </w:pPr>
          </w:p>
          <w:p w14:paraId="50988C2F">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cs="Times New Roman"/>
                <w:snapToGrid/>
                <w:color w:val="auto"/>
                <w:spacing w:val="0"/>
                <w:kern w:val="0"/>
                <w:position w:val="0"/>
                <w:szCs w:val="21"/>
                <w:lang w:val="en-US" w:eastAsia="zh-CN"/>
              </w:rPr>
            </w:pPr>
          </w:p>
          <w:p w14:paraId="4D68C69F">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cs="Times New Roman"/>
                <w:snapToGrid/>
                <w:color w:val="auto"/>
                <w:spacing w:val="0"/>
                <w:kern w:val="0"/>
                <w:position w:val="0"/>
                <w:szCs w:val="21"/>
                <w:lang w:val="en-US" w:eastAsia="zh-CN"/>
              </w:rPr>
            </w:pPr>
          </w:p>
          <w:p w14:paraId="0B870B03">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default" w:ascii="Times New Roman" w:hAnsi="Times New Roman" w:eastAsia="宋体" w:cs="Times New Roman"/>
                <w:snapToGrid/>
                <w:color w:val="auto"/>
                <w:spacing w:val="0"/>
                <w:kern w:val="0"/>
                <w:position w:val="0"/>
                <w:szCs w:val="21"/>
                <w:lang w:val="en-US" w:eastAsia="zh-CN"/>
              </w:rPr>
            </w:pPr>
          </w:p>
        </w:tc>
      </w:tr>
      <w:tr w14:paraId="21A301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400" w:hRule="atLeast"/>
          <w:jc w:val="center"/>
        </w:trPr>
        <w:tc>
          <w:tcPr>
            <w:tcW w:w="567" w:type="dxa"/>
            <w:tcBorders>
              <w:tl2br w:val="nil"/>
              <w:tr2bl w:val="nil"/>
            </w:tcBorders>
            <w:noWrap w:val="0"/>
            <w:vAlign w:val="center"/>
          </w:tcPr>
          <w:p w14:paraId="73D1F439">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环境</w:t>
            </w:r>
          </w:p>
          <w:p w14:paraId="3A9D2B6D">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保护</w:t>
            </w:r>
          </w:p>
          <w:p w14:paraId="774BAF88">
            <w:pPr>
              <w:adjustRightInd w:val="0"/>
              <w:snapToGrid w:val="0"/>
              <w:jc w:val="center"/>
              <w:rPr>
                <w:rFonts w:hint="default" w:ascii="Times New Roman" w:hAnsi="Times New Roman" w:eastAsia="宋体" w:cs="Times New Roman"/>
                <w:snapToGrid/>
                <w:color w:val="auto"/>
                <w:spacing w:val="0"/>
                <w:kern w:val="0"/>
                <w:position w:val="0"/>
                <w:szCs w:val="21"/>
              </w:rPr>
            </w:pPr>
            <w:r>
              <w:rPr>
                <w:rFonts w:hint="default" w:ascii="Times New Roman" w:hAnsi="Times New Roman" w:eastAsia="宋体" w:cs="Times New Roman"/>
                <w:b w:val="0"/>
                <w:bCs w:val="0"/>
                <w:snapToGrid/>
                <w:color w:val="auto"/>
                <w:spacing w:val="0"/>
                <w:kern w:val="0"/>
                <w:position w:val="0"/>
                <w:sz w:val="24"/>
                <w:szCs w:val="24"/>
              </w:rPr>
              <w:t>目标</w:t>
            </w:r>
          </w:p>
        </w:tc>
        <w:tc>
          <w:tcPr>
            <w:tcW w:w="8539" w:type="dxa"/>
            <w:tcBorders>
              <w:tl2br w:val="nil"/>
              <w:tr2bl w:val="nil"/>
            </w:tcBorders>
            <w:noWrap w:val="0"/>
            <w:vAlign w:val="center"/>
          </w:tcPr>
          <w:p w14:paraId="4D5236A3">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both"/>
              <w:textAlignment w:val="auto"/>
              <w:rPr>
                <w:rFonts w:hint="eastAsia" w:ascii="Times New Roman" w:hAnsi="Times New Roman" w:cs="Times New Roman"/>
                <w:b/>
                <w:bCs/>
                <w:color w:val="auto"/>
                <w:kern w:val="0"/>
                <w:sz w:val="24"/>
                <w:szCs w:val="24"/>
                <w:lang w:val="en-US" w:eastAsia="zh-CN"/>
              </w:rPr>
            </w:pPr>
            <w:r>
              <w:rPr>
                <w:rFonts w:hint="eastAsia" w:ascii="Times New Roman" w:hAnsi="Times New Roman" w:cs="Times New Roman"/>
                <w:b/>
                <w:bCs/>
                <w:color w:val="auto"/>
                <w:kern w:val="0"/>
                <w:sz w:val="24"/>
                <w:szCs w:val="24"/>
                <w:lang w:val="en-US" w:eastAsia="zh-CN"/>
              </w:rPr>
              <w:t>1、大气环境</w:t>
            </w:r>
          </w:p>
          <w:p w14:paraId="1CB851D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表3</w:t>
            </w:r>
            <w:r>
              <w:rPr>
                <w:rFonts w:hint="eastAsia" w:cs="Times New Roman"/>
                <w:b/>
                <w:bCs w:val="0"/>
                <w:color w:val="auto"/>
                <w:sz w:val="24"/>
                <w:szCs w:val="24"/>
                <w:highlight w:val="none"/>
                <w:lang w:val="en-US" w:eastAsia="zh-CN"/>
              </w:rPr>
              <w:t>.3</w:t>
            </w:r>
            <w:r>
              <w:rPr>
                <w:rFonts w:hint="default" w:ascii="Times New Roman" w:hAnsi="Times New Roman" w:eastAsia="宋体" w:cs="Times New Roman"/>
                <w:b/>
                <w:bCs w:val="0"/>
                <w:color w:val="auto"/>
                <w:sz w:val="24"/>
                <w:szCs w:val="24"/>
                <w:highlight w:val="none"/>
                <w:lang w:val="en-US" w:eastAsia="zh-CN"/>
              </w:rPr>
              <w:t xml:space="preserve"> </w:t>
            </w:r>
            <w:r>
              <w:rPr>
                <w:rFonts w:hint="eastAsia" w:cs="Times New Roman"/>
                <w:b/>
                <w:bCs w:val="0"/>
                <w:color w:val="auto"/>
                <w:sz w:val="24"/>
                <w:szCs w:val="24"/>
                <w:highlight w:val="none"/>
                <w:lang w:val="en-US" w:eastAsia="zh-CN"/>
              </w:rPr>
              <w:t xml:space="preserve"> </w:t>
            </w:r>
            <w:r>
              <w:rPr>
                <w:b/>
                <w:bCs/>
                <w:color w:val="auto"/>
                <w:sz w:val="24"/>
                <w:szCs w:val="24"/>
              </w:rPr>
              <w:t>主要环境保护目标一览表</w:t>
            </w:r>
          </w:p>
          <w:tbl>
            <w:tblPr>
              <w:tblStyle w:val="22"/>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811"/>
              <w:gridCol w:w="704"/>
              <w:gridCol w:w="704"/>
              <w:gridCol w:w="868"/>
              <w:gridCol w:w="1230"/>
              <w:gridCol w:w="1590"/>
              <w:gridCol w:w="855"/>
              <w:gridCol w:w="997"/>
            </w:tblGrid>
            <w:tr w14:paraId="7983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dxa"/>
                  <w:vMerge w:val="restart"/>
                  <w:noWrap w:val="0"/>
                  <w:vAlign w:val="center"/>
                </w:tcPr>
                <w:p w14:paraId="52459B52">
                  <w:pPr>
                    <w:adjustRightInd w:val="0"/>
                    <w:snapToGrid w:val="0"/>
                    <w:jc w:val="center"/>
                    <w:rPr>
                      <w:color w:val="auto"/>
                      <w:sz w:val="21"/>
                      <w:szCs w:val="21"/>
                    </w:rPr>
                  </w:pPr>
                  <w:r>
                    <w:rPr>
                      <w:color w:val="auto"/>
                      <w:sz w:val="21"/>
                      <w:szCs w:val="21"/>
                    </w:rPr>
                    <w:t>序号</w:t>
                  </w:r>
                </w:p>
              </w:tc>
              <w:tc>
                <w:tcPr>
                  <w:tcW w:w="811" w:type="dxa"/>
                  <w:vMerge w:val="restart"/>
                  <w:noWrap w:val="0"/>
                  <w:vAlign w:val="center"/>
                </w:tcPr>
                <w:p w14:paraId="4EAAC4BD">
                  <w:pPr>
                    <w:adjustRightInd w:val="0"/>
                    <w:snapToGrid w:val="0"/>
                    <w:jc w:val="center"/>
                    <w:rPr>
                      <w:color w:val="auto"/>
                      <w:sz w:val="21"/>
                      <w:szCs w:val="21"/>
                    </w:rPr>
                  </w:pPr>
                  <w:r>
                    <w:rPr>
                      <w:color w:val="auto"/>
                      <w:sz w:val="21"/>
                      <w:szCs w:val="21"/>
                    </w:rPr>
                    <w:t>名称</w:t>
                  </w:r>
                </w:p>
              </w:tc>
              <w:tc>
                <w:tcPr>
                  <w:tcW w:w="1408" w:type="dxa"/>
                  <w:gridSpan w:val="2"/>
                  <w:noWrap w:val="0"/>
                  <w:vAlign w:val="center"/>
                </w:tcPr>
                <w:p w14:paraId="4055A889">
                  <w:pPr>
                    <w:adjustRightInd w:val="0"/>
                    <w:snapToGrid w:val="0"/>
                    <w:jc w:val="center"/>
                    <w:rPr>
                      <w:color w:val="auto"/>
                      <w:sz w:val="21"/>
                      <w:szCs w:val="21"/>
                    </w:rPr>
                  </w:pPr>
                  <w:r>
                    <w:rPr>
                      <w:color w:val="auto"/>
                      <w:sz w:val="21"/>
                      <w:szCs w:val="21"/>
                    </w:rPr>
                    <w:t>坐标/m</w:t>
                  </w:r>
                </w:p>
              </w:tc>
              <w:tc>
                <w:tcPr>
                  <w:tcW w:w="868" w:type="dxa"/>
                  <w:vMerge w:val="restart"/>
                  <w:noWrap w:val="0"/>
                  <w:vAlign w:val="center"/>
                </w:tcPr>
                <w:p w14:paraId="75D49359">
                  <w:pPr>
                    <w:adjustRightInd w:val="0"/>
                    <w:snapToGrid w:val="0"/>
                    <w:jc w:val="center"/>
                    <w:rPr>
                      <w:color w:val="auto"/>
                      <w:sz w:val="21"/>
                      <w:szCs w:val="21"/>
                    </w:rPr>
                  </w:pPr>
                  <w:r>
                    <w:rPr>
                      <w:color w:val="auto"/>
                      <w:sz w:val="21"/>
                      <w:szCs w:val="21"/>
                    </w:rPr>
                    <w:t>保护对象</w:t>
                  </w:r>
                </w:p>
              </w:tc>
              <w:tc>
                <w:tcPr>
                  <w:tcW w:w="1230" w:type="dxa"/>
                  <w:vMerge w:val="restart"/>
                  <w:noWrap w:val="0"/>
                  <w:vAlign w:val="center"/>
                </w:tcPr>
                <w:p w14:paraId="6870FAB6">
                  <w:pPr>
                    <w:adjustRightInd w:val="0"/>
                    <w:snapToGrid w:val="0"/>
                    <w:jc w:val="center"/>
                    <w:rPr>
                      <w:color w:val="auto"/>
                      <w:sz w:val="21"/>
                      <w:szCs w:val="21"/>
                    </w:rPr>
                  </w:pPr>
                  <w:r>
                    <w:rPr>
                      <w:color w:val="auto"/>
                      <w:sz w:val="21"/>
                      <w:szCs w:val="21"/>
                    </w:rPr>
                    <w:t>保护内容</w:t>
                  </w:r>
                </w:p>
              </w:tc>
              <w:tc>
                <w:tcPr>
                  <w:tcW w:w="1590" w:type="dxa"/>
                  <w:vMerge w:val="restart"/>
                  <w:noWrap w:val="0"/>
                  <w:vAlign w:val="center"/>
                </w:tcPr>
                <w:p w14:paraId="054CD626">
                  <w:pPr>
                    <w:adjustRightInd w:val="0"/>
                    <w:snapToGrid w:val="0"/>
                    <w:jc w:val="center"/>
                    <w:rPr>
                      <w:color w:val="auto"/>
                      <w:sz w:val="21"/>
                      <w:szCs w:val="21"/>
                    </w:rPr>
                  </w:pPr>
                  <w:r>
                    <w:rPr>
                      <w:color w:val="auto"/>
                      <w:sz w:val="21"/>
                      <w:szCs w:val="21"/>
                    </w:rPr>
                    <w:t>环境功能区</w:t>
                  </w:r>
                </w:p>
              </w:tc>
              <w:tc>
                <w:tcPr>
                  <w:tcW w:w="855" w:type="dxa"/>
                  <w:vMerge w:val="restart"/>
                  <w:noWrap w:val="0"/>
                  <w:vAlign w:val="center"/>
                </w:tcPr>
                <w:p w14:paraId="2DE835A1">
                  <w:pPr>
                    <w:adjustRightInd w:val="0"/>
                    <w:snapToGrid w:val="0"/>
                    <w:jc w:val="center"/>
                    <w:rPr>
                      <w:color w:val="auto"/>
                      <w:sz w:val="21"/>
                      <w:szCs w:val="21"/>
                    </w:rPr>
                  </w:pPr>
                  <w:r>
                    <w:rPr>
                      <w:color w:val="auto"/>
                      <w:sz w:val="21"/>
                      <w:szCs w:val="21"/>
                    </w:rPr>
                    <w:t>相对厂址方位</w:t>
                  </w:r>
                </w:p>
              </w:tc>
              <w:tc>
                <w:tcPr>
                  <w:tcW w:w="997" w:type="dxa"/>
                  <w:vMerge w:val="restart"/>
                  <w:noWrap w:val="0"/>
                  <w:vAlign w:val="center"/>
                </w:tcPr>
                <w:p w14:paraId="701D19E0">
                  <w:pPr>
                    <w:adjustRightInd w:val="0"/>
                    <w:snapToGrid w:val="0"/>
                    <w:jc w:val="center"/>
                    <w:rPr>
                      <w:color w:val="auto"/>
                      <w:sz w:val="21"/>
                      <w:szCs w:val="21"/>
                    </w:rPr>
                  </w:pPr>
                  <w:r>
                    <w:rPr>
                      <w:color w:val="auto"/>
                      <w:sz w:val="21"/>
                      <w:szCs w:val="21"/>
                    </w:rPr>
                    <w:t>相对厂界距离/m</w:t>
                  </w:r>
                </w:p>
              </w:tc>
            </w:tr>
            <w:tr w14:paraId="18F5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dxa"/>
                  <w:vMerge w:val="continue"/>
                  <w:noWrap w:val="0"/>
                  <w:vAlign w:val="center"/>
                </w:tcPr>
                <w:p w14:paraId="4FB49E54">
                  <w:pPr>
                    <w:adjustRightInd w:val="0"/>
                    <w:snapToGrid w:val="0"/>
                    <w:jc w:val="center"/>
                    <w:rPr>
                      <w:color w:val="auto"/>
                      <w:sz w:val="21"/>
                      <w:szCs w:val="21"/>
                    </w:rPr>
                  </w:pPr>
                </w:p>
              </w:tc>
              <w:tc>
                <w:tcPr>
                  <w:tcW w:w="811" w:type="dxa"/>
                  <w:vMerge w:val="continue"/>
                  <w:noWrap w:val="0"/>
                  <w:vAlign w:val="center"/>
                </w:tcPr>
                <w:p w14:paraId="129C1844">
                  <w:pPr>
                    <w:adjustRightInd w:val="0"/>
                    <w:snapToGrid w:val="0"/>
                    <w:jc w:val="center"/>
                    <w:rPr>
                      <w:color w:val="auto"/>
                      <w:sz w:val="21"/>
                      <w:szCs w:val="21"/>
                    </w:rPr>
                  </w:pPr>
                </w:p>
              </w:tc>
              <w:tc>
                <w:tcPr>
                  <w:tcW w:w="704" w:type="dxa"/>
                  <w:noWrap w:val="0"/>
                  <w:vAlign w:val="center"/>
                </w:tcPr>
                <w:p w14:paraId="33662DD8">
                  <w:pPr>
                    <w:adjustRightInd w:val="0"/>
                    <w:snapToGrid w:val="0"/>
                    <w:jc w:val="center"/>
                    <w:rPr>
                      <w:color w:val="auto"/>
                      <w:sz w:val="21"/>
                      <w:szCs w:val="21"/>
                    </w:rPr>
                  </w:pPr>
                  <w:r>
                    <w:rPr>
                      <w:color w:val="auto"/>
                      <w:sz w:val="21"/>
                      <w:szCs w:val="21"/>
                    </w:rPr>
                    <w:t>X</w:t>
                  </w:r>
                </w:p>
              </w:tc>
              <w:tc>
                <w:tcPr>
                  <w:tcW w:w="704" w:type="dxa"/>
                  <w:noWrap w:val="0"/>
                  <w:vAlign w:val="center"/>
                </w:tcPr>
                <w:p w14:paraId="1030155C">
                  <w:pPr>
                    <w:adjustRightInd w:val="0"/>
                    <w:snapToGrid w:val="0"/>
                    <w:jc w:val="center"/>
                    <w:rPr>
                      <w:color w:val="auto"/>
                      <w:sz w:val="21"/>
                      <w:szCs w:val="21"/>
                    </w:rPr>
                  </w:pPr>
                  <w:r>
                    <w:rPr>
                      <w:color w:val="auto"/>
                      <w:sz w:val="21"/>
                      <w:szCs w:val="21"/>
                    </w:rPr>
                    <w:t>Y</w:t>
                  </w:r>
                </w:p>
              </w:tc>
              <w:tc>
                <w:tcPr>
                  <w:tcW w:w="868" w:type="dxa"/>
                  <w:vMerge w:val="continue"/>
                  <w:noWrap w:val="0"/>
                  <w:vAlign w:val="center"/>
                </w:tcPr>
                <w:p w14:paraId="61E52661">
                  <w:pPr>
                    <w:adjustRightInd w:val="0"/>
                    <w:snapToGrid w:val="0"/>
                    <w:jc w:val="center"/>
                    <w:rPr>
                      <w:color w:val="auto"/>
                      <w:sz w:val="21"/>
                      <w:szCs w:val="21"/>
                    </w:rPr>
                  </w:pPr>
                </w:p>
              </w:tc>
              <w:tc>
                <w:tcPr>
                  <w:tcW w:w="1230" w:type="dxa"/>
                  <w:vMerge w:val="continue"/>
                  <w:noWrap w:val="0"/>
                  <w:vAlign w:val="center"/>
                </w:tcPr>
                <w:p w14:paraId="279857B5">
                  <w:pPr>
                    <w:adjustRightInd w:val="0"/>
                    <w:snapToGrid w:val="0"/>
                    <w:jc w:val="center"/>
                    <w:rPr>
                      <w:color w:val="auto"/>
                      <w:sz w:val="21"/>
                      <w:szCs w:val="21"/>
                    </w:rPr>
                  </w:pPr>
                </w:p>
              </w:tc>
              <w:tc>
                <w:tcPr>
                  <w:tcW w:w="1590" w:type="dxa"/>
                  <w:vMerge w:val="continue"/>
                  <w:noWrap w:val="0"/>
                  <w:vAlign w:val="center"/>
                </w:tcPr>
                <w:p w14:paraId="5157875F">
                  <w:pPr>
                    <w:adjustRightInd w:val="0"/>
                    <w:snapToGrid w:val="0"/>
                    <w:jc w:val="center"/>
                    <w:rPr>
                      <w:color w:val="auto"/>
                      <w:sz w:val="21"/>
                      <w:szCs w:val="21"/>
                    </w:rPr>
                  </w:pPr>
                </w:p>
              </w:tc>
              <w:tc>
                <w:tcPr>
                  <w:tcW w:w="855" w:type="dxa"/>
                  <w:vMerge w:val="continue"/>
                  <w:noWrap w:val="0"/>
                  <w:vAlign w:val="center"/>
                </w:tcPr>
                <w:p w14:paraId="37E660BE">
                  <w:pPr>
                    <w:adjustRightInd w:val="0"/>
                    <w:snapToGrid w:val="0"/>
                    <w:jc w:val="center"/>
                    <w:rPr>
                      <w:color w:val="auto"/>
                      <w:sz w:val="21"/>
                      <w:szCs w:val="21"/>
                    </w:rPr>
                  </w:pPr>
                </w:p>
              </w:tc>
              <w:tc>
                <w:tcPr>
                  <w:tcW w:w="997" w:type="dxa"/>
                  <w:vMerge w:val="continue"/>
                  <w:noWrap w:val="0"/>
                  <w:vAlign w:val="center"/>
                </w:tcPr>
                <w:p w14:paraId="42674155">
                  <w:pPr>
                    <w:adjustRightInd w:val="0"/>
                    <w:snapToGrid w:val="0"/>
                    <w:jc w:val="center"/>
                    <w:rPr>
                      <w:color w:val="auto"/>
                      <w:sz w:val="21"/>
                      <w:szCs w:val="21"/>
                    </w:rPr>
                  </w:pPr>
                </w:p>
              </w:tc>
            </w:tr>
            <w:tr w14:paraId="76100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dxa"/>
                  <w:noWrap w:val="0"/>
                  <w:vAlign w:val="center"/>
                </w:tcPr>
                <w:p w14:paraId="192BA3D9">
                  <w:pPr>
                    <w:adjustRightInd w:val="0"/>
                    <w:snapToGrid w:val="0"/>
                    <w:jc w:val="center"/>
                    <w:rPr>
                      <w:color w:val="auto"/>
                      <w:sz w:val="21"/>
                      <w:szCs w:val="21"/>
                    </w:rPr>
                  </w:pPr>
                  <w:r>
                    <w:rPr>
                      <w:color w:val="auto"/>
                      <w:sz w:val="21"/>
                      <w:szCs w:val="21"/>
                    </w:rPr>
                    <w:t>1</w:t>
                  </w:r>
                </w:p>
              </w:tc>
              <w:tc>
                <w:tcPr>
                  <w:tcW w:w="811" w:type="dxa"/>
                  <w:noWrap w:val="0"/>
                  <w:vAlign w:val="center"/>
                </w:tcPr>
                <w:p w14:paraId="0D2B8971">
                  <w:pPr>
                    <w:pStyle w:val="29"/>
                    <w:keepNext w:val="0"/>
                    <w:keepLines w:val="0"/>
                    <w:pageBreakBefore w:val="0"/>
                    <w:kinsoku/>
                    <w:wordWrap/>
                    <w:overflowPunct/>
                    <w:topLinePunct w:val="0"/>
                    <w:bidi w:val="0"/>
                    <w:snapToGrid/>
                    <w:jc w:val="center"/>
                    <w:textAlignment w:val="auto"/>
                    <w:rPr>
                      <w:rFonts w:hint="eastAsia" w:ascii="Times New Roman" w:hAnsi="Times New Roman" w:eastAsia="宋体" w:cs="Times New Roman"/>
                      <w:color w:val="auto"/>
                      <w:sz w:val="21"/>
                      <w:szCs w:val="21"/>
                      <w:vertAlign w:val="baseline"/>
                      <w:lang w:val="en-US" w:eastAsia="zh-CN" w:bidi="ar-SA"/>
                    </w:rPr>
                  </w:pPr>
                  <w:r>
                    <w:rPr>
                      <w:rFonts w:hint="eastAsia" w:cs="Times New Roman"/>
                      <w:color w:val="auto"/>
                      <w:sz w:val="21"/>
                      <w:szCs w:val="21"/>
                      <w:vertAlign w:val="baseline"/>
                      <w:lang w:val="en-US" w:eastAsia="zh-CN"/>
                    </w:rPr>
                    <w:t>田路村</w:t>
                  </w:r>
                </w:p>
              </w:tc>
              <w:tc>
                <w:tcPr>
                  <w:tcW w:w="704" w:type="dxa"/>
                  <w:noWrap w:val="0"/>
                  <w:vAlign w:val="center"/>
                </w:tcPr>
                <w:p w14:paraId="7F1C5627">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-214</w:t>
                  </w:r>
                </w:p>
              </w:tc>
              <w:tc>
                <w:tcPr>
                  <w:tcW w:w="704" w:type="dxa"/>
                  <w:noWrap w:val="0"/>
                  <w:vAlign w:val="center"/>
                </w:tcPr>
                <w:p w14:paraId="6081EEB9">
                  <w:pPr>
                    <w:adjustRightInd w:val="0"/>
                    <w:snapToGrid w:val="0"/>
                    <w:jc w:val="center"/>
                    <w:rPr>
                      <w:rFonts w:hint="default" w:eastAsia="宋体"/>
                      <w:color w:val="auto"/>
                      <w:sz w:val="21"/>
                      <w:szCs w:val="21"/>
                      <w:lang w:val="en-US" w:eastAsia="zh-CN"/>
                    </w:rPr>
                  </w:pPr>
                  <w:r>
                    <w:rPr>
                      <w:rFonts w:hint="eastAsia"/>
                      <w:color w:val="auto"/>
                      <w:sz w:val="21"/>
                      <w:szCs w:val="21"/>
                      <w:lang w:val="en-US" w:eastAsia="zh-CN"/>
                    </w:rPr>
                    <w:t>174</w:t>
                  </w:r>
                </w:p>
              </w:tc>
              <w:tc>
                <w:tcPr>
                  <w:tcW w:w="868" w:type="dxa"/>
                  <w:noWrap w:val="0"/>
                  <w:vAlign w:val="center"/>
                </w:tcPr>
                <w:p w14:paraId="2D7BD04C">
                  <w:pPr>
                    <w:adjustRightInd w:val="0"/>
                    <w:snapToGrid w:val="0"/>
                    <w:jc w:val="center"/>
                    <w:rPr>
                      <w:color w:val="auto"/>
                      <w:sz w:val="21"/>
                      <w:szCs w:val="21"/>
                    </w:rPr>
                  </w:pPr>
                  <w:r>
                    <w:rPr>
                      <w:color w:val="auto"/>
                      <w:sz w:val="21"/>
                      <w:szCs w:val="21"/>
                    </w:rPr>
                    <w:t>居民区</w:t>
                  </w:r>
                </w:p>
              </w:tc>
              <w:tc>
                <w:tcPr>
                  <w:tcW w:w="1230" w:type="dxa"/>
                  <w:noWrap w:val="0"/>
                  <w:vAlign w:val="center"/>
                </w:tcPr>
                <w:p w14:paraId="7538B6B5">
                  <w:pPr>
                    <w:pStyle w:val="29"/>
                    <w:keepNext w:val="0"/>
                    <w:keepLines w:val="0"/>
                    <w:pageBreakBefore w:val="0"/>
                    <w:kinsoku/>
                    <w:wordWrap/>
                    <w:overflowPunct/>
                    <w:topLinePunct w:val="0"/>
                    <w:bidi w:val="0"/>
                    <w:snapToGrid/>
                    <w:jc w:val="center"/>
                    <w:textAlignment w:val="auto"/>
                    <w:rPr>
                      <w:rFonts w:hint="default" w:ascii="Times New Roman" w:hAnsi="Times New Roman" w:eastAsia="宋体" w:cs="Times New Roman"/>
                      <w:color w:val="auto"/>
                      <w:sz w:val="21"/>
                      <w:szCs w:val="21"/>
                      <w:vertAlign w:val="baseline"/>
                      <w:lang w:val="en-US" w:eastAsia="zh-CN" w:bidi="ar-SA"/>
                    </w:rPr>
                  </w:pPr>
                  <w:r>
                    <w:rPr>
                      <w:rFonts w:hint="eastAsia" w:cs="Times New Roman"/>
                      <w:color w:val="auto"/>
                      <w:sz w:val="21"/>
                      <w:szCs w:val="21"/>
                      <w:vertAlign w:val="baseline"/>
                      <w:lang w:val="en-US" w:eastAsia="zh-CN"/>
                    </w:rPr>
                    <w:t>60</w:t>
                  </w:r>
                  <w:r>
                    <w:rPr>
                      <w:rFonts w:hint="default" w:ascii="Times New Roman" w:hAnsi="Times New Roman" w:eastAsia="宋体" w:cs="Times New Roman"/>
                      <w:color w:val="auto"/>
                      <w:sz w:val="21"/>
                      <w:szCs w:val="21"/>
                      <w:vertAlign w:val="baseline"/>
                      <w:lang w:val="en-US" w:eastAsia="zh-CN"/>
                    </w:rPr>
                    <w:t>户</w:t>
                  </w:r>
                  <w:r>
                    <w:rPr>
                      <w:rFonts w:hint="eastAsia" w:cs="Times New Roman"/>
                      <w:color w:val="auto"/>
                      <w:sz w:val="21"/>
                      <w:szCs w:val="21"/>
                      <w:vertAlign w:val="baseline"/>
                      <w:lang w:val="en-US" w:eastAsia="zh-CN"/>
                    </w:rPr>
                    <w:t>/180</w:t>
                  </w:r>
                  <w:r>
                    <w:rPr>
                      <w:rFonts w:hint="default" w:ascii="Times New Roman" w:hAnsi="Times New Roman" w:eastAsia="宋体" w:cs="Times New Roman"/>
                      <w:color w:val="auto"/>
                      <w:sz w:val="21"/>
                      <w:szCs w:val="21"/>
                      <w:vertAlign w:val="baseline"/>
                      <w:lang w:val="en-US" w:eastAsia="zh-CN"/>
                    </w:rPr>
                    <w:t>人</w:t>
                  </w:r>
                </w:p>
              </w:tc>
              <w:tc>
                <w:tcPr>
                  <w:tcW w:w="1590" w:type="dxa"/>
                  <w:noWrap w:val="0"/>
                  <w:vAlign w:val="center"/>
                </w:tcPr>
                <w:p w14:paraId="69EA7DFF">
                  <w:pPr>
                    <w:adjustRightInd w:val="0"/>
                    <w:snapToGrid w:val="0"/>
                    <w:jc w:val="center"/>
                    <w:rPr>
                      <w:color w:val="auto"/>
                      <w:sz w:val="21"/>
                      <w:szCs w:val="21"/>
                    </w:rPr>
                  </w:pPr>
                  <w:r>
                    <w:rPr>
                      <w:color w:val="auto"/>
                      <w:sz w:val="21"/>
                      <w:szCs w:val="21"/>
                    </w:rPr>
                    <w:t>（GB3095-2012）及其修改单中二级标准</w:t>
                  </w:r>
                </w:p>
              </w:tc>
              <w:tc>
                <w:tcPr>
                  <w:tcW w:w="855" w:type="dxa"/>
                  <w:noWrap w:val="0"/>
                  <w:vAlign w:val="center"/>
                </w:tcPr>
                <w:p w14:paraId="3170C0BC">
                  <w:pPr>
                    <w:pStyle w:val="29"/>
                    <w:keepNext w:val="0"/>
                    <w:keepLines w:val="0"/>
                    <w:pageBreakBefore w:val="0"/>
                    <w:kinsoku/>
                    <w:wordWrap/>
                    <w:overflowPunct/>
                    <w:topLinePunct w:val="0"/>
                    <w:bidi w:val="0"/>
                    <w:snapToGrid/>
                    <w:jc w:val="center"/>
                    <w:textAlignment w:val="auto"/>
                    <w:rPr>
                      <w:rFonts w:hint="default" w:ascii="Times New Roman" w:hAnsi="Times New Roman" w:eastAsia="宋体" w:cs="Times New Roman"/>
                      <w:color w:val="auto"/>
                      <w:sz w:val="21"/>
                      <w:szCs w:val="21"/>
                      <w:vertAlign w:val="baseline"/>
                      <w:lang w:val="en-US" w:eastAsia="zh-CN" w:bidi="ar-SA"/>
                    </w:rPr>
                  </w:pPr>
                  <w:r>
                    <w:rPr>
                      <w:rFonts w:hint="eastAsia" w:cs="Times New Roman"/>
                      <w:color w:val="auto"/>
                      <w:sz w:val="21"/>
                      <w:szCs w:val="21"/>
                      <w:vertAlign w:val="baseline"/>
                      <w:lang w:val="en-US" w:eastAsia="zh-CN"/>
                    </w:rPr>
                    <w:t>NW</w:t>
                  </w:r>
                </w:p>
              </w:tc>
              <w:tc>
                <w:tcPr>
                  <w:tcW w:w="997" w:type="dxa"/>
                  <w:noWrap w:val="0"/>
                  <w:vAlign w:val="center"/>
                </w:tcPr>
                <w:p w14:paraId="5179CF6B">
                  <w:pPr>
                    <w:pStyle w:val="29"/>
                    <w:keepNext w:val="0"/>
                    <w:keepLines w:val="0"/>
                    <w:pageBreakBefore w:val="0"/>
                    <w:kinsoku/>
                    <w:wordWrap/>
                    <w:overflowPunct/>
                    <w:topLinePunct w:val="0"/>
                    <w:bidi w:val="0"/>
                    <w:snapToGrid/>
                    <w:jc w:val="center"/>
                    <w:textAlignment w:val="auto"/>
                    <w:rPr>
                      <w:rFonts w:hint="default" w:ascii="Times New Roman" w:hAnsi="Times New Roman" w:eastAsia="宋体" w:cs="Times New Roman"/>
                      <w:color w:val="auto"/>
                      <w:sz w:val="21"/>
                      <w:szCs w:val="21"/>
                      <w:vertAlign w:val="baseline"/>
                      <w:lang w:val="en-US" w:eastAsia="zh-CN" w:bidi="ar-SA"/>
                    </w:rPr>
                  </w:pPr>
                  <w:r>
                    <w:rPr>
                      <w:rFonts w:hint="eastAsia" w:cs="Times New Roman"/>
                      <w:color w:val="auto"/>
                      <w:sz w:val="21"/>
                      <w:szCs w:val="21"/>
                      <w:vertAlign w:val="baseline"/>
                      <w:lang w:val="en-US" w:eastAsia="zh-CN"/>
                    </w:rPr>
                    <w:t>213</w:t>
                  </w:r>
                </w:p>
              </w:tc>
            </w:tr>
            <w:tr w14:paraId="33E8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1" w:type="dxa"/>
                  <w:gridSpan w:val="9"/>
                  <w:noWrap w:val="0"/>
                  <w:vAlign w:val="center"/>
                </w:tcPr>
                <w:p w14:paraId="7A8A931E">
                  <w:pPr>
                    <w:adjustRightInd w:val="0"/>
                    <w:snapToGrid w:val="0"/>
                    <w:jc w:val="center"/>
                    <w:rPr>
                      <w:color w:val="auto"/>
                      <w:sz w:val="21"/>
                      <w:szCs w:val="21"/>
                    </w:rPr>
                  </w:pPr>
                  <w:r>
                    <w:rPr>
                      <w:color w:val="auto"/>
                      <w:sz w:val="21"/>
                      <w:szCs w:val="21"/>
                    </w:rPr>
                    <w:t>注：以企业所在区域对角线交点为坐标原点，以东西方向为X坐标轴（东方向为正方向），以南北方向为Y坐标轴（北方向为正方向）</w:t>
                  </w:r>
                </w:p>
              </w:tc>
            </w:tr>
          </w:tbl>
          <w:p w14:paraId="02F5A936">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both"/>
              <w:textAlignment w:val="auto"/>
              <w:rPr>
                <w:rFonts w:hint="eastAsia" w:ascii="Times New Roman" w:hAnsi="Times New Roman" w:cs="Times New Roman"/>
                <w:b/>
                <w:bCs/>
                <w:color w:val="auto"/>
                <w:kern w:val="0"/>
                <w:sz w:val="24"/>
                <w:szCs w:val="24"/>
                <w:lang w:val="en-US" w:eastAsia="zh-CN"/>
              </w:rPr>
            </w:pPr>
            <w:r>
              <w:rPr>
                <w:rFonts w:hint="eastAsia" w:ascii="Times New Roman" w:hAnsi="Times New Roman" w:cs="Times New Roman"/>
                <w:b/>
                <w:bCs/>
                <w:color w:val="auto"/>
                <w:kern w:val="0"/>
                <w:sz w:val="24"/>
                <w:szCs w:val="24"/>
                <w:lang w:val="en-US" w:eastAsia="zh-CN"/>
              </w:rPr>
              <w:t>2、声环境</w:t>
            </w:r>
          </w:p>
          <w:p w14:paraId="575BFD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lang w:val="en-US" w:eastAsia="zh-CN"/>
              </w:rPr>
            </w:pPr>
            <w:r>
              <w:rPr>
                <w:rFonts w:hint="eastAsia" w:ascii="Times New Roman" w:hAnsi="Times New Roman" w:eastAsia="宋体" w:cs="Times New Roman"/>
                <w:b w:val="0"/>
                <w:bCs w:val="0"/>
                <w:color w:val="auto"/>
                <w:kern w:val="0"/>
                <w:sz w:val="24"/>
                <w:szCs w:val="24"/>
                <w:lang w:eastAsia="zh-CN"/>
              </w:rPr>
              <w:t>厂界外</w:t>
            </w:r>
            <w:r>
              <w:rPr>
                <w:rFonts w:hint="eastAsia" w:ascii="Times New Roman" w:hAnsi="Times New Roman" w:eastAsia="宋体" w:cs="Times New Roman"/>
                <w:b w:val="0"/>
                <w:bCs w:val="0"/>
                <w:color w:val="auto"/>
                <w:kern w:val="0"/>
                <w:sz w:val="24"/>
                <w:szCs w:val="24"/>
                <w:lang w:val="en-US" w:eastAsia="zh-CN"/>
              </w:rPr>
              <w:t>50m范围内没有声环境保护目标。</w:t>
            </w:r>
          </w:p>
          <w:p w14:paraId="2834A25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cs="Times New Roman"/>
                <w:b/>
                <w:bCs/>
                <w:color w:val="auto"/>
                <w:kern w:val="0"/>
                <w:sz w:val="24"/>
                <w:szCs w:val="24"/>
                <w:lang w:val="en-US" w:eastAsia="zh-CN"/>
              </w:rPr>
              <w:t>3、</w:t>
            </w:r>
            <w:r>
              <w:rPr>
                <w:rFonts w:hint="eastAsia" w:ascii="Times New Roman" w:hAnsi="Times New Roman" w:eastAsia="宋体" w:cs="Times New Roman"/>
                <w:b/>
                <w:bCs/>
                <w:color w:val="auto"/>
                <w:kern w:val="0"/>
                <w:sz w:val="24"/>
                <w:szCs w:val="24"/>
                <w:highlight w:val="none"/>
                <w:lang w:val="en-US" w:eastAsia="zh-CN" w:bidi="ar"/>
              </w:rPr>
              <w:t>地表水环境</w:t>
            </w:r>
          </w:p>
          <w:p w14:paraId="231BF413">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jc w:val="center"/>
              <w:textAlignment w:val="auto"/>
              <w:rPr>
                <w:rFonts w:hint="default"/>
                <w:b/>
                <w:bCs/>
                <w:color w:val="auto"/>
                <w:lang w:val="en-US" w:eastAsia="zh-CN"/>
              </w:rPr>
            </w:pPr>
            <w:r>
              <w:rPr>
                <w:rFonts w:hint="eastAsia"/>
                <w:b/>
                <w:bCs/>
                <w:color w:val="auto"/>
                <w:lang w:val="en-US" w:eastAsia="zh-CN"/>
              </w:rPr>
              <w:t>表3.4  地表水环境保护目标一览表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059"/>
              <w:gridCol w:w="1085"/>
              <w:gridCol w:w="1045"/>
              <w:gridCol w:w="1289"/>
              <w:gridCol w:w="1291"/>
              <w:gridCol w:w="1648"/>
            </w:tblGrid>
            <w:tr w14:paraId="3BAA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85" w:type="dxa"/>
                  <w:noWrap w:val="0"/>
                  <w:vAlign w:val="center"/>
                </w:tcPr>
                <w:p w14:paraId="3DD825C6">
                  <w:pPr>
                    <w:keepNext w:val="0"/>
                    <w:keepLines w:val="0"/>
                    <w:pageBreakBefore w:val="0"/>
                    <w:widowControl w:val="0"/>
                    <w:kinsoku/>
                    <w:wordWrap/>
                    <w:overflowPunct/>
                    <w:topLinePunct w:val="0"/>
                    <w:autoSpaceDE/>
                    <w:autoSpaceDN/>
                    <w:bidi w:val="0"/>
                    <w:adjustRightInd/>
                    <w:snapToGrid w:val="0"/>
                    <w:spacing w:before="63" w:beforeLines="20" w:line="240" w:lineRule="auto"/>
                    <w:jc w:val="center"/>
                    <w:textAlignment w:val="auto"/>
                    <w:outlineLvl w:val="9"/>
                    <w:rPr>
                      <w:rFonts w:hint="default" w:ascii="Times New Roman" w:hAnsi="Times New Roman" w:cs="Times New Roman"/>
                      <w:b w:val="0"/>
                      <w:bCs/>
                      <w:color w:val="auto"/>
                      <w:sz w:val="21"/>
                      <w:szCs w:val="21"/>
                      <w:vertAlign w:val="baseline"/>
                      <w:lang w:val="en-US" w:eastAsia="zh-CN"/>
                    </w:rPr>
                  </w:pPr>
                  <w:r>
                    <w:rPr>
                      <w:rFonts w:hint="default" w:ascii="Times New Roman" w:hAnsi="Times New Roman" w:cs="Times New Roman"/>
                      <w:b w:val="0"/>
                      <w:bCs/>
                      <w:color w:val="auto"/>
                      <w:sz w:val="21"/>
                      <w:szCs w:val="21"/>
                      <w:vertAlign w:val="baseline"/>
                      <w:lang w:val="en-US" w:eastAsia="zh-CN"/>
                    </w:rPr>
                    <w:t>序号</w:t>
                  </w:r>
                </w:p>
              </w:tc>
              <w:tc>
                <w:tcPr>
                  <w:tcW w:w="1059" w:type="dxa"/>
                  <w:noWrap w:val="0"/>
                  <w:vAlign w:val="center"/>
                </w:tcPr>
                <w:p w14:paraId="12869457">
                  <w:pPr>
                    <w:keepNext w:val="0"/>
                    <w:keepLines w:val="0"/>
                    <w:pageBreakBefore w:val="0"/>
                    <w:widowControl w:val="0"/>
                    <w:kinsoku/>
                    <w:wordWrap/>
                    <w:overflowPunct/>
                    <w:topLinePunct w:val="0"/>
                    <w:autoSpaceDE/>
                    <w:autoSpaceDN/>
                    <w:bidi w:val="0"/>
                    <w:adjustRightInd/>
                    <w:snapToGrid w:val="0"/>
                    <w:spacing w:before="63" w:beforeLines="20" w:line="240" w:lineRule="auto"/>
                    <w:jc w:val="center"/>
                    <w:textAlignment w:val="auto"/>
                    <w:outlineLvl w:val="9"/>
                    <w:rPr>
                      <w:rFonts w:hint="default" w:ascii="Times New Roman" w:hAnsi="Times New Roman" w:cs="Times New Roman"/>
                      <w:b w:val="0"/>
                      <w:bCs/>
                      <w:color w:val="auto"/>
                      <w:sz w:val="21"/>
                      <w:szCs w:val="21"/>
                      <w:vertAlign w:val="baseline"/>
                      <w:lang w:val="en-US" w:eastAsia="zh-CN"/>
                    </w:rPr>
                  </w:pPr>
                  <w:r>
                    <w:rPr>
                      <w:rFonts w:hint="default" w:ascii="Times New Roman" w:hAnsi="Times New Roman" w:cs="Times New Roman"/>
                      <w:b w:val="0"/>
                      <w:bCs/>
                      <w:color w:val="auto"/>
                      <w:sz w:val="21"/>
                      <w:szCs w:val="21"/>
                      <w:vertAlign w:val="baseline"/>
                      <w:lang w:val="en-US" w:eastAsia="zh-CN"/>
                    </w:rPr>
                    <w:t>环境要素</w:t>
                  </w:r>
                </w:p>
              </w:tc>
              <w:tc>
                <w:tcPr>
                  <w:tcW w:w="1085" w:type="dxa"/>
                  <w:noWrap w:val="0"/>
                  <w:vAlign w:val="center"/>
                </w:tcPr>
                <w:p w14:paraId="3598BC2D">
                  <w:pPr>
                    <w:keepNext w:val="0"/>
                    <w:keepLines w:val="0"/>
                    <w:pageBreakBefore w:val="0"/>
                    <w:widowControl w:val="0"/>
                    <w:kinsoku/>
                    <w:wordWrap/>
                    <w:overflowPunct/>
                    <w:topLinePunct w:val="0"/>
                    <w:autoSpaceDE/>
                    <w:autoSpaceDN/>
                    <w:bidi w:val="0"/>
                    <w:adjustRightInd/>
                    <w:snapToGrid w:val="0"/>
                    <w:spacing w:before="63" w:beforeLines="20" w:line="240" w:lineRule="auto"/>
                    <w:jc w:val="center"/>
                    <w:textAlignment w:val="auto"/>
                    <w:outlineLvl w:val="9"/>
                    <w:rPr>
                      <w:rFonts w:hint="default" w:ascii="Times New Roman" w:hAnsi="Times New Roman" w:cs="Times New Roman"/>
                      <w:b w:val="0"/>
                      <w:bCs/>
                      <w:color w:val="auto"/>
                      <w:sz w:val="21"/>
                      <w:szCs w:val="21"/>
                      <w:vertAlign w:val="baseline"/>
                      <w:lang w:val="en-US" w:eastAsia="zh-CN"/>
                    </w:rPr>
                  </w:pPr>
                  <w:r>
                    <w:rPr>
                      <w:rFonts w:hint="default" w:ascii="Times New Roman" w:hAnsi="Times New Roman" w:cs="Times New Roman"/>
                      <w:b w:val="0"/>
                      <w:bCs/>
                      <w:color w:val="auto"/>
                      <w:sz w:val="21"/>
                      <w:szCs w:val="21"/>
                      <w:vertAlign w:val="baseline"/>
                      <w:lang w:val="en-US" w:eastAsia="zh-CN"/>
                    </w:rPr>
                    <w:t>环境敏感目标</w:t>
                  </w:r>
                </w:p>
              </w:tc>
              <w:tc>
                <w:tcPr>
                  <w:tcW w:w="1045" w:type="dxa"/>
                  <w:noWrap w:val="0"/>
                  <w:vAlign w:val="center"/>
                </w:tcPr>
                <w:p w14:paraId="75DD5AB7">
                  <w:pPr>
                    <w:keepNext w:val="0"/>
                    <w:keepLines w:val="0"/>
                    <w:pageBreakBefore w:val="0"/>
                    <w:widowControl w:val="0"/>
                    <w:kinsoku/>
                    <w:wordWrap/>
                    <w:overflowPunct/>
                    <w:topLinePunct w:val="0"/>
                    <w:autoSpaceDE/>
                    <w:autoSpaceDN/>
                    <w:bidi w:val="0"/>
                    <w:adjustRightInd/>
                    <w:snapToGrid w:val="0"/>
                    <w:spacing w:before="63" w:beforeLines="20" w:line="240" w:lineRule="auto"/>
                    <w:jc w:val="center"/>
                    <w:textAlignment w:val="auto"/>
                    <w:outlineLvl w:val="9"/>
                    <w:rPr>
                      <w:rFonts w:hint="default" w:ascii="Times New Roman" w:hAnsi="Times New Roman" w:cs="Times New Roman"/>
                      <w:b w:val="0"/>
                      <w:bCs/>
                      <w:color w:val="auto"/>
                      <w:sz w:val="21"/>
                      <w:szCs w:val="21"/>
                      <w:vertAlign w:val="baseline"/>
                      <w:lang w:val="en-US" w:eastAsia="zh-CN"/>
                    </w:rPr>
                  </w:pPr>
                  <w:r>
                    <w:rPr>
                      <w:rFonts w:hint="default" w:ascii="Times New Roman" w:hAnsi="Times New Roman" w:cs="Times New Roman"/>
                      <w:b w:val="0"/>
                      <w:bCs/>
                      <w:color w:val="auto"/>
                      <w:sz w:val="21"/>
                      <w:szCs w:val="21"/>
                      <w:vertAlign w:val="baseline"/>
                      <w:lang w:val="en-US" w:eastAsia="zh-CN"/>
                    </w:rPr>
                    <w:t>方位</w:t>
                  </w:r>
                </w:p>
              </w:tc>
              <w:tc>
                <w:tcPr>
                  <w:tcW w:w="1289" w:type="dxa"/>
                  <w:noWrap w:val="0"/>
                  <w:vAlign w:val="center"/>
                </w:tcPr>
                <w:p w14:paraId="5842F334">
                  <w:pPr>
                    <w:keepNext w:val="0"/>
                    <w:keepLines w:val="0"/>
                    <w:pageBreakBefore w:val="0"/>
                    <w:widowControl w:val="0"/>
                    <w:kinsoku/>
                    <w:wordWrap/>
                    <w:overflowPunct/>
                    <w:topLinePunct w:val="0"/>
                    <w:autoSpaceDE/>
                    <w:autoSpaceDN/>
                    <w:bidi w:val="0"/>
                    <w:adjustRightInd/>
                    <w:snapToGrid w:val="0"/>
                    <w:spacing w:before="63" w:beforeLines="20" w:line="240" w:lineRule="auto"/>
                    <w:jc w:val="center"/>
                    <w:textAlignment w:val="auto"/>
                    <w:outlineLvl w:val="9"/>
                    <w:rPr>
                      <w:rFonts w:hint="default" w:ascii="Times New Roman" w:hAnsi="Times New Roman" w:cs="Times New Roman"/>
                      <w:b w:val="0"/>
                      <w:bCs/>
                      <w:color w:val="auto"/>
                      <w:sz w:val="21"/>
                      <w:szCs w:val="21"/>
                      <w:vertAlign w:val="baseline"/>
                      <w:lang w:val="en-US" w:eastAsia="zh-CN"/>
                    </w:rPr>
                  </w:pPr>
                  <w:r>
                    <w:rPr>
                      <w:rFonts w:hint="default" w:ascii="Times New Roman" w:hAnsi="Times New Roman" w:cs="Times New Roman"/>
                      <w:b w:val="0"/>
                      <w:bCs/>
                      <w:color w:val="auto"/>
                      <w:sz w:val="21"/>
                      <w:szCs w:val="21"/>
                      <w:vertAlign w:val="baseline"/>
                      <w:lang w:val="en-US" w:eastAsia="zh-CN"/>
                    </w:rPr>
                    <w:t>距厂界</w:t>
                  </w:r>
                  <w:r>
                    <w:rPr>
                      <w:rFonts w:hint="eastAsia" w:ascii="Times New Roman" w:hAnsi="Times New Roman" w:cs="Times New Roman"/>
                      <w:b w:val="0"/>
                      <w:bCs/>
                      <w:color w:val="auto"/>
                      <w:sz w:val="21"/>
                      <w:szCs w:val="21"/>
                      <w:vertAlign w:val="baseline"/>
                      <w:lang w:val="en-US" w:eastAsia="zh-CN"/>
                    </w:rPr>
                    <w:t>/m</w:t>
                  </w:r>
                </w:p>
              </w:tc>
              <w:tc>
                <w:tcPr>
                  <w:tcW w:w="1291" w:type="dxa"/>
                  <w:noWrap w:val="0"/>
                  <w:vAlign w:val="center"/>
                </w:tcPr>
                <w:p w14:paraId="1DFE7E58">
                  <w:pPr>
                    <w:keepNext w:val="0"/>
                    <w:keepLines w:val="0"/>
                    <w:pageBreakBefore w:val="0"/>
                    <w:widowControl w:val="0"/>
                    <w:kinsoku/>
                    <w:wordWrap/>
                    <w:overflowPunct/>
                    <w:topLinePunct w:val="0"/>
                    <w:autoSpaceDE/>
                    <w:autoSpaceDN/>
                    <w:bidi w:val="0"/>
                    <w:adjustRightInd/>
                    <w:snapToGrid w:val="0"/>
                    <w:spacing w:before="63" w:beforeLines="20" w:line="240" w:lineRule="auto"/>
                    <w:jc w:val="center"/>
                    <w:textAlignment w:val="auto"/>
                    <w:outlineLvl w:val="9"/>
                    <w:rPr>
                      <w:rFonts w:hint="default" w:ascii="Times New Roman" w:hAnsi="Times New Roman" w:cs="Times New Roman"/>
                      <w:b w:val="0"/>
                      <w:bCs/>
                      <w:color w:val="auto"/>
                      <w:sz w:val="21"/>
                      <w:szCs w:val="21"/>
                      <w:vertAlign w:val="baseline"/>
                      <w:lang w:val="en-US" w:eastAsia="zh-CN"/>
                    </w:rPr>
                  </w:pPr>
                  <w:r>
                    <w:rPr>
                      <w:rFonts w:hint="default" w:ascii="Times New Roman" w:hAnsi="Times New Roman" w:cs="Times New Roman"/>
                      <w:b w:val="0"/>
                      <w:bCs/>
                      <w:color w:val="auto"/>
                      <w:sz w:val="21"/>
                      <w:szCs w:val="21"/>
                      <w:vertAlign w:val="baseline"/>
                      <w:lang w:val="en-US" w:eastAsia="zh-CN"/>
                    </w:rPr>
                    <w:t>规模</w:t>
                  </w:r>
                </w:p>
              </w:tc>
              <w:tc>
                <w:tcPr>
                  <w:tcW w:w="1648" w:type="dxa"/>
                  <w:noWrap w:val="0"/>
                  <w:vAlign w:val="center"/>
                </w:tcPr>
                <w:p w14:paraId="70B4876F">
                  <w:pPr>
                    <w:keepNext w:val="0"/>
                    <w:keepLines w:val="0"/>
                    <w:pageBreakBefore w:val="0"/>
                    <w:widowControl w:val="0"/>
                    <w:kinsoku/>
                    <w:wordWrap/>
                    <w:overflowPunct/>
                    <w:topLinePunct w:val="0"/>
                    <w:autoSpaceDE/>
                    <w:autoSpaceDN/>
                    <w:bidi w:val="0"/>
                    <w:adjustRightInd/>
                    <w:snapToGrid w:val="0"/>
                    <w:spacing w:before="63" w:beforeLines="20" w:line="240" w:lineRule="auto"/>
                    <w:jc w:val="center"/>
                    <w:textAlignment w:val="auto"/>
                    <w:outlineLvl w:val="9"/>
                    <w:rPr>
                      <w:rFonts w:hint="default" w:ascii="Times New Roman" w:hAnsi="Times New Roman" w:cs="Times New Roman"/>
                      <w:b w:val="0"/>
                      <w:bCs/>
                      <w:color w:val="auto"/>
                      <w:sz w:val="21"/>
                      <w:szCs w:val="21"/>
                      <w:vertAlign w:val="baseline"/>
                      <w:lang w:val="en-US" w:eastAsia="zh-CN"/>
                    </w:rPr>
                  </w:pPr>
                  <w:r>
                    <w:rPr>
                      <w:rFonts w:hint="default" w:ascii="Times New Roman" w:hAnsi="Times New Roman" w:cs="Times New Roman"/>
                      <w:b w:val="0"/>
                      <w:bCs/>
                      <w:color w:val="auto"/>
                      <w:sz w:val="21"/>
                      <w:szCs w:val="21"/>
                      <w:vertAlign w:val="baseline"/>
                      <w:lang w:val="en-US" w:eastAsia="zh-CN"/>
                    </w:rPr>
                    <w:t>环境要求及保护级别</w:t>
                  </w:r>
                </w:p>
              </w:tc>
            </w:tr>
            <w:tr w14:paraId="2F484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85" w:type="dxa"/>
                  <w:noWrap w:val="0"/>
                  <w:vAlign w:val="center"/>
                </w:tcPr>
                <w:p w14:paraId="183D02B9">
                  <w:pPr>
                    <w:keepNext w:val="0"/>
                    <w:keepLines w:val="0"/>
                    <w:pageBreakBefore w:val="0"/>
                    <w:widowControl w:val="0"/>
                    <w:kinsoku/>
                    <w:wordWrap/>
                    <w:overflowPunct/>
                    <w:topLinePunct w:val="0"/>
                    <w:autoSpaceDE/>
                    <w:autoSpaceDN/>
                    <w:bidi w:val="0"/>
                    <w:adjustRightInd/>
                    <w:snapToGrid w:val="0"/>
                    <w:spacing w:before="63" w:beforeLines="20" w:line="240" w:lineRule="auto"/>
                    <w:jc w:val="center"/>
                    <w:textAlignment w:val="auto"/>
                    <w:outlineLvl w:val="9"/>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1</w:t>
                  </w:r>
                </w:p>
              </w:tc>
              <w:tc>
                <w:tcPr>
                  <w:tcW w:w="1059" w:type="dxa"/>
                  <w:noWrap w:val="0"/>
                  <w:vAlign w:val="center"/>
                </w:tcPr>
                <w:p w14:paraId="27100F63">
                  <w:pPr>
                    <w:keepNext w:val="0"/>
                    <w:keepLines w:val="0"/>
                    <w:pageBreakBefore w:val="0"/>
                    <w:widowControl w:val="0"/>
                    <w:kinsoku/>
                    <w:wordWrap/>
                    <w:overflowPunct/>
                    <w:topLinePunct w:val="0"/>
                    <w:autoSpaceDE/>
                    <w:autoSpaceDN/>
                    <w:bidi w:val="0"/>
                    <w:adjustRightInd/>
                    <w:snapToGrid w:val="0"/>
                    <w:spacing w:before="63" w:beforeLines="20" w:line="240" w:lineRule="auto"/>
                    <w:jc w:val="center"/>
                    <w:textAlignment w:val="auto"/>
                    <w:outlineLvl w:val="9"/>
                    <w:rPr>
                      <w:rFonts w:hint="default" w:ascii="Times New Roman" w:hAnsi="Times New Roman" w:cs="Times New Roman"/>
                      <w:b w:val="0"/>
                      <w:bCs/>
                      <w:color w:val="auto"/>
                      <w:sz w:val="21"/>
                      <w:szCs w:val="21"/>
                      <w:vertAlign w:val="baseline"/>
                      <w:lang w:val="en-US" w:eastAsia="zh-CN"/>
                    </w:rPr>
                  </w:pPr>
                  <w:r>
                    <w:rPr>
                      <w:rFonts w:hint="default" w:ascii="Times New Roman" w:hAnsi="Times New Roman" w:cs="Times New Roman"/>
                      <w:b w:val="0"/>
                      <w:bCs/>
                      <w:color w:val="auto"/>
                      <w:sz w:val="21"/>
                      <w:szCs w:val="21"/>
                      <w:vertAlign w:val="baseline"/>
                      <w:lang w:val="en-US" w:eastAsia="zh-CN"/>
                    </w:rPr>
                    <w:t>水环境</w:t>
                  </w:r>
                </w:p>
              </w:tc>
              <w:tc>
                <w:tcPr>
                  <w:tcW w:w="1085" w:type="dxa"/>
                  <w:noWrap w:val="0"/>
                  <w:vAlign w:val="center"/>
                </w:tcPr>
                <w:p w14:paraId="5E377054">
                  <w:pPr>
                    <w:keepNext w:val="0"/>
                    <w:keepLines w:val="0"/>
                    <w:pageBreakBefore w:val="0"/>
                    <w:widowControl w:val="0"/>
                    <w:kinsoku/>
                    <w:wordWrap/>
                    <w:overflowPunct/>
                    <w:topLinePunct w:val="0"/>
                    <w:autoSpaceDE/>
                    <w:autoSpaceDN/>
                    <w:bidi w:val="0"/>
                    <w:adjustRightInd/>
                    <w:snapToGrid w:val="0"/>
                    <w:spacing w:before="63" w:beforeLines="20" w:line="240" w:lineRule="auto"/>
                    <w:jc w:val="center"/>
                    <w:textAlignment w:val="auto"/>
                    <w:outlineLvl w:val="9"/>
                    <w:rPr>
                      <w:rFonts w:hint="eastAsia" w:ascii="Times New Roman" w:hAnsi="Times New Roman" w:eastAsia="宋体" w:cs="Times New Roman"/>
                      <w:b w:val="0"/>
                      <w:bCs/>
                      <w:color w:val="auto"/>
                      <w:sz w:val="21"/>
                      <w:szCs w:val="21"/>
                      <w:vertAlign w:val="baseline"/>
                      <w:lang w:val="en-US" w:eastAsia="zh-CN"/>
                    </w:rPr>
                  </w:pPr>
                  <w:r>
                    <w:rPr>
                      <w:rFonts w:hint="eastAsia" w:cs="Times New Roman"/>
                      <w:b w:val="0"/>
                      <w:bCs/>
                      <w:color w:val="auto"/>
                      <w:sz w:val="21"/>
                      <w:szCs w:val="21"/>
                      <w:vertAlign w:val="baseline"/>
                      <w:lang w:val="en-US" w:eastAsia="zh-CN"/>
                    </w:rPr>
                    <w:t>新濉河</w:t>
                  </w:r>
                </w:p>
              </w:tc>
              <w:tc>
                <w:tcPr>
                  <w:tcW w:w="1045" w:type="dxa"/>
                  <w:noWrap w:val="0"/>
                  <w:vAlign w:val="center"/>
                </w:tcPr>
                <w:p w14:paraId="6DAF9234">
                  <w:pPr>
                    <w:keepNext w:val="0"/>
                    <w:keepLines w:val="0"/>
                    <w:pageBreakBefore w:val="0"/>
                    <w:widowControl w:val="0"/>
                    <w:kinsoku/>
                    <w:wordWrap/>
                    <w:overflowPunct/>
                    <w:topLinePunct w:val="0"/>
                    <w:autoSpaceDE/>
                    <w:autoSpaceDN/>
                    <w:bidi w:val="0"/>
                    <w:adjustRightInd/>
                    <w:snapToGrid w:val="0"/>
                    <w:spacing w:before="63" w:beforeLines="20" w:line="240" w:lineRule="auto"/>
                    <w:jc w:val="center"/>
                    <w:textAlignment w:val="auto"/>
                    <w:outlineLvl w:val="9"/>
                    <w:rPr>
                      <w:rFonts w:hint="default" w:ascii="Times New Roman" w:hAnsi="Times New Roman" w:cs="Times New Roman"/>
                      <w:b w:val="0"/>
                      <w:bCs/>
                      <w:color w:val="auto"/>
                      <w:sz w:val="21"/>
                      <w:szCs w:val="21"/>
                      <w:vertAlign w:val="baseline"/>
                      <w:lang w:val="en-US" w:eastAsia="zh-CN"/>
                    </w:rPr>
                  </w:pPr>
                  <w:r>
                    <w:rPr>
                      <w:rFonts w:hint="eastAsia" w:cs="Times New Roman"/>
                      <w:b w:val="0"/>
                      <w:bCs/>
                      <w:color w:val="auto"/>
                      <w:sz w:val="21"/>
                      <w:szCs w:val="21"/>
                      <w:vertAlign w:val="baseline"/>
                      <w:lang w:val="en-US" w:eastAsia="zh-CN"/>
                    </w:rPr>
                    <w:t>S</w:t>
                  </w:r>
                </w:p>
              </w:tc>
              <w:tc>
                <w:tcPr>
                  <w:tcW w:w="1289" w:type="dxa"/>
                  <w:noWrap w:val="0"/>
                  <w:vAlign w:val="center"/>
                </w:tcPr>
                <w:p w14:paraId="0CC1D577">
                  <w:pPr>
                    <w:keepNext w:val="0"/>
                    <w:keepLines w:val="0"/>
                    <w:pageBreakBefore w:val="0"/>
                    <w:widowControl w:val="0"/>
                    <w:kinsoku/>
                    <w:wordWrap/>
                    <w:overflowPunct/>
                    <w:topLinePunct w:val="0"/>
                    <w:autoSpaceDE/>
                    <w:autoSpaceDN/>
                    <w:bidi w:val="0"/>
                    <w:adjustRightInd/>
                    <w:snapToGrid w:val="0"/>
                    <w:spacing w:before="63" w:beforeLines="20" w:line="240" w:lineRule="auto"/>
                    <w:jc w:val="center"/>
                    <w:textAlignment w:val="auto"/>
                    <w:outlineLvl w:val="9"/>
                    <w:rPr>
                      <w:rFonts w:hint="default" w:ascii="Times New Roman" w:hAnsi="Times New Roman" w:cs="Times New Roman"/>
                      <w:b w:val="0"/>
                      <w:bCs/>
                      <w:color w:val="auto"/>
                      <w:sz w:val="21"/>
                      <w:szCs w:val="21"/>
                      <w:vertAlign w:val="baseline"/>
                      <w:lang w:val="en-US" w:eastAsia="zh-CN"/>
                    </w:rPr>
                  </w:pPr>
                  <w:r>
                    <w:rPr>
                      <w:rFonts w:hint="eastAsia" w:cs="Times New Roman"/>
                      <w:b w:val="0"/>
                      <w:bCs/>
                      <w:color w:val="auto"/>
                      <w:sz w:val="21"/>
                      <w:szCs w:val="21"/>
                      <w:vertAlign w:val="baseline"/>
                      <w:lang w:val="en-US" w:eastAsia="zh-CN"/>
                    </w:rPr>
                    <w:t>2762</w:t>
                  </w:r>
                </w:p>
              </w:tc>
              <w:tc>
                <w:tcPr>
                  <w:tcW w:w="1291" w:type="dxa"/>
                  <w:noWrap w:val="0"/>
                  <w:vAlign w:val="center"/>
                </w:tcPr>
                <w:p w14:paraId="6CABAA51">
                  <w:pPr>
                    <w:keepNext w:val="0"/>
                    <w:keepLines w:val="0"/>
                    <w:pageBreakBefore w:val="0"/>
                    <w:widowControl w:val="0"/>
                    <w:kinsoku/>
                    <w:wordWrap/>
                    <w:overflowPunct/>
                    <w:topLinePunct w:val="0"/>
                    <w:autoSpaceDE/>
                    <w:autoSpaceDN/>
                    <w:bidi w:val="0"/>
                    <w:adjustRightInd/>
                    <w:snapToGrid w:val="0"/>
                    <w:spacing w:before="63" w:beforeLines="20" w:line="240" w:lineRule="auto"/>
                    <w:jc w:val="center"/>
                    <w:textAlignment w:val="auto"/>
                    <w:outlineLvl w:val="9"/>
                    <w:rPr>
                      <w:rFonts w:hint="default" w:ascii="Times New Roman" w:hAnsi="Times New Roman" w:cs="Times New Roman"/>
                      <w:b w:val="0"/>
                      <w:bCs/>
                      <w:color w:val="auto"/>
                      <w:sz w:val="21"/>
                      <w:szCs w:val="21"/>
                      <w:vertAlign w:val="baseline"/>
                      <w:lang w:val="en-US" w:eastAsia="zh-CN"/>
                    </w:rPr>
                  </w:pPr>
                  <w:r>
                    <w:rPr>
                      <w:rFonts w:hint="default" w:ascii="Times New Roman" w:hAnsi="Times New Roman" w:cs="Times New Roman"/>
                      <w:b w:val="0"/>
                      <w:bCs/>
                      <w:color w:val="auto"/>
                      <w:sz w:val="21"/>
                      <w:szCs w:val="21"/>
                      <w:vertAlign w:val="baseline"/>
                      <w:lang w:val="en-US" w:eastAsia="zh-CN"/>
                    </w:rPr>
                    <w:t>小河</w:t>
                  </w:r>
                </w:p>
              </w:tc>
              <w:tc>
                <w:tcPr>
                  <w:tcW w:w="1648" w:type="dxa"/>
                  <w:noWrap w:val="0"/>
                  <w:vAlign w:val="center"/>
                </w:tcPr>
                <w:p w14:paraId="6A552CED">
                  <w:pPr>
                    <w:keepNext w:val="0"/>
                    <w:keepLines w:val="0"/>
                    <w:pageBreakBefore w:val="0"/>
                    <w:widowControl w:val="0"/>
                    <w:kinsoku/>
                    <w:wordWrap/>
                    <w:overflowPunct/>
                    <w:topLinePunct w:val="0"/>
                    <w:autoSpaceDE/>
                    <w:autoSpaceDN/>
                    <w:bidi w:val="0"/>
                    <w:adjustRightInd/>
                    <w:snapToGrid w:val="0"/>
                    <w:spacing w:before="63" w:beforeLines="20" w:line="240" w:lineRule="auto"/>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GB3838-2002</w:t>
                  </w:r>
                </w:p>
                <w:p w14:paraId="764684F3">
                  <w:pPr>
                    <w:jc w:val="center"/>
                    <w:rPr>
                      <w:rFonts w:hint="eastAsia" w:ascii="宋体" w:hAnsi="宋体" w:eastAsia="宋体" w:cs="宋体"/>
                      <w:color w:val="auto"/>
                      <w:kern w:val="0"/>
                      <w:sz w:val="21"/>
                      <w:szCs w:val="21"/>
                    </w:rPr>
                  </w:pPr>
                  <w:r>
                    <w:rPr>
                      <w:rFonts w:hint="default" w:ascii="Times New Roman" w:hAnsi="Times New Roman" w:eastAsia="宋体" w:cs="Times New Roman"/>
                      <w:b w:val="0"/>
                      <w:bCs/>
                      <w:color w:val="auto"/>
                      <w:sz w:val="21"/>
                      <w:szCs w:val="21"/>
                      <w:vertAlign w:val="baseline"/>
                      <w:lang w:val="en-US" w:eastAsia="zh-CN"/>
                    </w:rPr>
                    <w:t>Ⅳ</w:t>
                  </w:r>
                  <w:r>
                    <w:rPr>
                      <w:rFonts w:hint="default" w:ascii="Times New Roman" w:hAnsi="Times New Roman" w:cs="Times New Roman"/>
                      <w:b w:val="0"/>
                      <w:bCs/>
                      <w:color w:val="auto"/>
                      <w:sz w:val="21"/>
                      <w:szCs w:val="21"/>
                      <w:vertAlign w:val="baseline"/>
                      <w:lang w:val="en-US" w:eastAsia="zh-CN"/>
                    </w:rPr>
                    <w:t>类标准</w:t>
                  </w:r>
                </w:p>
              </w:tc>
            </w:tr>
          </w:tbl>
          <w:p w14:paraId="56EC4D13">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ascii="Times New Roman" w:hAnsi="Times New Roman" w:eastAsia="宋体" w:cs="Times New Roman"/>
                <w:b/>
                <w:bCs/>
                <w:color w:val="auto"/>
                <w:kern w:val="0"/>
                <w:sz w:val="24"/>
                <w:szCs w:val="24"/>
                <w:lang w:val="en-US" w:eastAsia="zh-CN"/>
              </w:rPr>
            </w:pPr>
            <w:r>
              <w:rPr>
                <w:rFonts w:hint="default" w:ascii="Times New Roman" w:hAnsi="Times New Roman" w:eastAsia="宋体" w:cs="Times New Roman"/>
                <w:b/>
                <w:bCs/>
                <w:snapToGrid w:val="0"/>
                <w:color w:val="auto"/>
                <w:sz w:val="24"/>
                <w:szCs w:val="24"/>
                <w:vertAlign w:val="baseline"/>
                <w:lang w:val="en-US" w:eastAsia="zh-CN"/>
              </w:rPr>
              <w:t>4、</w:t>
            </w:r>
            <w:r>
              <w:rPr>
                <w:rFonts w:hint="eastAsia" w:ascii="Times New Roman" w:hAnsi="Times New Roman" w:cs="Times New Roman"/>
                <w:b/>
                <w:bCs/>
                <w:color w:val="auto"/>
                <w:kern w:val="0"/>
                <w:sz w:val="24"/>
                <w:szCs w:val="24"/>
                <w:lang w:val="en-US" w:eastAsia="zh-CN"/>
              </w:rPr>
              <w:t>地下水环境</w:t>
            </w:r>
          </w:p>
          <w:p w14:paraId="41057F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eastAsia="zh-CN"/>
              </w:rPr>
              <w:t>厂界外</w:t>
            </w:r>
            <w:r>
              <w:rPr>
                <w:rFonts w:hint="eastAsia" w:ascii="Times New Roman" w:hAnsi="Times New Roman" w:eastAsia="宋体" w:cs="Times New Roman"/>
                <w:color w:val="auto"/>
                <w:kern w:val="0"/>
                <w:sz w:val="24"/>
                <w:szCs w:val="24"/>
                <w:lang w:val="en-US" w:eastAsia="zh-CN"/>
              </w:rPr>
              <w:t>500m范围内无地下水集中式引用水水源和热水、矿泉水、温泉等特殊地下水资源。</w:t>
            </w:r>
          </w:p>
          <w:p w14:paraId="4F252E00">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left"/>
              <w:textAlignment w:val="auto"/>
              <w:outlineLvl w:val="0"/>
              <w:rPr>
                <w:rFonts w:hint="eastAsia" w:ascii="Times New Roman" w:hAnsi="Times New Roman" w:eastAsia="宋体" w:cs="Times New Roman"/>
                <w:b/>
                <w:bCs/>
                <w:snapToGrid w:val="0"/>
                <w:color w:val="auto"/>
                <w:sz w:val="24"/>
                <w:szCs w:val="24"/>
                <w:vertAlign w:val="baseline"/>
                <w:lang w:val="en-US" w:eastAsia="zh-CN"/>
              </w:rPr>
            </w:pPr>
            <w:r>
              <w:rPr>
                <w:rFonts w:hint="eastAsia" w:ascii="Times New Roman" w:hAnsi="Times New Roman" w:eastAsia="宋体" w:cs="Times New Roman"/>
                <w:b/>
                <w:bCs/>
                <w:snapToGrid w:val="0"/>
                <w:color w:val="auto"/>
                <w:sz w:val="24"/>
                <w:szCs w:val="24"/>
                <w:vertAlign w:val="baseline"/>
                <w:lang w:val="en-US" w:eastAsia="zh-CN"/>
              </w:rPr>
              <w:t>5、生态环境</w:t>
            </w:r>
          </w:p>
          <w:p w14:paraId="27D78A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snapToGrid/>
                <w:color w:val="auto"/>
                <w:spacing w:val="0"/>
                <w:kern w:val="0"/>
                <w:position w:val="0"/>
                <w:sz w:val="24"/>
                <w:szCs w:val="24"/>
                <w:lang w:val="en-US" w:eastAsia="zh-CN"/>
              </w:rPr>
            </w:pPr>
            <w:r>
              <w:rPr>
                <w:rFonts w:hint="eastAsia" w:ascii="Times New Roman" w:hAnsi="Times New Roman" w:eastAsia="宋体" w:cs="Times New Roman"/>
                <w:snapToGrid w:val="0"/>
                <w:color w:val="auto"/>
                <w:sz w:val="24"/>
                <w:szCs w:val="24"/>
                <w:vertAlign w:val="baseline"/>
                <w:lang w:val="en-US" w:eastAsia="zh-CN"/>
              </w:rPr>
              <w:t>本项目位于</w:t>
            </w:r>
            <w:r>
              <w:rPr>
                <w:rFonts w:hint="default" w:ascii="Times New Roman" w:hAnsi="Times New Roman" w:eastAsia="宋体" w:cs="Times New Roman"/>
                <w:snapToGrid/>
                <w:color w:val="auto"/>
                <w:spacing w:val="0"/>
                <w:kern w:val="0"/>
                <w:position w:val="0"/>
                <w:sz w:val="24"/>
                <w:szCs w:val="24"/>
                <w:highlight w:val="none"/>
                <w:lang w:eastAsia="zh-CN"/>
              </w:rPr>
              <w:t>尹集镇新型乡村工业园</w:t>
            </w:r>
            <w:r>
              <w:rPr>
                <w:rFonts w:hint="eastAsia" w:eastAsia="宋体" w:cs="Times New Roman"/>
                <w:snapToGrid/>
                <w:color w:val="auto"/>
                <w:spacing w:val="0"/>
                <w:kern w:val="0"/>
                <w:position w:val="0"/>
                <w:sz w:val="24"/>
                <w:szCs w:val="24"/>
                <w:highlight w:val="none"/>
                <w:lang w:eastAsia="zh-CN"/>
              </w:rPr>
              <w:t>内</w:t>
            </w:r>
            <w:r>
              <w:rPr>
                <w:rFonts w:hint="eastAsia" w:ascii="Times New Roman" w:hAnsi="Times New Roman" w:eastAsia="宋体" w:cs="Times New Roman"/>
                <w:snapToGrid w:val="0"/>
                <w:color w:val="auto"/>
                <w:sz w:val="24"/>
                <w:szCs w:val="24"/>
                <w:vertAlign w:val="baseline"/>
                <w:lang w:val="en-US" w:eastAsia="zh-CN"/>
              </w:rPr>
              <w:t>，</w:t>
            </w:r>
            <w:r>
              <w:rPr>
                <w:rFonts w:hint="eastAsia" w:cs="Times New Roman"/>
                <w:color w:val="auto"/>
                <w:kern w:val="0"/>
                <w:sz w:val="24"/>
                <w:szCs w:val="24"/>
                <w:lang w:val="en-US" w:eastAsia="zh-CN"/>
              </w:rPr>
              <w:t>根据灵璧县尹集镇自然资源与规划所盖章文件（附件5）可知，</w:t>
            </w:r>
            <w:r>
              <w:rPr>
                <w:rFonts w:hint="default" w:ascii="Times New Roman" w:hAnsi="Times New Roman" w:eastAsia="宋体" w:cs="Times New Roman"/>
                <w:color w:val="auto"/>
                <w:kern w:val="0"/>
                <w:sz w:val="24"/>
                <w:szCs w:val="24"/>
                <w:lang w:val="en-US" w:eastAsia="zh-CN"/>
              </w:rPr>
              <w:t>属于工业用地，不涉及新增用地，无生态环境保护目标。</w:t>
            </w:r>
          </w:p>
          <w:p w14:paraId="22D04E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snapToGrid/>
                <w:color w:val="auto"/>
                <w:spacing w:val="0"/>
                <w:kern w:val="0"/>
                <w:position w:val="0"/>
                <w:sz w:val="24"/>
                <w:szCs w:val="24"/>
                <w:lang w:val="en-US" w:eastAsia="zh-CN"/>
              </w:rPr>
            </w:pPr>
          </w:p>
          <w:p w14:paraId="072F69D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cs="Times New Roman"/>
                <w:snapToGrid/>
                <w:color w:val="auto"/>
                <w:spacing w:val="0"/>
                <w:kern w:val="0"/>
                <w:position w:val="0"/>
                <w:sz w:val="24"/>
                <w:szCs w:val="24"/>
                <w:lang w:val="en-US" w:eastAsia="zh-CN"/>
              </w:rPr>
            </w:pPr>
          </w:p>
          <w:p w14:paraId="7FC0791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cs="Times New Roman"/>
                <w:snapToGrid/>
                <w:color w:val="auto"/>
                <w:spacing w:val="0"/>
                <w:kern w:val="0"/>
                <w:position w:val="0"/>
                <w:sz w:val="24"/>
                <w:szCs w:val="24"/>
                <w:lang w:val="en-US" w:eastAsia="zh-CN"/>
              </w:rPr>
            </w:pPr>
          </w:p>
          <w:p w14:paraId="4609FD7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cs="Times New Roman"/>
                <w:snapToGrid/>
                <w:color w:val="auto"/>
                <w:spacing w:val="0"/>
                <w:kern w:val="0"/>
                <w:position w:val="0"/>
                <w:sz w:val="24"/>
                <w:szCs w:val="24"/>
                <w:lang w:val="en-US" w:eastAsia="zh-CN"/>
              </w:rPr>
            </w:pPr>
          </w:p>
          <w:p w14:paraId="1FB42C5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cs="Times New Roman"/>
                <w:snapToGrid/>
                <w:color w:val="auto"/>
                <w:spacing w:val="0"/>
                <w:kern w:val="0"/>
                <w:position w:val="0"/>
                <w:sz w:val="24"/>
                <w:szCs w:val="24"/>
                <w:lang w:val="en-US" w:eastAsia="zh-CN"/>
              </w:rPr>
            </w:pPr>
          </w:p>
          <w:p w14:paraId="0BC4B1B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cs="Times New Roman"/>
                <w:snapToGrid/>
                <w:color w:val="auto"/>
                <w:spacing w:val="0"/>
                <w:kern w:val="0"/>
                <w:position w:val="0"/>
                <w:sz w:val="24"/>
                <w:szCs w:val="24"/>
                <w:lang w:val="en-US" w:eastAsia="zh-CN"/>
              </w:rPr>
            </w:pPr>
          </w:p>
          <w:p w14:paraId="4A6B3F7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cs="Times New Roman"/>
                <w:snapToGrid/>
                <w:color w:val="auto"/>
                <w:spacing w:val="0"/>
                <w:kern w:val="0"/>
                <w:position w:val="0"/>
                <w:sz w:val="24"/>
                <w:szCs w:val="24"/>
                <w:lang w:val="en-US" w:eastAsia="zh-CN"/>
              </w:rPr>
            </w:pPr>
          </w:p>
          <w:p w14:paraId="4711265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cs="Times New Roman"/>
                <w:snapToGrid/>
                <w:color w:val="auto"/>
                <w:spacing w:val="0"/>
                <w:kern w:val="0"/>
                <w:position w:val="0"/>
                <w:sz w:val="24"/>
                <w:szCs w:val="24"/>
                <w:lang w:val="en-US" w:eastAsia="zh-CN"/>
              </w:rPr>
            </w:pPr>
          </w:p>
          <w:p w14:paraId="309B1B3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snapToGrid/>
                <w:color w:val="auto"/>
                <w:spacing w:val="0"/>
                <w:kern w:val="0"/>
                <w:position w:val="0"/>
                <w:sz w:val="24"/>
                <w:szCs w:val="24"/>
                <w:lang w:val="en-US" w:eastAsia="zh-CN"/>
              </w:rPr>
            </w:pPr>
          </w:p>
        </w:tc>
      </w:tr>
      <w:tr w14:paraId="04BB16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567" w:type="dxa"/>
            <w:tcBorders>
              <w:tl2br w:val="nil"/>
              <w:tr2bl w:val="nil"/>
            </w:tcBorders>
            <w:noWrap w:val="0"/>
            <w:tcMar>
              <w:left w:w="28" w:type="dxa"/>
              <w:right w:w="28" w:type="dxa"/>
            </w:tcMar>
            <w:vAlign w:val="center"/>
          </w:tcPr>
          <w:p w14:paraId="31406B5E">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污</w:t>
            </w:r>
          </w:p>
          <w:p w14:paraId="6F45CD64">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染</w:t>
            </w:r>
          </w:p>
          <w:p w14:paraId="1797B6D0">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物</w:t>
            </w:r>
          </w:p>
          <w:p w14:paraId="7A72B954">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排</w:t>
            </w:r>
          </w:p>
          <w:p w14:paraId="31D51C80">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放</w:t>
            </w:r>
          </w:p>
          <w:p w14:paraId="05E7CB35">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控</w:t>
            </w:r>
          </w:p>
          <w:p w14:paraId="05560A51">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制</w:t>
            </w:r>
          </w:p>
          <w:p w14:paraId="0A9D727A">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标</w:t>
            </w:r>
          </w:p>
          <w:p w14:paraId="2CD067A5">
            <w:pPr>
              <w:adjustRightInd w:val="0"/>
              <w:snapToGrid w:val="0"/>
              <w:jc w:val="center"/>
              <w:rPr>
                <w:rFonts w:hint="default" w:ascii="Times New Roman" w:hAnsi="Times New Roman" w:eastAsia="宋体" w:cs="Times New Roman"/>
                <w:snapToGrid/>
                <w:color w:val="auto"/>
                <w:spacing w:val="0"/>
                <w:kern w:val="0"/>
                <w:position w:val="0"/>
                <w:szCs w:val="21"/>
              </w:rPr>
            </w:pPr>
            <w:r>
              <w:rPr>
                <w:rFonts w:hint="default" w:ascii="Times New Roman" w:hAnsi="Times New Roman" w:eastAsia="宋体" w:cs="Times New Roman"/>
                <w:b w:val="0"/>
                <w:bCs w:val="0"/>
                <w:snapToGrid/>
                <w:color w:val="auto"/>
                <w:spacing w:val="0"/>
                <w:kern w:val="0"/>
                <w:position w:val="0"/>
                <w:sz w:val="24"/>
                <w:szCs w:val="24"/>
              </w:rPr>
              <w:t>准</w:t>
            </w:r>
          </w:p>
        </w:tc>
        <w:tc>
          <w:tcPr>
            <w:tcW w:w="8539" w:type="dxa"/>
            <w:tcBorders>
              <w:tl2br w:val="nil"/>
              <w:tr2bl w:val="nil"/>
            </w:tcBorders>
            <w:noWrap w:val="0"/>
            <w:vAlign w:val="center"/>
          </w:tcPr>
          <w:p w14:paraId="70BC2099">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default" w:ascii="Times New Roman" w:hAnsi="Times New Roman" w:eastAsia="宋体" w:cs="Times New Roman"/>
                <w:b/>
                <w:bCs/>
                <w:snapToGrid/>
                <w:color w:val="auto"/>
                <w:spacing w:val="0"/>
                <w:kern w:val="0"/>
                <w:position w:val="0"/>
                <w:sz w:val="24"/>
                <w:szCs w:val="24"/>
              </w:rPr>
            </w:pPr>
            <w:r>
              <w:rPr>
                <w:rFonts w:hint="default" w:ascii="Times New Roman" w:hAnsi="Times New Roman" w:eastAsia="宋体" w:cs="Times New Roman"/>
                <w:b/>
                <w:bCs/>
                <w:snapToGrid/>
                <w:color w:val="auto"/>
                <w:spacing w:val="0"/>
                <w:kern w:val="0"/>
                <w:position w:val="0"/>
                <w:sz w:val="24"/>
                <w:szCs w:val="24"/>
              </w:rPr>
              <w:t>1、废水排放标准</w:t>
            </w:r>
          </w:p>
          <w:p w14:paraId="228C63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项目采用雨污分流制，雨水经雨水管网排入周边沟渠；项目无生产废水排放，冷却水循环使用，不外排至环境水体中，只需定期补充损耗即可，生活污水经化粪池处理，定期清掏用作厂区周围农田施肥，不外排。</w:t>
            </w:r>
          </w:p>
          <w:p w14:paraId="5AB416A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bCs/>
                <w:snapToGrid/>
                <w:color w:val="auto"/>
                <w:spacing w:val="0"/>
                <w:kern w:val="0"/>
                <w:position w:val="0"/>
                <w:sz w:val="24"/>
                <w:szCs w:val="24"/>
              </w:rPr>
            </w:pPr>
            <w:r>
              <w:rPr>
                <w:rFonts w:hint="default" w:ascii="Times New Roman" w:hAnsi="Times New Roman" w:eastAsia="宋体" w:cs="Times New Roman"/>
                <w:b/>
                <w:bCs/>
                <w:snapToGrid/>
                <w:color w:val="auto"/>
                <w:spacing w:val="0"/>
                <w:kern w:val="0"/>
                <w:position w:val="0"/>
                <w:sz w:val="24"/>
                <w:szCs w:val="24"/>
              </w:rPr>
              <w:t>2、大气污染物排放标准</w:t>
            </w:r>
          </w:p>
          <w:p w14:paraId="344035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snapToGrid/>
                <w:color w:val="auto"/>
                <w:spacing w:val="0"/>
                <w:kern w:val="0"/>
                <w:position w:val="0"/>
                <w:sz w:val="24"/>
                <w:szCs w:val="24"/>
                <w:lang w:val="en-US" w:eastAsia="zh-CN"/>
              </w:rPr>
            </w:pPr>
            <w:r>
              <w:rPr>
                <w:rFonts w:hint="eastAsia" w:cs="Times New Roman"/>
                <w:snapToGrid/>
                <w:color w:val="auto"/>
                <w:spacing w:val="0"/>
                <w:kern w:val="0"/>
                <w:position w:val="0"/>
                <w:sz w:val="24"/>
                <w:szCs w:val="24"/>
                <w:lang w:val="en-US" w:eastAsia="zh-CN"/>
              </w:rPr>
              <w:t>施工期项目执行《施工场地颗粒物排放标准》（DB34/4811-2024）中相关标准的规定。</w:t>
            </w:r>
          </w:p>
          <w:p w14:paraId="1F09699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Times New Roman"/>
                <w:b/>
                <w:bCs/>
                <w:snapToGrid/>
                <w:color w:val="auto"/>
                <w:spacing w:val="0"/>
                <w:kern w:val="0"/>
                <w:position w:val="0"/>
                <w:sz w:val="24"/>
                <w:szCs w:val="24"/>
                <w:lang w:val="en-US" w:eastAsia="zh-CN"/>
              </w:rPr>
            </w:pPr>
            <w:r>
              <w:rPr>
                <w:rFonts w:hint="eastAsia" w:cs="Times New Roman"/>
                <w:b/>
                <w:bCs/>
                <w:snapToGrid/>
                <w:color w:val="auto"/>
                <w:spacing w:val="0"/>
                <w:kern w:val="0"/>
                <w:position w:val="0"/>
                <w:sz w:val="24"/>
                <w:szCs w:val="24"/>
                <w:lang w:val="en-US" w:eastAsia="zh-CN"/>
              </w:rPr>
              <w:t>表3.5  监测点颗粒物排放要求</w:t>
            </w:r>
          </w:p>
          <w:tbl>
            <w:tblPr>
              <w:tblStyle w:val="22"/>
              <w:tblW w:w="8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
              <w:gridCol w:w="1075"/>
              <w:gridCol w:w="1081"/>
              <w:gridCol w:w="2492"/>
              <w:gridCol w:w="3467"/>
              <w:gridCol w:w="5"/>
            </w:tblGrid>
            <w:tr w14:paraId="05A8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dxa"/>
                <w:trHeight w:val="454" w:hRule="atLeast"/>
                <w:jc w:val="center"/>
              </w:trPr>
              <w:tc>
                <w:tcPr>
                  <w:tcW w:w="1080" w:type="dxa"/>
                  <w:gridSpan w:val="2"/>
                  <w:shd w:val="clear" w:color="auto" w:fill="auto"/>
                  <w:vAlign w:val="center"/>
                </w:tcPr>
                <w:p w14:paraId="47DE46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控制项目</w:t>
                  </w:r>
                </w:p>
              </w:tc>
              <w:tc>
                <w:tcPr>
                  <w:tcW w:w="1081" w:type="dxa"/>
                  <w:shd w:val="clear" w:color="auto" w:fill="auto"/>
                  <w:vAlign w:val="center"/>
                </w:tcPr>
                <w:p w14:paraId="46FFD5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单位</w:t>
                  </w:r>
                </w:p>
              </w:tc>
              <w:tc>
                <w:tcPr>
                  <w:tcW w:w="2492" w:type="dxa"/>
                  <w:shd w:val="clear" w:color="auto" w:fill="auto"/>
                  <w:noWrap/>
                  <w:vAlign w:val="center"/>
                </w:tcPr>
                <w:p w14:paraId="031B11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监测点浓度限值</w:t>
                  </w:r>
                </w:p>
              </w:tc>
              <w:tc>
                <w:tcPr>
                  <w:tcW w:w="3467" w:type="dxa"/>
                  <w:shd w:val="clear" w:color="auto" w:fill="auto"/>
                  <w:noWrap/>
                  <w:vAlign w:val="center"/>
                </w:tcPr>
                <w:p w14:paraId="71630A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达标判定依据</w:t>
                  </w:r>
                </w:p>
              </w:tc>
            </w:tr>
            <w:tr w14:paraId="66AD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54" w:hRule="atLeast"/>
                <w:jc w:val="center"/>
              </w:trPr>
              <w:tc>
                <w:tcPr>
                  <w:tcW w:w="1080" w:type="dxa"/>
                  <w:gridSpan w:val="2"/>
                  <w:vMerge w:val="restart"/>
                  <w:shd w:val="clear" w:color="auto" w:fill="auto"/>
                  <w:vAlign w:val="center"/>
                </w:tcPr>
                <w:p w14:paraId="6A90EB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TSP</w:t>
                  </w:r>
                </w:p>
              </w:tc>
              <w:tc>
                <w:tcPr>
                  <w:tcW w:w="1081" w:type="dxa"/>
                  <w:vMerge w:val="restart"/>
                  <w:shd w:val="clear" w:color="auto" w:fill="auto"/>
                  <w:vAlign w:val="center"/>
                </w:tcPr>
                <w:p w14:paraId="785EA7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i w:val="0"/>
                      <w:iCs w:val="0"/>
                      <w:color w:val="auto"/>
                      <w:sz w:val="21"/>
                      <w:szCs w:val="21"/>
                      <w:u w:val="none"/>
                    </w:rPr>
                  </w:pPr>
                  <w:r>
                    <w:rPr>
                      <w:rStyle w:val="49"/>
                      <w:rFonts w:hint="default" w:ascii="Times New Roman" w:hAnsi="Times New Roman" w:eastAsia="微软雅黑" w:cs="Times New Roman"/>
                      <w:b w:val="0"/>
                      <w:bCs w:val="0"/>
                      <w:color w:val="auto"/>
                      <w:sz w:val="21"/>
                      <w:szCs w:val="21"/>
                      <w:lang w:val="en-US" w:eastAsia="zh-CN" w:bidi="ar"/>
                    </w:rPr>
                    <w:t>μ</w:t>
                  </w:r>
                  <w:r>
                    <w:rPr>
                      <w:rStyle w:val="49"/>
                      <w:rFonts w:hint="default" w:ascii="Times New Roman" w:hAnsi="Times New Roman" w:eastAsia="宋体" w:cs="Times New Roman"/>
                      <w:b w:val="0"/>
                      <w:bCs w:val="0"/>
                      <w:color w:val="auto"/>
                      <w:sz w:val="21"/>
                      <w:szCs w:val="21"/>
                      <w:lang w:val="en-US" w:eastAsia="zh-CN" w:bidi="ar"/>
                    </w:rPr>
                    <w:t>g/m</w:t>
                  </w:r>
                  <w:r>
                    <w:rPr>
                      <w:rStyle w:val="50"/>
                      <w:rFonts w:hint="default" w:ascii="Times New Roman" w:hAnsi="Times New Roman" w:eastAsia="宋体" w:cs="Times New Roman"/>
                      <w:b w:val="0"/>
                      <w:bCs w:val="0"/>
                      <w:color w:val="auto"/>
                      <w:sz w:val="21"/>
                      <w:szCs w:val="21"/>
                      <w:lang w:val="en-US" w:eastAsia="zh-CN" w:bidi="ar"/>
                    </w:rPr>
                    <w:t>3</w:t>
                  </w:r>
                </w:p>
              </w:tc>
              <w:tc>
                <w:tcPr>
                  <w:tcW w:w="2492" w:type="dxa"/>
                  <w:shd w:val="clear" w:color="auto" w:fill="auto"/>
                  <w:noWrap/>
                  <w:vAlign w:val="center"/>
                </w:tcPr>
                <w:p w14:paraId="706E5A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1000</w:t>
                  </w:r>
                </w:p>
              </w:tc>
              <w:tc>
                <w:tcPr>
                  <w:tcW w:w="3467" w:type="dxa"/>
                  <w:shd w:val="clear" w:color="auto" w:fill="auto"/>
                  <w:noWrap/>
                  <w:vAlign w:val="center"/>
                </w:tcPr>
                <w:p w14:paraId="0844B5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i w:val="0"/>
                      <w:iCs w:val="0"/>
                      <w:color w:val="auto"/>
                      <w:sz w:val="21"/>
                      <w:szCs w:val="21"/>
                      <w:u w:val="none"/>
                    </w:rPr>
                  </w:pPr>
                  <w:r>
                    <w:rPr>
                      <w:rStyle w:val="51"/>
                      <w:rFonts w:hint="default" w:ascii="Times New Roman" w:hAnsi="Times New Roman" w:eastAsia="宋体" w:cs="Times New Roman"/>
                      <w:b w:val="0"/>
                      <w:bCs w:val="0"/>
                      <w:color w:val="auto"/>
                      <w:sz w:val="21"/>
                      <w:szCs w:val="21"/>
                      <w:lang w:val="en-US" w:eastAsia="zh-CN" w:bidi="ar"/>
                    </w:rPr>
                    <w:t>超标次数≤1次/日</w:t>
                  </w:r>
                </w:p>
              </w:tc>
            </w:tr>
            <w:tr w14:paraId="327D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54" w:hRule="atLeast"/>
                <w:jc w:val="center"/>
              </w:trPr>
              <w:tc>
                <w:tcPr>
                  <w:tcW w:w="1080" w:type="dxa"/>
                  <w:gridSpan w:val="2"/>
                  <w:vMerge w:val="continue"/>
                  <w:shd w:val="clear" w:color="auto" w:fill="auto"/>
                  <w:vAlign w:val="center"/>
                </w:tcPr>
                <w:p w14:paraId="71DD6497">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b w:val="0"/>
                      <w:bCs w:val="0"/>
                      <w:i w:val="0"/>
                      <w:iCs w:val="0"/>
                      <w:color w:val="auto"/>
                      <w:sz w:val="21"/>
                      <w:szCs w:val="21"/>
                      <w:u w:val="none"/>
                    </w:rPr>
                  </w:pPr>
                </w:p>
              </w:tc>
              <w:tc>
                <w:tcPr>
                  <w:tcW w:w="1081" w:type="dxa"/>
                  <w:vMerge w:val="continue"/>
                  <w:shd w:val="clear" w:color="auto" w:fill="auto"/>
                  <w:vAlign w:val="center"/>
                </w:tcPr>
                <w:p w14:paraId="63354FE2">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b w:val="0"/>
                      <w:bCs w:val="0"/>
                      <w:i w:val="0"/>
                      <w:iCs w:val="0"/>
                      <w:color w:val="auto"/>
                      <w:sz w:val="21"/>
                      <w:szCs w:val="21"/>
                      <w:u w:val="none"/>
                    </w:rPr>
                  </w:pPr>
                </w:p>
              </w:tc>
              <w:tc>
                <w:tcPr>
                  <w:tcW w:w="2492" w:type="dxa"/>
                  <w:shd w:val="clear" w:color="auto" w:fill="auto"/>
                  <w:noWrap/>
                  <w:vAlign w:val="center"/>
                </w:tcPr>
                <w:p w14:paraId="284544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500</w:t>
                  </w:r>
                </w:p>
              </w:tc>
              <w:tc>
                <w:tcPr>
                  <w:tcW w:w="3467" w:type="dxa"/>
                  <w:shd w:val="clear" w:color="auto" w:fill="auto"/>
                  <w:noWrap/>
                  <w:vAlign w:val="center"/>
                </w:tcPr>
                <w:p w14:paraId="0E7E4D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i w:val="0"/>
                      <w:iCs w:val="0"/>
                      <w:color w:val="auto"/>
                      <w:sz w:val="21"/>
                      <w:szCs w:val="21"/>
                      <w:u w:val="none"/>
                    </w:rPr>
                  </w:pPr>
                  <w:r>
                    <w:rPr>
                      <w:rStyle w:val="51"/>
                      <w:rFonts w:hint="default" w:ascii="Times New Roman" w:hAnsi="Times New Roman" w:eastAsia="宋体" w:cs="Times New Roman"/>
                      <w:b w:val="0"/>
                      <w:bCs w:val="0"/>
                      <w:color w:val="auto"/>
                      <w:sz w:val="21"/>
                      <w:szCs w:val="21"/>
                      <w:lang w:val="en-US" w:eastAsia="zh-CN" w:bidi="ar"/>
                    </w:rPr>
                    <w:t>超标次数≤6次/日</w:t>
                  </w:r>
                </w:p>
              </w:tc>
            </w:tr>
            <w:tr w14:paraId="78AA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8120" w:type="dxa"/>
                  <w:gridSpan w:val="5"/>
                  <w:shd w:val="clear" w:color="auto" w:fill="auto"/>
                  <w:vAlign w:val="center"/>
                </w:tcPr>
                <w:p w14:paraId="51E289DF">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任一监测点自整时起依次顺延15分钟的TSP浓度平均值不得超过的限值。超标次数指一个日历日96个TSP15分钟浓度平均值超过监测点浓度限值的次数。</w:t>
                  </w:r>
                </w:p>
                <w:p w14:paraId="4753C9DF">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根据HJ633判定设区市A</w:t>
                  </w:r>
                  <w:r>
                    <w:rPr>
                      <w:rFonts w:hint="eastAsia" w:ascii="Times New Roman" w:hAnsi="Times New Roman" w:eastAsia="宋体" w:cs="Times New Roman"/>
                      <w:b w:val="0"/>
                      <w:bCs w:val="0"/>
                      <w:i w:val="0"/>
                      <w:iCs w:val="0"/>
                      <w:color w:val="auto"/>
                      <w:kern w:val="0"/>
                      <w:sz w:val="21"/>
                      <w:szCs w:val="21"/>
                      <w:u w:val="none"/>
                      <w:lang w:val="en-US" w:eastAsia="zh-CN" w:bidi="ar"/>
                    </w:rPr>
                    <w:t>Q</w:t>
                  </w:r>
                  <w:r>
                    <w:rPr>
                      <w:rFonts w:hint="default" w:ascii="Times New Roman" w:hAnsi="Times New Roman" w:eastAsia="宋体" w:cs="Times New Roman"/>
                      <w:b w:val="0"/>
                      <w:bCs w:val="0"/>
                      <w:i w:val="0"/>
                      <w:iCs w:val="0"/>
                      <w:color w:val="auto"/>
                      <w:kern w:val="0"/>
                      <w:sz w:val="21"/>
                      <w:szCs w:val="21"/>
                      <w:u w:val="none"/>
                      <w:lang w:val="en-US" w:eastAsia="zh-CN" w:bidi="ar"/>
                    </w:rPr>
                    <w:t>I在200~300之间且首要污染物为PM</w:t>
                  </w:r>
                  <w:r>
                    <w:rPr>
                      <w:rFonts w:hint="eastAsia" w:ascii="Times New Roman" w:hAnsi="Times New Roman" w:eastAsia="宋体" w:cs="Times New Roman"/>
                      <w:b w:val="0"/>
                      <w:bCs w:val="0"/>
                      <w:i w:val="0"/>
                      <w:iCs w:val="0"/>
                      <w:color w:val="auto"/>
                      <w:kern w:val="0"/>
                      <w:sz w:val="21"/>
                      <w:szCs w:val="21"/>
                      <w:u w:val="none"/>
                      <w:vertAlign w:val="subscript"/>
                      <w:lang w:val="en-US" w:eastAsia="zh-CN" w:bidi="ar"/>
                    </w:rPr>
                    <w:t>1</w:t>
                  </w:r>
                  <w:r>
                    <w:rPr>
                      <w:rFonts w:hint="eastAsia" w:ascii="Times New Roman" w:hAnsi="Times New Roman" w:eastAsia="宋体" w:cs="Times New Roman"/>
                      <w:b w:val="0"/>
                      <w:bCs w:val="0"/>
                      <w:i w:val="0"/>
                      <w:iCs w:val="0"/>
                      <w:color w:val="auto"/>
                      <w:kern w:val="0"/>
                      <w:sz w:val="21"/>
                      <w:szCs w:val="21"/>
                      <w:u w:val="none"/>
                      <w:lang w:val="en-US" w:eastAsia="zh-CN" w:bidi="ar"/>
                    </w:rPr>
                    <w:t>0</w:t>
                  </w:r>
                  <w:r>
                    <w:rPr>
                      <w:rFonts w:hint="default" w:ascii="Times New Roman" w:hAnsi="Times New Roman" w:eastAsia="宋体" w:cs="Times New Roman"/>
                      <w:b w:val="0"/>
                      <w:bCs w:val="0"/>
                      <w:i w:val="0"/>
                      <w:iCs w:val="0"/>
                      <w:color w:val="auto"/>
                      <w:kern w:val="0"/>
                      <w:sz w:val="21"/>
                      <w:szCs w:val="21"/>
                      <w:u w:val="none"/>
                      <w:lang w:val="en-US" w:eastAsia="zh-CN" w:bidi="ar"/>
                    </w:rPr>
                    <w:t>或PM</w:t>
                  </w:r>
                  <w:r>
                    <w:rPr>
                      <w:rFonts w:hint="eastAsia" w:ascii="Times New Roman" w:hAnsi="Times New Roman" w:eastAsia="宋体" w:cs="Times New Roman"/>
                      <w:b w:val="0"/>
                      <w:bCs w:val="0"/>
                      <w:i w:val="0"/>
                      <w:iCs w:val="0"/>
                      <w:color w:val="auto"/>
                      <w:kern w:val="0"/>
                      <w:sz w:val="21"/>
                      <w:szCs w:val="21"/>
                      <w:u w:val="none"/>
                      <w:vertAlign w:val="subscript"/>
                      <w:lang w:val="en-US" w:eastAsia="zh-CN" w:bidi="ar"/>
                    </w:rPr>
                    <w:t>2.5</w:t>
                  </w:r>
                  <w:r>
                    <w:rPr>
                      <w:rFonts w:hint="default" w:ascii="Times New Roman" w:hAnsi="Times New Roman" w:eastAsia="宋体" w:cs="Times New Roman"/>
                      <w:b w:val="0"/>
                      <w:bCs w:val="0"/>
                      <w:i w:val="0"/>
                      <w:iCs w:val="0"/>
                      <w:color w:val="auto"/>
                      <w:kern w:val="0"/>
                      <w:sz w:val="21"/>
                      <w:szCs w:val="21"/>
                      <w:u w:val="none"/>
                      <w:lang w:val="en-US" w:eastAsia="zh-CN" w:bidi="ar"/>
                    </w:rPr>
                    <w:t>时，TSP实测值扣除200</w:t>
                  </w:r>
                  <w:r>
                    <w:rPr>
                      <w:rStyle w:val="49"/>
                      <w:rFonts w:hint="default" w:ascii="Times New Roman" w:hAnsi="Times New Roman" w:eastAsia="微软雅黑" w:cs="Times New Roman"/>
                      <w:b w:val="0"/>
                      <w:bCs w:val="0"/>
                      <w:color w:val="auto"/>
                      <w:sz w:val="21"/>
                      <w:szCs w:val="21"/>
                      <w:lang w:val="en-US" w:eastAsia="zh-CN" w:bidi="ar"/>
                    </w:rPr>
                    <w:t>μ</w:t>
                  </w:r>
                  <w:r>
                    <w:rPr>
                      <w:rStyle w:val="49"/>
                      <w:rFonts w:hint="default" w:ascii="Times New Roman" w:hAnsi="Times New Roman" w:eastAsia="宋体" w:cs="Times New Roman"/>
                      <w:b w:val="0"/>
                      <w:bCs w:val="0"/>
                      <w:color w:val="auto"/>
                      <w:sz w:val="21"/>
                      <w:szCs w:val="21"/>
                      <w:lang w:val="en-US" w:eastAsia="zh-CN" w:bidi="ar"/>
                    </w:rPr>
                    <w:t>g/m</w:t>
                  </w:r>
                  <w:r>
                    <w:rPr>
                      <w:rStyle w:val="50"/>
                      <w:rFonts w:hint="default" w:ascii="Times New Roman" w:hAnsi="Times New Roman" w:eastAsia="宋体" w:cs="Times New Roman"/>
                      <w:b w:val="0"/>
                      <w:bCs w:val="0"/>
                      <w:color w:val="auto"/>
                      <w:sz w:val="21"/>
                      <w:szCs w:val="21"/>
                      <w:lang w:val="en-US" w:eastAsia="zh-CN" w:bidi="ar"/>
                    </w:rPr>
                    <w:t>3</w:t>
                  </w:r>
                  <w:r>
                    <w:rPr>
                      <w:rFonts w:hint="default" w:ascii="Times New Roman" w:hAnsi="Times New Roman" w:eastAsia="宋体" w:cs="Times New Roman"/>
                      <w:b w:val="0"/>
                      <w:bCs w:val="0"/>
                      <w:i w:val="0"/>
                      <w:iCs w:val="0"/>
                      <w:color w:val="auto"/>
                      <w:kern w:val="0"/>
                      <w:sz w:val="21"/>
                      <w:szCs w:val="21"/>
                      <w:u w:val="none"/>
                      <w:lang w:val="en-US" w:eastAsia="zh-CN" w:bidi="ar"/>
                    </w:rPr>
                    <w:t>后再进行评价。</w:t>
                  </w:r>
                </w:p>
              </w:tc>
            </w:tr>
          </w:tbl>
          <w:p w14:paraId="52E6EAA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both"/>
              <w:textAlignment w:val="auto"/>
              <w:rPr>
                <w:rFonts w:hint="default" w:ascii="Times New Roman" w:hAnsi="Times New Roman" w:eastAsia="宋体" w:cs="Times New Roman"/>
                <w:snapToGrid/>
                <w:color w:val="auto"/>
                <w:spacing w:val="0"/>
                <w:kern w:val="0"/>
                <w:position w:val="0"/>
                <w:sz w:val="24"/>
                <w:szCs w:val="24"/>
                <w:lang w:val="en-US"/>
              </w:rPr>
            </w:pPr>
            <w:r>
              <w:rPr>
                <w:rFonts w:hint="eastAsia" w:cs="Times New Roman"/>
                <w:snapToGrid/>
                <w:color w:val="auto"/>
                <w:spacing w:val="0"/>
                <w:kern w:val="0"/>
                <w:position w:val="0"/>
                <w:sz w:val="24"/>
                <w:szCs w:val="24"/>
                <w:lang w:val="en-US" w:eastAsia="zh-CN"/>
              </w:rPr>
              <w:t>运营期</w:t>
            </w:r>
            <w:r>
              <w:rPr>
                <w:rFonts w:hint="eastAsia" w:ascii="Times New Roman" w:hAnsi="Times New Roman" w:eastAsia="宋体" w:cs="Times New Roman"/>
                <w:snapToGrid/>
                <w:color w:val="auto"/>
                <w:spacing w:val="0"/>
                <w:kern w:val="0"/>
                <w:position w:val="0"/>
                <w:sz w:val="24"/>
                <w:szCs w:val="24"/>
                <w:lang w:val="en-US" w:eastAsia="zh-CN"/>
              </w:rPr>
              <w:t>项目</w:t>
            </w:r>
            <w:r>
              <w:rPr>
                <w:rFonts w:hint="eastAsia" w:ascii="Times New Roman" w:hAnsi="Times New Roman" w:eastAsia="宋体" w:cs="Times New Roman"/>
                <w:color w:val="auto"/>
                <w:sz w:val="24"/>
                <w:lang w:val="en-US" w:eastAsia="zh-CN"/>
              </w:rPr>
              <w:t>混合</w:t>
            </w:r>
            <w:r>
              <w:rPr>
                <w:rFonts w:hint="eastAsia" w:cs="Times New Roman"/>
                <w:color w:val="auto"/>
                <w:sz w:val="24"/>
                <w:lang w:val="en-US" w:eastAsia="zh-CN"/>
              </w:rPr>
              <w:t>废气、加热废气、喷塑废气排放</w:t>
            </w:r>
            <w:r>
              <w:rPr>
                <w:rFonts w:hint="eastAsia" w:cs="Times New Roman"/>
                <w:snapToGrid/>
                <w:color w:val="auto"/>
                <w:spacing w:val="0"/>
                <w:kern w:val="0"/>
                <w:position w:val="0"/>
                <w:sz w:val="24"/>
                <w:szCs w:val="24"/>
                <w:lang w:val="en-US" w:eastAsia="zh-CN"/>
              </w:rPr>
              <w:t>执行</w:t>
            </w:r>
            <w:r>
              <w:rPr>
                <w:rFonts w:hint="default" w:ascii="Times New Roman" w:hAnsi="Times New Roman" w:eastAsia="宋体" w:cs="Times New Roman"/>
                <w:color w:val="auto"/>
                <w:kern w:val="2"/>
                <w:sz w:val="24"/>
                <w:szCs w:val="24"/>
                <w:lang w:val="en-US" w:eastAsia="zh-CN" w:bidi="ar-SA"/>
              </w:rPr>
              <w:t>《大气污染物综合排放标准》（GB16297-1996）表2中二级排放标准</w:t>
            </w:r>
            <w:r>
              <w:rPr>
                <w:rFonts w:hint="eastAsia" w:cs="Times New Roman"/>
                <w:color w:val="auto"/>
                <w:kern w:val="2"/>
                <w:sz w:val="24"/>
                <w:szCs w:val="24"/>
                <w:lang w:val="en-US" w:eastAsia="zh-CN" w:bidi="ar-SA"/>
              </w:rPr>
              <w:t>和</w:t>
            </w:r>
            <w:r>
              <w:rPr>
                <w:rFonts w:hint="eastAsia" w:ascii="Times New Roman" w:hAnsi="Times New Roman" w:cs="Times New Roman"/>
                <w:color w:val="auto"/>
                <w:sz w:val="24"/>
                <w:szCs w:val="24"/>
                <w:lang w:val="en-US" w:eastAsia="zh-CN"/>
              </w:rPr>
              <w:t>无组织排放监控浓度限值</w:t>
            </w:r>
            <w:r>
              <w:rPr>
                <w:rFonts w:hint="eastAsia" w:cs="Times New Roman"/>
                <w:color w:val="auto"/>
                <w:kern w:val="2"/>
                <w:sz w:val="24"/>
                <w:szCs w:val="24"/>
                <w:lang w:val="en-US" w:eastAsia="zh-CN" w:bidi="ar-SA"/>
              </w:rPr>
              <w:t>，</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w:t>
            </w:r>
            <w:r>
              <w:rPr>
                <w:rFonts w:hint="eastAsia" w:ascii="Times New Roman" w:hAnsi="Times New Roman" w:eastAsia="宋体" w:cs="Times New Roman"/>
                <w:color w:val="auto"/>
                <w:sz w:val="24"/>
                <w:lang w:eastAsia="zh-CN"/>
              </w:rPr>
              <w:t>废气</w:t>
            </w:r>
            <w:r>
              <w:rPr>
                <w:rFonts w:hint="eastAsia" w:cs="Times New Roman"/>
                <w:color w:val="auto"/>
                <w:sz w:val="24"/>
                <w:lang w:eastAsia="zh-CN"/>
              </w:rPr>
              <w:t>排放执行</w:t>
            </w:r>
            <w:r>
              <w:rPr>
                <w:rFonts w:hint="default" w:ascii="Times New Roman" w:hAnsi="Times New Roman" w:cs="Times New Roman"/>
                <w:color w:val="auto"/>
                <w:sz w:val="24"/>
                <w:szCs w:val="24"/>
                <w:lang w:val="en-US" w:eastAsia="zh-CN"/>
              </w:rPr>
              <w:t>《合成树脂工业污染物排放标准》（GB31572-2015）中表5 大气污染物特别排放限值</w:t>
            </w:r>
            <w:r>
              <w:rPr>
                <w:rFonts w:hint="eastAsia" w:ascii="Times New Roman" w:hAnsi="Times New Roman" w:cs="Times New Roman"/>
                <w:color w:val="auto"/>
                <w:sz w:val="24"/>
                <w:szCs w:val="24"/>
                <w:lang w:val="en-US" w:eastAsia="zh-CN"/>
              </w:rPr>
              <w:t>和</w:t>
            </w:r>
            <w:r>
              <w:rPr>
                <w:rFonts w:hint="default" w:ascii="Times New Roman" w:hAnsi="Times New Roman" w:cs="Times New Roman"/>
                <w:color w:val="auto"/>
                <w:sz w:val="24"/>
                <w:szCs w:val="24"/>
                <w:lang w:val="en-US" w:eastAsia="zh-CN"/>
              </w:rPr>
              <w:t>表</w:t>
            </w:r>
            <w:r>
              <w:rPr>
                <w:rFonts w:hint="eastAsia" w:ascii="Times New Roman" w:hAnsi="Times New Roman" w:cs="Times New Roman"/>
                <w:color w:val="auto"/>
                <w:sz w:val="24"/>
                <w:szCs w:val="24"/>
                <w:lang w:val="en-US" w:eastAsia="zh-CN"/>
              </w:rPr>
              <w:t xml:space="preserve">9 </w:t>
            </w:r>
            <w:r>
              <w:rPr>
                <w:rFonts w:hint="default" w:ascii="Times New Roman" w:hAnsi="Times New Roman" w:cs="Times New Roman"/>
                <w:color w:val="auto"/>
                <w:sz w:val="24"/>
                <w:szCs w:val="24"/>
                <w:lang w:val="en-US" w:eastAsia="zh-CN"/>
              </w:rPr>
              <w:t>企业边界大气污染物浓度限值</w:t>
            </w:r>
            <w:r>
              <w:rPr>
                <w:rFonts w:hint="eastAsia" w:ascii="Times New Roman" w:hAnsi="Times New Roman" w:cs="Times New Roman"/>
                <w:color w:val="auto"/>
                <w:sz w:val="24"/>
                <w:szCs w:val="24"/>
                <w:lang w:val="en-US" w:eastAsia="zh-CN"/>
              </w:rPr>
              <w:t>，固化废气排放执行</w:t>
            </w:r>
            <w:r>
              <w:rPr>
                <w:color w:val="auto"/>
                <w:sz w:val="24"/>
                <w:lang w:bidi="ar"/>
              </w:rPr>
              <w:t>《</w:t>
            </w:r>
            <w:r>
              <w:rPr>
                <w:rFonts w:hint="eastAsia"/>
                <w:color w:val="auto"/>
                <w:sz w:val="24"/>
                <w:szCs w:val="24"/>
                <w:lang w:eastAsia="zh-CN"/>
              </w:rPr>
              <w:t>固定源挥发性有机物综合排放标准</w:t>
            </w:r>
            <w:r>
              <w:rPr>
                <w:rFonts w:hint="eastAsia"/>
                <w:color w:val="auto"/>
                <w:sz w:val="24"/>
                <w:szCs w:val="24"/>
                <w:lang w:val="en-US" w:eastAsia="zh-CN"/>
              </w:rPr>
              <w:t xml:space="preserve"> 第六部分：其他行业</w:t>
            </w:r>
            <w:r>
              <w:rPr>
                <w:color w:val="auto"/>
                <w:sz w:val="24"/>
                <w:lang w:bidi="ar"/>
              </w:rPr>
              <w:t>》</w:t>
            </w:r>
            <w:r>
              <w:rPr>
                <w:rFonts w:hint="eastAsia"/>
                <w:color w:val="auto"/>
                <w:sz w:val="24"/>
                <w:lang w:eastAsia="zh-CN" w:bidi="ar"/>
              </w:rPr>
              <w:t>（</w:t>
            </w:r>
            <w:r>
              <w:rPr>
                <w:rFonts w:hint="eastAsia" w:cs="Times New Roman"/>
                <w:b w:val="0"/>
                <w:bCs w:val="0"/>
                <w:color w:val="auto"/>
                <w:sz w:val="24"/>
                <w:szCs w:val="24"/>
                <w:lang w:val="en-US" w:eastAsia="zh-CN"/>
              </w:rPr>
              <w:t>DB34/4812.6-2024</w:t>
            </w:r>
            <w:r>
              <w:rPr>
                <w:rFonts w:hint="eastAsia"/>
                <w:color w:val="auto"/>
                <w:sz w:val="24"/>
                <w:lang w:eastAsia="zh-CN" w:bidi="ar"/>
              </w:rPr>
              <w:t>）表1 挥发性有机物基本污染物项目排放限值</w:t>
            </w:r>
            <w:r>
              <w:rPr>
                <w:rFonts w:hint="eastAsia" w:cs="Times New Roman"/>
                <w:color w:val="auto"/>
                <w:kern w:val="2"/>
                <w:sz w:val="24"/>
                <w:szCs w:val="24"/>
                <w:lang w:val="en-US" w:eastAsia="zh-CN" w:bidi="ar-SA"/>
              </w:rPr>
              <w:t>，</w:t>
            </w:r>
            <w:r>
              <w:rPr>
                <w:rFonts w:hint="eastAsia" w:ascii="Times New Roman" w:hAnsi="Times New Roman" w:cs="Times New Roman"/>
                <w:color w:val="auto"/>
                <w:sz w:val="24"/>
                <w:szCs w:val="24"/>
                <w:lang w:eastAsia="zh-CN"/>
              </w:rPr>
              <w:t>氨气</w:t>
            </w:r>
            <w:r>
              <w:rPr>
                <w:rFonts w:hint="default" w:ascii="Times New Roman" w:hAnsi="Times New Roman" w:cs="Times New Roman"/>
                <w:color w:val="auto"/>
                <w:sz w:val="24"/>
                <w:szCs w:val="24"/>
              </w:rPr>
              <w:t>污染物</w:t>
            </w:r>
            <w:r>
              <w:rPr>
                <w:rFonts w:hint="eastAsia" w:cs="Times New Roman"/>
                <w:color w:val="auto"/>
                <w:sz w:val="24"/>
                <w:szCs w:val="24"/>
                <w:lang w:eastAsia="zh-CN"/>
              </w:rPr>
              <w:t>无组织排放</w:t>
            </w:r>
            <w:r>
              <w:rPr>
                <w:rFonts w:hint="default" w:ascii="Times New Roman" w:hAnsi="Times New Roman" w:cs="Times New Roman"/>
                <w:color w:val="auto"/>
                <w:sz w:val="24"/>
                <w:szCs w:val="24"/>
              </w:rPr>
              <w:t>执行《恶臭污染物排放标准》（GB14554-93）</w:t>
            </w:r>
            <w:r>
              <w:rPr>
                <w:rFonts w:hint="default" w:ascii="Times New Roman" w:hAnsi="Times New Roman" w:cs="Times New Roman"/>
                <w:color w:val="auto"/>
                <w:sz w:val="24"/>
                <w:szCs w:val="24"/>
                <w:lang w:eastAsia="zh-CN"/>
              </w:rPr>
              <w:t>表</w:t>
            </w:r>
            <w:r>
              <w:rPr>
                <w:rFonts w:hint="default" w:ascii="Times New Roman" w:hAnsi="Times New Roman" w:cs="Times New Roman"/>
                <w:color w:val="auto"/>
                <w:sz w:val="24"/>
                <w:szCs w:val="24"/>
                <w:lang w:val="en-US" w:eastAsia="zh-CN"/>
              </w:rPr>
              <w:t>2中二级标准</w:t>
            </w:r>
            <w:r>
              <w:rPr>
                <w:rFonts w:hint="eastAsia" w:ascii="Times New Roman" w:hAnsi="Times New Roman" w:eastAsia="宋体" w:cs="Times New Roman"/>
                <w:color w:val="auto"/>
                <w:kern w:val="2"/>
                <w:sz w:val="24"/>
                <w:szCs w:val="24"/>
                <w:lang w:val="en-US" w:eastAsia="zh-CN" w:bidi="ar-SA"/>
              </w:rPr>
              <w:t>，</w:t>
            </w:r>
            <w:r>
              <w:rPr>
                <w:color w:val="auto"/>
                <w:sz w:val="24"/>
                <w:lang w:bidi="ar"/>
              </w:rPr>
              <w:t>厂区内</w:t>
            </w:r>
            <w:r>
              <w:rPr>
                <w:rFonts w:hint="eastAsia" w:cs="Times New Roman"/>
                <w:color w:val="auto"/>
                <w:sz w:val="24"/>
                <w:szCs w:val="24"/>
                <w:lang w:val="en-US" w:eastAsia="zh-CN"/>
              </w:rPr>
              <w:t>挥发性有机物无组织排放</w:t>
            </w:r>
            <w:r>
              <w:rPr>
                <w:color w:val="auto"/>
                <w:sz w:val="24"/>
                <w:lang w:bidi="ar"/>
              </w:rPr>
              <w:t>执行《</w:t>
            </w:r>
            <w:r>
              <w:rPr>
                <w:rFonts w:hint="eastAsia"/>
                <w:color w:val="auto"/>
                <w:sz w:val="24"/>
                <w:szCs w:val="24"/>
                <w:lang w:eastAsia="zh-CN"/>
              </w:rPr>
              <w:t>固定源挥发性有机物综合排放标准</w:t>
            </w:r>
            <w:r>
              <w:rPr>
                <w:rFonts w:hint="eastAsia"/>
                <w:color w:val="auto"/>
                <w:sz w:val="24"/>
                <w:szCs w:val="24"/>
                <w:lang w:val="en-US" w:eastAsia="zh-CN"/>
              </w:rPr>
              <w:t xml:space="preserve"> 第六部分：其他行业</w:t>
            </w:r>
            <w:r>
              <w:rPr>
                <w:color w:val="auto"/>
                <w:sz w:val="24"/>
                <w:lang w:bidi="ar"/>
              </w:rPr>
              <w:t>》</w:t>
            </w:r>
            <w:r>
              <w:rPr>
                <w:rFonts w:hint="eastAsia"/>
                <w:color w:val="auto"/>
                <w:sz w:val="24"/>
                <w:lang w:eastAsia="zh-CN" w:bidi="ar"/>
              </w:rPr>
              <w:t>（</w:t>
            </w:r>
            <w:r>
              <w:rPr>
                <w:rFonts w:hint="eastAsia" w:cs="Times New Roman"/>
                <w:b w:val="0"/>
                <w:bCs w:val="0"/>
                <w:color w:val="auto"/>
                <w:sz w:val="24"/>
                <w:szCs w:val="24"/>
                <w:lang w:val="en-US" w:eastAsia="zh-CN"/>
              </w:rPr>
              <w:t>DB34/4812.6-2024</w:t>
            </w:r>
            <w:r>
              <w:rPr>
                <w:rFonts w:hint="eastAsia"/>
                <w:color w:val="auto"/>
                <w:sz w:val="24"/>
                <w:lang w:eastAsia="zh-CN" w:bidi="ar"/>
              </w:rPr>
              <w:t>）表</w:t>
            </w:r>
            <w:r>
              <w:rPr>
                <w:rFonts w:hint="eastAsia"/>
                <w:color w:val="auto"/>
                <w:sz w:val="24"/>
                <w:lang w:val="en-US" w:eastAsia="zh-CN" w:bidi="ar"/>
              </w:rPr>
              <w:t>4 厂区内VOCs无组织排放限值</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snapToGrid/>
                <w:color w:val="auto"/>
                <w:spacing w:val="0"/>
                <w:kern w:val="0"/>
                <w:position w:val="0"/>
                <w:sz w:val="24"/>
                <w:szCs w:val="24"/>
              </w:rPr>
              <w:t>具体见</w:t>
            </w:r>
            <w:r>
              <w:rPr>
                <w:rFonts w:hint="eastAsia" w:cs="Times New Roman"/>
                <w:snapToGrid/>
                <w:color w:val="auto"/>
                <w:spacing w:val="0"/>
                <w:kern w:val="0"/>
                <w:position w:val="0"/>
                <w:sz w:val="24"/>
                <w:szCs w:val="24"/>
                <w:lang w:val="en-US" w:eastAsia="zh-CN"/>
              </w:rPr>
              <w:t>下表。</w:t>
            </w:r>
          </w:p>
          <w:p w14:paraId="16CD9C9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snapToGrid/>
                <w:color w:val="auto"/>
                <w:spacing w:val="0"/>
                <w:kern w:val="0"/>
                <w:position w:val="0"/>
                <w:sz w:val="24"/>
                <w:szCs w:val="24"/>
                <w:lang w:eastAsia="zh-CN"/>
              </w:rPr>
            </w:pPr>
            <w:r>
              <w:rPr>
                <w:rFonts w:hint="default" w:ascii="Times New Roman" w:hAnsi="Times New Roman" w:eastAsia="宋体" w:cs="Times New Roman"/>
                <w:b/>
                <w:bCs/>
                <w:snapToGrid/>
                <w:color w:val="auto"/>
                <w:spacing w:val="0"/>
                <w:kern w:val="0"/>
                <w:position w:val="0"/>
                <w:sz w:val="24"/>
                <w:szCs w:val="24"/>
                <w:lang w:eastAsia="zh-CN"/>
              </w:rPr>
              <w:t>表</w:t>
            </w:r>
            <w:r>
              <w:rPr>
                <w:rFonts w:hint="default" w:ascii="Times New Roman" w:hAnsi="Times New Roman" w:eastAsia="宋体" w:cs="Times New Roman"/>
                <w:b/>
                <w:bCs/>
                <w:snapToGrid/>
                <w:color w:val="auto"/>
                <w:spacing w:val="0"/>
                <w:kern w:val="0"/>
                <w:position w:val="0"/>
                <w:sz w:val="24"/>
                <w:szCs w:val="24"/>
                <w:lang w:val="en-US" w:eastAsia="zh-CN"/>
              </w:rPr>
              <w:t>3</w:t>
            </w:r>
            <w:r>
              <w:rPr>
                <w:rFonts w:hint="eastAsia" w:cs="Times New Roman"/>
                <w:b/>
                <w:bCs/>
                <w:snapToGrid/>
                <w:color w:val="auto"/>
                <w:spacing w:val="0"/>
                <w:kern w:val="0"/>
                <w:position w:val="0"/>
                <w:sz w:val="24"/>
                <w:szCs w:val="24"/>
                <w:lang w:val="en-US" w:eastAsia="zh-CN"/>
              </w:rPr>
              <w:t>.6</w:t>
            </w:r>
            <w:r>
              <w:rPr>
                <w:rFonts w:hint="default" w:ascii="Times New Roman" w:hAnsi="Times New Roman" w:eastAsia="宋体" w:cs="Times New Roman"/>
                <w:b/>
                <w:bCs/>
                <w:snapToGrid/>
                <w:color w:val="auto"/>
                <w:spacing w:val="0"/>
                <w:kern w:val="0"/>
                <w:position w:val="0"/>
                <w:sz w:val="24"/>
                <w:szCs w:val="24"/>
                <w:lang w:val="en-US" w:eastAsia="zh-CN"/>
              </w:rPr>
              <w:t xml:space="preserve"> </w:t>
            </w:r>
            <w:r>
              <w:rPr>
                <w:rFonts w:hint="eastAsia" w:cs="Times New Roman"/>
                <w:b/>
                <w:bCs/>
                <w:snapToGrid/>
                <w:color w:val="auto"/>
                <w:spacing w:val="0"/>
                <w:kern w:val="0"/>
                <w:position w:val="0"/>
                <w:sz w:val="24"/>
                <w:szCs w:val="24"/>
                <w:lang w:val="en-US" w:eastAsia="zh-CN"/>
              </w:rPr>
              <w:t xml:space="preserve"> 《大气污染物综合排放标准》（GB16297-1996）</w:t>
            </w:r>
          </w:p>
          <w:tbl>
            <w:tblPr>
              <w:tblStyle w:val="22"/>
              <w:tblW w:w="5000" w:type="pct"/>
              <w:jc w:val="center"/>
              <w:tblLayout w:type="fixed"/>
              <w:tblCellMar>
                <w:top w:w="0" w:type="dxa"/>
                <w:left w:w="108" w:type="dxa"/>
                <w:bottom w:w="0" w:type="dxa"/>
                <w:right w:w="108" w:type="dxa"/>
              </w:tblCellMar>
            </w:tblPr>
            <w:tblGrid>
              <w:gridCol w:w="1331"/>
              <w:gridCol w:w="1937"/>
              <w:gridCol w:w="1701"/>
              <w:gridCol w:w="1694"/>
              <w:gridCol w:w="1549"/>
            </w:tblGrid>
            <w:tr w14:paraId="5E8E0C6B">
              <w:tblPrEx>
                <w:tblCellMar>
                  <w:top w:w="0" w:type="dxa"/>
                  <w:left w:w="108" w:type="dxa"/>
                  <w:bottom w:w="0" w:type="dxa"/>
                  <w:right w:w="108" w:type="dxa"/>
                </w:tblCellMar>
              </w:tblPrEx>
              <w:trPr>
                <w:trHeight w:val="454" w:hRule="atLeast"/>
                <w:jc w:val="center"/>
              </w:trPr>
              <w:tc>
                <w:tcPr>
                  <w:tcW w:w="810" w:type="pct"/>
                  <w:vMerge w:val="restart"/>
                  <w:tcBorders>
                    <w:top w:val="single" w:color="000000" w:sz="4" w:space="0"/>
                    <w:left w:val="single" w:color="000000" w:sz="4" w:space="0"/>
                    <w:right w:val="single" w:color="000000" w:sz="4" w:space="0"/>
                  </w:tcBorders>
                  <w:noWrap w:val="0"/>
                  <w:vAlign w:val="center"/>
                </w:tcPr>
                <w:p w14:paraId="7A593CA9">
                  <w:pPr>
                    <w:keepNext w:val="0"/>
                    <w:keepLines w:val="0"/>
                    <w:pageBreakBefore w:val="0"/>
                    <w:kinsoku/>
                    <w:wordWrap/>
                    <w:overflowPunct/>
                    <w:topLinePunct w:val="0"/>
                    <w:bidi w:val="0"/>
                    <w:adjustRightInd w:val="0"/>
                    <w:snapToGrid w:val="0"/>
                    <w:spacing w:line="240" w:lineRule="atLeast"/>
                    <w:jc w:val="center"/>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污染物</w:t>
                  </w:r>
                </w:p>
              </w:tc>
              <w:tc>
                <w:tcPr>
                  <w:tcW w:w="1179" w:type="pct"/>
                  <w:vMerge w:val="restart"/>
                  <w:tcBorders>
                    <w:top w:val="single" w:color="000000" w:sz="4" w:space="0"/>
                    <w:left w:val="single" w:color="000000" w:sz="4" w:space="0"/>
                    <w:right w:val="single" w:color="000000" w:sz="4" w:space="0"/>
                  </w:tcBorders>
                  <w:noWrap w:val="0"/>
                  <w:vAlign w:val="center"/>
                </w:tcPr>
                <w:p w14:paraId="18FCACE4">
                  <w:pPr>
                    <w:keepNext w:val="0"/>
                    <w:keepLines w:val="0"/>
                    <w:pageBreakBefore w:val="0"/>
                    <w:kinsoku/>
                    <w:wordWrap/>
                    <w:overflowPunct/>
                    <w:topLinePunct w:val="0"/>
                    <w:bidi w:val="0"/>
                    <w:adjustRightInd w:val="0"/>
                    <w:snapToGrid w:val="0"/>
                    <w:spacing w:line="240" w:lineRule="atLeast"/>
                    <w:jc w:val="center"/>
                    <w:rPr>
                      <w:rFonts w:hint="default" w:ascii="Times New Roman" w:hAnsi="Times New Roman" w:eastAsia="宋体" w:cs="Times New Roman"/>
                      <w:snapToGrid/>
                      <w:color w:val="auto"/>
                      <w:spacing w:val="0"/>
                      <w:kern w:val="0"/>
                      <w:position w:val="0"/>
                      <w:sz w:val="21"/>
                      <w:szCs w:val="21"/>
                    </w:rPr>
                  </w:pPr>
                  <w:r>
                    <w:rPr>
                      <w:rFonts w:hint="eastAsia" w:cs="Times New Roman"/>
                      <w:snapToGrid/>
                      <w:color w:val="auto"/>
                      <w:spacing w:val="0"/>
                      <w:kern w:val="0"/>
                      <w:position w:val="0"/>
                      <w:sz w:val="21"/>
                      <w:szCs w:val="21"/>
                      <w:lang w:val="en-US" w:eastAsia="zh-CN"/>
                    </w:rPr>
                    <w:t>最高允许排放浓度</w:t>
                  </w:r>
                  <w:r>
                    <w:rPr>
                      <w:rFonts w:hint="default" w:ascii="Times New Roman" w:hAnsi="Times New Roman" w:eastAsia="宋体" w:cs="Times New Roman"/>
                      <w:snapToGrid/>
                      <w:color w:val="auto"/>
                      <w:spacing w:val="0"/>
                      <w:kern w:val="0"/>
                      <w:position w:val="0"/>
                      <w:sz w:val="21"/>
                      <w:szCs w:val="21"/>
                    </w:rPr>
                    <w:t>（mg/m</w:t>
                  </w:r>
                  <w:r>
                    <w:rPr>
                      <w:rFonts w:hint="default" w:ascii="Times New Roman" w:hAnsi="Times New Roman" w:eastAsia="宋体" w:cs="Times New Roman"/>
                      <w:snapToGrid/>
                      <w:color w:val="auto"/>
                      <w:spacing w:val="0"/>
                      <w:kern w:val="0"/>
                      <w:position w:val="0"/>
                      <w:sz w:val="21"/>
                      <w:szCs w:val="21"/>
                      <w:vertAlign w:val="superscript"/>
                    </w:rPr>
                    <w:t>3</w:t>
                  </w:r>
                  <w:r>
                    <w:rPr>
                      <w:rFonts w:hint="default" w:ascii="Times New Roman" w:hAnsi="Times New Roman" w:eastAsia="宋体" w:cs="Times New Roman"/>
                      <w:snapToGrid/>
                      <w:color w:val="auto"/>
                      <w:spacing w:val="0"/>
                      <w:kern w:val="0"/>
                      <w:position w:val="0"/>
                      <w:sz w:val="21"/>
                      <w:szCs w:val="21"/>
                    </w:rPr>
                    <w:t>）</w:t>
                  </w:r>
                </w:p>
              </w:tc>
              <w:tc>
                <w:tcPr>
                  <w:tcW w:w="2066" w:type="pct"/>
                  <w:gridSpan w:val="2"/>
                  <w:tcBorders>
                    <w:top w:val="single" w:color="000000" w:sz="4" w:space="0"/>
                    <w:left w:val="single" w:color="000000" w:sz="4" w:space="0"/>
                    <w:bottom w:val="single" w:color="auto" w:sz="4" w:space="0"/>
                    <w:right w:val="single" w:color="000000" w:sz="4" w:space="0"/>
                  </w:tcBorders>
                  <w:noWrap w:val="0"/>
                  <w:vAlign w:val="center"/>
                </w:tcPr>
                <w:p w14:paraId="28952850">
                  <w:pPr>
                    <w:keepNext w:val="0"/>
                    <w:keepLines w:val="0"/>
                    <w:pageBreakBefore w:val="0"/>
                    <w:kinsoku/>
                    <w:wordWrap/>
                    <w:overflowPunct/>
                    <w:topLinePunct w:val="0"/>
                    <w:bidi w:val="0"/>
                    <w:adjustRightInd w:val="0"/>
                    <w:snapToGrid w:val="0"/>
                    <w:spacing w:line="240" w:lineRule="atLeast"/>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最高允许排放速率（kg/h）</w:t>
                  </w:r>
                </w:p>
              </w:tc>
              <w:tc>
                <w:tcPr>
                  <w:tcW w:w="943" w:type="pct"/>
                  <w:vMerge w:val="restart"/>
                  <w:tcBorders>
                    <w:top w:val="single" w:color="000000" w:sz="4" w:space="0"/>
                    <w:left w:val="single" w:color="000000" w:sz="4" w:space="0"/>
                    <w:right w:val="single" w:color="000000" w:sz="4" w:space="0"/>
                  </w:tcBorders>
                  <w:noWrap w:val="0"/>
                  <w:vAlign w:val="center"/>
                </w:tcPr>
                <w:p w14:paraId="72975138">
                  <w:pPr>
                    <w:keepNext w:val="0"/>
                    <w:keepLines w:val="0"/>
                    <w:pageBreakBefore w:val="0"/>
                    <w:kinsoku/>
                    <w:wordWrap/>
                    <w:overflowPunct/>
                    <w:topLinePunct w:val="0"/>
                    <w:bidi w:val="0"/>
                    <w:adjustRightInd w:val="0"/>
                    <w:snapToGrid w:val="0"/>
                    <w:spacing w:line="240" w:lineRule="atLeast"/>
                    <w:jc w:val="center"/>
                    <w:rPr>
                      <w:rFonts w:hint="default" w:ascii="Times New Roman" w:hAnsi="Times New Roman" w:eastAsia="宋体" w:cs="Times New Roman"/>
                      <w:snapToGrid/>
                      <w:color w:val="auto"/>
                      <w:spacing w:val="0"/>
                      <w:kern w:val="0"/>
                      <w:position w:val="0"/>
                      <w:sz w:val="21"/>
                      <w:szCs w:val="21"/>
                    </w:rPr>
                  </w:pPr>
                  <w:r>
                    <w:rPr>
                      <w:rFonts w:hint="eastAsia" w:cs="Times New Roman"/>
                      <w:snapToGrid/>
                      <w:color w:val="auto"/>
                      <w:spacing w:val="0"/>
                      <w:kern w:val="0"/>
                      <w:position w:val="0"/>
                      <w:sz w:val="21"/>
                      <w:szCs w:val="21"/>
                      <w:lang w:val="en-US" w:eastAsia="zh-CN"/>
                    </w:rPr>
                    <w:t>无组织</w:t>
                  </w:r>
                  <w:r>
                    <w:rPr>
                      <w:rFonts w:hint="eastAsia" w:ascii="Times New Roman" w:hAnsi="Times New Roman" w:eastAsia="宋体" w:cs="Times New Roman"/>
                      <w:snapToGrid/>
                      <w:color w:val="auto"/>
                      <w:spacing w:val="0"/>
                      <w:kern w:val="0"/>
                      <w:position w:val="0"/>
                      <w:sz w:val="21"/>
                      <w:szCs w:val="21"/>
                      <w:lang w:val="en-US" w:eastAsia="zh-CN"/>
                    </w:rPr>
                    <w:t>浓度限值</w:t>
                  </w:r>
                  <w:r>
                    <w:rPr>
                      <w:rFonts w:hint="default" w:ascii="Times New Roman" w:hAnsi="Times New Roman" w:eastAsia="宋体" w:cs="Times New Roman"/>
                      <w:snapToGrid/>
                      <w:color w:val="auto"/>
                      <w:spacing w:val="0"/>
                      <w:kern w:val="0"/>
                      <w:position w:val="0"/>
                      <w:sz w:val="21"/>
                      <w:szCs w:val="21"/>
                    </w:rPr>
                    <w:t>（mg/m</w:t>
                  </w:r>
                  <w:r>
                    <w:rPr>
                      <w:rFonts w:hint="default" w:ascii="Times New Roman" w:hAnsi="Times New Roman" w:eastAsia="宋体" w:cs="Times New Roman"/>
                      <w:snapToGrid/>
                      <w:color w:val="auto"/>
                      <w:spacing w:val="0"/>
                      <w:kern w:val="0"/>
                      <w:position w:val="0"/>
                      <w:sz w:val="21"/>
                      <w:szCs w:val="21"/>
                      <w:vertAlign w:val="superscript"/>
                    </w:rPr>
                    <w:t>3</w:t>
                  </w:r>
                  <w:r>
                    <w:rPr>
                      <w:rFonts w:hint="default" w:ascii="Times New Roman" w:hAnsi="Times New Roman" w:eastAsia="宋体" w:cs="Times New Roman"/>
                      <w:snapToGrid/>
                      <w:color w:val="auto"/>
                      <w:spacing w:val="0"/>
                      <w:kern w:val="0"/>
                      <w:position w:val="0"/>
                      <w:sz w:val="21"/>
                      <w:szCs w:val="21"/>
                    </w:rPr>
                    <w:t>）</w:t>
                  </w:r>
                </w:p>
              </w:tc>
            </w:tr>
            <w:tr w14:paraId="51BE2ABD">
              <w:tblPrEx>
                <w:tblCellMar>
                  <w:top w:w="0" w:type="dxa"/>
                  <w:left w:w="108" w:type="dxa"/>
                  <w:bottom w:w="0" w:type="dxa"/>
                  <w:right w:w="108" w:type="dxa"/>
                </w:tblCellMar>
              </w:tblPrEx>
              <w:trPr>
                <w:trHeight w:val="454" w:hRule="atLeast"/>
                <w:jc w:val="center"/>
              </w:trPr>
              <w:tc>
                <w:tcPr>
                  <w:tcW w:w="810" w:type="pct"/>
                  <w:vMerge w:val="continue"/>
                  <w:tcBorders>
                    <w:left w:val="single" w:color="000000" w:sz="4" w:space="0"/>
                    <w:bottom w:val="single" w:color="000000" w:sz="4" w:space="0"/>
                    <w:right w:val="single" w:color="000000" w:sz="4" w:space="0"/>
                  </w:tcBorders>
                  <w:noWrap w:val="0"/>
                  <w:vAlign w:val="center"/>
                </w:tcPr>
                <w:p w14:paraId="2B0E2418">
                  <w:pPr>
                    <w:keepNext w:val="0"/>
                    <w:keepLines w:val="0"/>
                    <w:pageBreakBefore w:val="0"/>
                    <w:kinsoku/>
                    <w:wordWrap/>
                    <w:overflowPunct/>
                    <w:topLinePunct w:val="0"/>
                    <w:bidi w:val="0"/>
                    <w:adjustRightInd w:val="0"/>
                    <w:snapToGrid w:val="0"/>
                    <w:spacing w:line="240" w:lineRule="atLeast"/>
                    <w:jc w:val="center"/>
                    <w:rPr>
                      <w:color w:val="auto"/>
                    </w:rPr>
                  </w:pPr>
                </w:p>
              </w:tc>
              <w:tc>
                <w:tcPr>
                  <w:tcW w:w="1179" w:type="pct"/>
                  <w:vMerge w:val="continue"/>
                  <w:tcBorders>
                    <w:left w:val="single" w:color="000000" w:sz="4" w:space="0"/>
                    <w:bottom w:val="single" w:color="000000" w:sz="4" w:space="0"/>
                    <w:right w:val="single" w:color="000000" w:sz="4" w:space="0"/>
                  </w:tcBorders>
                  <w:noWrap w:val="0"/>
                  <w:vAlign w:val="center"/>
                </w:tcPr>
                <w:p w14:paraId="675D0838">
                  <w:pPr>
                    <w:keepNext w:val="0"/>
                    <w:keepLines w:val="0"/>
                    <w:pageBreakBefore w:val="0"/>
                    <w:kinsoku/>
                    <w:wordWrap/>
                    <w:overflowPunct/>
                    <w:topLinePunct w:val="0"/>
                    <w:bidi w:val="0"/>
                    <w:adjustRightInd w:val="0"/>
                    <w:snapToGrid w:val="0"/>
                    <w:spacing w:line="240" w:lineRule="atLeast"/>
                    <w:jc w:val="center"/>
                    <w:rPr>
                      <w:color w:val="auto"/>
                    </w:rPr>
                  </w:pPr>
                </w:p>
              </w:tc>
              <w:tc>
                <w:tcPr>
                  <w:tcW w:w="1035" w:type="pct"/>
                  <w:tcBorders>
                    <w:top w:val="single" w:color="000000" w:sz="4" w:space="0"/>
                    <w:left w:val="single" w:color="000000" w:sz="4" w:space="0"/>
                    <w:bottom w:val="single" w:color="auto" w:sz="4" w:space="0"/>
                    <w:right w:val="single" w:color="000000" w:sz="4" w:space="0"/>
                  </w:tcBorders>
                  <w:noWrap w:val="0"/>
                  <w:vAlign w:val="center"/>
                </w:tcPr>
                <w:p w14:paraId="636F19C1">
                  <w:pPr>
                    <w:keepNext w:val="0"/>
                    <w:keepLines w:val="0"/>
                    <w:pageBreakBefore w:val="0"/>
                    <w:kinsoku/>
                    <w:wordWrap/>
                    <w:overflowPunct/>
                    <w:topLinePunct w:val="0"/>
                    <w:bidi w:val="0"/>
                    <w:adjustRightInd w:val="0"/>
                    <w:snapToGrid w:val="0"/>
                    <w:spacing w:line="240" w:lineRule="atLeast"/>
                    <w:jc w:val="center"/>
                    <w:rPr>
                      <w:rFonts w:hint="default" w:cs="Times New Roman"/>
                      <w:snapToGrid/>
                      <w:color w:val="auto"/>
                      <w:spacing w:val="0"/>
                      <w:kern w:val="0"/>
                      <w:position w:val="0"/>
                      <w:sz w:val="21"/>
                      <w:szCs w:val="21"/>
                      <w:lang w:val="en-US" w:eastAsia="zh-CN"/>
                    </w:rPr>
                  </w:pPr>
                  <w:r>
                    <w:rPr>
                      <w:rFonts w:hint="default" w:cs="Times New Roman"/>
                      <w:snapToGrid/>
                      <w:color w:val="auto"/>
                      <w:spacing w:val="0"/>
                      <w:kern w:val="0"/>
                      <w:position w:val="0"/>
                      <w:sz w:val="21"/>
                      <w:szCs w:val="21"/>
                      <w:lang w:val="en-US" w:eastAsia="zh-CN"/>
                    </w:rPr>
                    <w:t>排气筒</w:t>
                  </w:r>
                  <w:r>
                    <w:rPr>
                      <w:rFonts w:hint="eastAsia" w:cs="Times New Roman"/>
                      <w:snapToGrid/>
                      <w:color w:val="auto"/>
                      <w:spacing w:val="0"/>
                      <w:kern w:val="0"/>
                      <w:position w:val="0"/>
                      <w:sz w:val="21"/>
                      <w:szCs w:val="21"/>
                      <w:lang w:val="en-US" w:eastAsia="zh-CN"/>
                    </w:rPr>
                    <w:t>高度</w:t>
                  </w:r>
                </w:p>
              </w:tc>
              <w:tc>
                <w:tcPr>
                  <w:tcW w:w="1030" w:type="pct"/>
                  <w:tcBorders>
                    <w:top w:val="single" w:color="000000" w:sz="4" w:space="0"/>
                    <w:left w:val="single" w:color="000000" w:sz="4" w:space="0"/>
                    <w:bottom w:val="single" w:color="auto" w:sz="4" w:space="0"/>
                    <w:right w:val="single" w:color="000000" w:sz="4" w:space="0"/>
                  </w:tcBorders>
                  <w:noWrap w:val="0"/>
                  <w:vAlign w:val="center"/>
                </w:tcPr>
                <w:p w14:paraId="30212133">
                  <w:pPr>
                    <w:keepNext w:val="0"/>
                    <w:keepLines w:val="0"/>
                    <w:pageBreakBefore w:val="0"/>
                    <w:kinsoku/>
                    <w:wordWrap/>
                    <w:overflowPunct/>
                    <w:topLinePunct w:val="0"/>
                    <w:bidi w:val="0"/>
                    <w:adjustRightInd w:val="0"/>
                    <w:snapToGrid w:val="0"/>
                    <w:spacing w:line="240" w:lineRule="atLeast"/>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二级</w:t>
                  </w:r>
                </w:p>
              </w:tc>
              <w:tc>
                <w:tcPr>
                  <w:tcW w:w="943" w:type="pct"/>
                  <w:vMerge w:val="continue"/>
                  <w:tcBorders>
                    <w:left w:val="single" w:color="000000" w:sz="4" w:space="0"/>
                    <w:bottom w:val="single" w:color="auto" w:sz="4" w:space="0"/>
                    <w:right w:val="single" w:color="000000" w:sz="4" w:space="0"/>
                  </w:tcBorders>
                  <w:noWrap w:val="0"/>
                  <w:vAlign w:val="center"/>
                </w:tcPr>
                <w:p w14:paraId="09CE33A1">
                  <w:pPr>
                    <w:keepNext w:val="0"/>
                    <w:keepLines w:val="0"/>
                    <w:pageBreakBefore w:val="0"/>
                    <w:kinsoku/>
                    <w:wordWrap/>
                    <w:overflowPunct/>
                    <w:topLinePunct w:val="0"/>
                    <w:bidi w:val="0"/>
                    <w:adjustRightInd w:val="0"/>
                    <w:snapToGrid w:val="0"/>
                    <w:spacing w:line="240" w:lineRule="atLeast"/>
                    <w:jc w:val="center"/>
                    <w:rPr>
                      <w:rFonts w:hint="eastAsia" w:cs="Times New Roman"/>
                      <w:snapToGrid/>
                      <w:color w:val="auto"/>
                      <w:spacing w:val="0"/>
                      <w:kern w:val="0"/>
                      <w:position w:val="0"/>
                      <w:sz w:val="21"/>
                      <w:szCs w:val="21"/>
                      <w:lang w:val="en-US" w:eastAsia="zh-CN"/>
                    </w:rPr>
                  </w:pPr>
                </w:p>
              </w:tc>
            </w:tr>
            <w:tr w14:paraId="7C92E33E">
              <w:tblPrEx>
                <w:tblCellMar>
                  <w:top w:w="0" w:type="dxa"/>
                  <w:left w:w="108" w:type="dxa"/>
                  <w:bottom w:w="0" w:type="dxa"/>
                  <w:right w:w="108" w:type="dxa"/>
                </w:tblCellMar>
              </w:tblPrEx>
              <w:trPr>
                <w:trHeight w:val="454" w:hRule="atLeast"/>
                <w:jc w:val="center"/>
              </w:trPr>
              <w:tc>
                <w:tcPr>
                  <w:tcW w:w="810" w:type="pct"/>
                  <w:tcBorders>
                    <w:top w:val="single" w:color="000000" w:sz="4" w:space="0"/>
                    <w:left w:val="single" w:color="000000" w:sz="4" w:space="0"/>
                    <w:bottom w:val="single" w:color="000000" w:sz="4" w:space="0"/>
                    <w:right w:val="single" w:color="000000" w:sz="4" w:space="0"/>
                  </w:tcBorders>
                  <w:noWrap w:val="0"/>
                  <w:vAlign w:val="center"/>
                </w:tcPr>
                <w:p w14:paraId="08145115">
                  <w:pPr>
                    <w:keepNext w:val="0"/>
                    <w:keepLines w:val="0"/>
                    <w:pageBreakBefore w:val="0"/>
                    <w:kinsoku/>
                    <w:wordWrap/>
                    <w:overflowPunct/>
                    <w:topLinePunct w:val="0"/>
                    <w:bidi w:val="0"/>
                    <w:adjustRightInd w:val="0"/>
                    <w:snapToGrid w:val="0"/>
                    <w:spacing w:line="240" w:lineRule="atLeast"/>
                    <w:jc w:val="center"/>
                    <w:rPr>
                      <w:rFonts w:hint="eastAsia"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颗粒物</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375567B7">
                  <w:pPr>
                    <w:keepNext w:val="0"/>
                    <w:keepLines w:val="0"/>
                    <w:pageBreakBefore w:val="0"/>
                    <w:kinsoku/>
                    <w:wordWrap/>
                    <w:overflowPunct/>
                    <w:topLinePunct w:val="0"/>
                    <w:bidi w:val="0"/>
                    <w:adjustRightInd w:val="0"/>
                    <w:snapToGrid w:val="0"/>
                    <w:spacing w:line="240" w:lineRule="atLeast"/>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120</w:t>
                  </w:r>
                </w:p>
              </w:tc>
              <w:tc>
                <w:tcPr>
                  <w:tcW w:w="1035" w:type="pct"/>
                  <w:tcBorders>
                    <w:top w:val="single" w:color="auto" w:sz="4" w:space="0"/>
                    <w:left w:val="single" w:color="auto" w:sz="4" w:space="0"/>
                    <w:bottom w:val="single" w:color="auto" w:sz="4" w:space="0"/>
                    <w:right w:val="single" w:color="auto" w:sz="4" w:space="0"/>
                  </w:tcBorders>
                  <w:noWrap w:val="0"/>
                  <w:vAlign w:val="center"/>
                </w:tcPr>
                <w:p w14:paraId="7D22675A">
                  <w:pPr>
                    <w:keepNext w:val="0"/>
                    <w:keepLines w:val="0"/>
                    <w:pageBreakBefore w:val="0"/>
                    <w:kinsoku/>
                    <w:wordWrap/>
                    <w:overflowPunct/>
                    <w:topLinePunct w:val="0"/>
                    <w:bidi w:val="0"/>
                    <w:adjustRightInd w:val="0"/>
                    <w:snapToGrid w:val="0"/>
                    <w:spacing w:line="240" w:lineRule="atLeast"/>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15</w:t>
                  </w:r>
                </w:p>
              </w:tc>
              <w:tc>
                <w:tcPr>
                  <w:tcW w:w="1030" w:type="pct"/>
                  <w:tcBorders>
                    <w:top w:val="single" w:color="auto" w:sz="4" w:space="0"/>
                    <w:left w:val="single" w:color="auto" w:sz="4" w:space="0"/>
                    <w:bottom w:val="single" w:color="auto" w:sz="4" w:space="0"/>
                    <w:right w:val="single" w:color="auto" w:sz="4" w:space="0"/>
                  </w:tcBorders>
                  <w:noWrap w:val="0"/>
                  <w:vAlign w:val="center"/>
                </w:tcPr>
                <w:p w14:paraId="4BEA2966">
                  <w:pPr>
                    <w:keepNext w:val="0"/>
                    <w:keepLines w:val="0"/>
                    <w:pageBreakBefore w:val="0"/>
                    <w:kinsoku/>
                    <w:wordWrap/>
                    <w:overflowPunct/>
                    <w:topLinePunct w:val="0"/>
                    <w:bidi w:val="0"/>
                    <w:adjustRightInd w:val="0"/>
                    <w:snapToGrid w:val="0"/>
                    <w:spacing w:line="240" w:lineRule="atLeast"/>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3.5</w:t>
                  </w:r>
                </w:p>
              </w:tc>
              <w:tc>
                <w:tcPr>
                  <w:tcW w:w="943" w:type="pct"/>
                  <w:tcBorders>
                    <w:top w:val="single" w:color="auto" w:sz="4" w:space="0"/>
                    <w:left w:val="single" w:color="auto" w:sz="4" w:space="0"/>
                    <w:bottom w:val="single" w:color="auto" w:sz="4" w:space="0"/>
                    <w:right w:val="single" w:color="auto" w:sz="4" w:space="0"/>
                  </w:tcBorders>
                  <w:noWrap w:val="0"/>
                  <w:vAlign w:val="center"/>
                </w:tcPr>
                <w:p w14:paraId="78933B94">
                  <w:pPr>
                    <w:keepNext w:val="0"/>
                    <w:keepLines w:val="0"/>
                    <w:pageBreakBefore w:val="0"/>
                    <w:kinsoku/>
                    <w:wordWrap/>
                    <w:overflowPunct/>
                    <w:topLinePunct w:val="0"/>
                    <w:bidi w:val="0"/>
                    <w:adjustRightInd w:val="0"/>
                    <w:snapToGrid w:val="0"/>
                    <w:spacing w:line="240" w:lineRule="atLeast"/>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1.0</w:t>
                  </w:r>
                </w:p>
              </w:tc>
            </w:tr>
            <w:tr w14:paraId="7611E69B">
              <w:tblPrEx>
                <w:tblCellMar>
                  <w:top w:w="0" w:type="dxa"/>
                  <w:left w:w="108" w:type="dxa"/>
                  <w:bottom w:w="0" w:type="dxa"/>
                  <w:right w:w="108" w:type="dxa"/>
                </w:tblCellMar>
              </w:tblPrEx>
              <w:trPr>
                <w:trHeight w:val="454" w:hRule="atLeast"/>
                <w:jc w:val="center"/>
              </w:trPr>
              <w:tc>
                <w:tcPr>
                  <w:tcW w:w="810" w:type="pct"/>
                  <w:tcBorders>
                    <w:top w:val="single" w:color="000000" w:sz="4" w:space="0"/>
                    <w:left w:val="single" w:color="000000" w:sz="4" w:space="0"/>
                    <w:bottom w:val="single" w:color="000000" w:sz="4" w:space="0"/>
                    <w:right w:val="single" w:color="000000" w:sz="4" w:space="0"/>
                  </w:tcBorders>
                  <w:noWrap w:val="0"/>
                  <w:vAlign w:val="center"/>
                </w:tcPr>
                <w:p w14:paraId="754A5953">
                  <w:pPr>
                    <w:keepNext w:val="0"/>
                    <w:keepLines w:val="0"/>
                    <w:pageBreakBefore w:val="0"/>
                    <w:kinsoku/>
                    <w:wordWrap/>
                    <w:overflowPunct/>
                    <w:topLinePunct w:val="0"/>
                    <w:bidi w:val="0"/>
                    <w:adjustRightInd w:val="0"/>
                    <w:snapToGrid w:val="0"/>
                    <w:spacing w:line="240" w:lineRule="atLeast"/>
                    <w:jc w:val="center"/>
                    <w:rPr>
                      <w:rFonts w:hint="eastAsia"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非甲烷总烃</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6D5AAFA1">
                  <w:pPr>
                    <w:keepNext w:val="0"/>
                    <w:keepLines w:val="0"/>
                    <w:pageBreakBefore w:val="0"/>
                    <w:kinsoku/>
                    <w:wordWrap/>
                    <w:overflowPunct/>
                    <w:topLinePunct w:val="0"/>
                    <w:bidi w:val="0"/>
                    <w:adjustRightInd w:val="0"/>
                    <w:snapToGrid w:val="0"/>
                    <w:spacing w:line="240" w:lineRule="atLeast"/>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120</w:t>
                  </w:r>
                </w:p>
              </w:tc>
              <w:tc>
                <w:tcPr>
                  <w:tcW w:w="1035" w:type="pct"/>
                  <w:tcBorders>
                    <w:top w:val="single" w:color="auto" w:sz="4" w:space="0"/>
                    <w:left w:val="single" w:color="auto" w:sz="4" w:space="0"/>
                    <w:bottom w:val="single" w:color="auto" w:sz="4" w:space="0"/>
                    <w:right w:val="single" w:color="auto" w:sz="4" w:space="0"/>
                  </w:tcBorders>
                  <w:noWrap w:val="0"/>
                  <w:vAlign w:val="center"/>
                </w:tcPr>
                <w:p w14:paraId="5CEFA2CD">
                  <w:pPr>
                    <w:keepNext w:val="0"/>
                    <w:keepLines w:val="0"/>
                    <w:pageBreakBefore w:val="0"/>
                    <w:kinsoku/>
                    <w:wordWrap/>
                    <w:overflowPunct/>
                    <w:topLinePunct w:val="0"/>
                    <w:bidi w:val="0"/>
                    <w:adjustRightInd w:val="0"/>
                    <w:snapToGrid w:val="0"/>
                    <w:spacing w:line="240" w:lineRule="atLeast"/>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15</w:t>
                  </w:r>
                </w:p>
              </w:tc>
              <w:tc>
                <w:tcPr>
                  <w:tcW w:w="1030" w:type="pct"/>
                  <w:tcBorders>
                    <w:top w:val="single" w:color="auto" w:sz="4" w:space="0"/>
                    <w:left w:val="single" w:color="auto" w:sz="4" w:space="0"/>
                    <w:bottom w:val="single" w:color="auto" w:sz="4" w:space="0"/>
                    <w:right w:val="single" w:color="auto" w:sz="4" w:space="0"/>
                  </w:tcBorders>
                  <w:noWrap w:val="0"/>
                  <w:vAlign w:val="center"/>
                </w:tcPr>
                <w:p w14:paraId="6E6EEFCA">
                  <w:pPr>
                    <w:keepNext w:val="0"/>
                    <w:keepLines w:val="0"/>
                    <w:pageBreakBefore w:val="0"/>
                    <w:kinsoku/>
                    <w:wordWrap/>
                    <w:overflowPunct/>
                    <w:topLinePunct w:val="0"/>
                    <w:bidi w:val="0"/>
                    <w:adjustRightInd w:val="0"/>
                    <w:snapToGrid w:val="0"/>
                    <w:spacing w:line="240" w:lineRule="atLeast"/>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10</w:t>
                  </w:r>
                </w:p>
              </w:tc>
              <w:tc>
                <w:tcPr>
                  <w:tcW w:w="943" w:type="pct"/>
                  <w:tcBorders>
                    <w:top w:val="single" w:color="auto" w:sz="4" w:space="0"/>
                    <w:left w:val="single" w:color="auto" w:sz="4" w:space="0"/>
                    <w:bottom w:val="single" w:color="auto" w:sz="4" w:space="0"/>
                    <w:right w:val="single" w:color="auto" w:sz="4" w:space="0"/>
                  </w:tcBorders>
                  <w:noWrap w:val="0"/>
                  <w:vAlign w:val="center"/>
                </w:tcPr>
                <w:p w14:paraId="63CC257C">
                  <w:pPr>
                    <w:keepNext w:val="0"/>
                    <w:keepLines w:val="0"/>
                    <w:pageBreakBefore w:val="0"/>
                    <w:kinsoku/>
                    <w:wordWrap/>
                    <w:overflowPunct/>
                    <w:topLinePunct w:val="0"/>
                    <w:bidi w:val="0"/>
                    <w:adjustRightInd w:val="0"/>
                    <w:snapToGrid w:val="0"/>
                    <w:spacing w:line="240" w:lineRule="atLeast"/>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4.0</w:t>
                  </w:r>
                </w:p>
              </w:tc>
            </w:tr>
          </w:tbl>
          <w:p w14:paraId="732A503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snapToGrid/>
                <w:color w:val="auto"/>
                <w:spacing w:val="0"/>
                <w:kern w:val="0"/>
                <w:position w:val="0"/>
                <w:sz w:val="24"/>
                <w:szCs w:val="24"/>
                <w:lang w:eastAsia="zh-CN"/>
              </w:rPr>
            </w:pPr>
            <w:r>
              <w:rPr>
                <w:rFonts w:hint="default" w:ascii="Times New Roman" w:hAnsi="Times New Roman" w:eastAsia="宋体" w:cs="Times New Roman"/>
                <w:b/>
                <w:bCs/>
                <w:snapToGrid/>
                <w:color w:val="auto"/>
                <w:spacing w:val="0"/>
                <w:kern w:val="0"/>
                <w:position w:val="0"/>
                <w:sz w:val="24"/>
                <w:szCs w:val="24"/>
                <w:lang w:eastAsia="zh-CN"/>
              </w:rPr>
              <w:t>表</w:t>
            </w:r>
            <w:r>
              <w:rPr>
                <w:rFonts w:hint="default" w:ascii="Times New Roman" w:hAnsi="Times New Roman" w:eastAsia="宋体" w:cs="Times New Roman"/>
                <w:b/>
                <w:bCs/>
                <w:snapToGrid/>
                <w:color w:val="auto"/>
                <w:spacing w:val="0"/>
                <w:kern w:val="0"/>
                <w:position w:val="0"/>
                <w:sz w:val="24"/>
                <w:szCs w:val="24"/>
                <w:lang w:val="en-US" w:eastAsia="zh-CN"/>
              </w:rPr>
              <w:t>3.</w:t>
            </w:r>
            <w:r>
              <w:rPr>
                <w:rFonts w:hint="eastAsia" w:cs="Times New Roman"/>
                <w:b/>
                <w:bCs/>
                <w:snapToGrid/>
                <w:color w:val="auto"/>
                <w:spacing w:val="0"/>
                <w:kern w:val="0"/>
                <w:position w:val="0"/>
                <w:sz w:val="24"/>
                <w:szCs w:val="24"/>
                <w:lang w:val="en-US" w:eastAsia="zh-CN"/>
              </w:rPr>
              <w:t>7</w:t>
            </w:r>
            <w:r>
              <w:rPr>
                <w:rFonts w:hint="default" w:ascii="Times New Roman" w:hAnsi="Times New Roman" w:eastAsia="宋体" w:cs="Times New Roman"/>
                <w:b/>
                <w:bCs/>
                <w:snapToGrid/>
                <w:color w:val="auto"/>
                <w:spacing w:val="0"/>
                <w:kern w:val="0"/>
                <w:position w:val="0"/>
                <w:sz w:val="24"/>
                <w:szCs w:val="24"/>
                <w:lang w:val="en-US" w:eastAsia="zh-CN"/>
              </w:rPr>
              <w:t xml:space="preserve"> </w:t>
            </w:r>
            <w:r>
              <w:rPr>
                <w:rFonts w:hint="eastAsia" w:cs="Times New Roman"/>
                <w:b/>
                <w:bCs/>
                <w:snapToGrid/>
                <w:color w:val="auto"/>
                <w:spacing w:val="0"/>
                <w:kern w:val="0"/>
                <w:position w:val="0"/>
                <w:sz w:val="24"/>
                <w:szCs w:val="24"/>
                <w:lang w:val="en-US" w:eastAsia="zh-CN"/>
              </w:rPr>
              <w:t xml:space="preserve"> </w:t>
            </w:r>
            <w:r>
              <w:rPr>
                <w:rFonts w:hint="default" w:ascii="Times New Roman" w:hAnsi="Times New Roman" w:eastAsia="宋体" w:cs="Times New Roman"/>
                <w:b/>
                <w:bCs/>
                <w:snapToGrid/>
                <w:color w:val="auto"/>
                <w:spacing w:val="0"/>
                <w:kern w:val="0"/>
                <w:position w:val="0"/>
                <w:sz w:val="24"/>
                <w:szCs w:val="24"/>
                <w:lang w:val="en-US" w:eastAsia="zh-CN"/>
              </w:rPr>
              <w:t>《合成树脂工业污染物排放标准》（GB31572-2015）</w:t>
            </w:r>
          </w:p>
          <w:tbl>
            <w:tblPr>
              <w:tblStyle w:val="2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8"/>
              <w:gridCol w:w="1970"/>
              <w:gridCol w:w="2501"/>
              <w:gridCol w:w="2363"/>
            </w:tblGrid>
            <w:tr w14:paraId="09847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70" w:type="dxa"/>
                  <w:tcBorders>
                    <w:tl2br w:val="nil"/>
                    <w:tr2bl w:val="nil"/>
                  </w:tcBorders>
                  <w:noWrap w:val="0"/>
                  <w:vAlign w:val="center"/>
                </w:tcPr>
                <w:p w14:paraId="70211DEA">
                  <w:pPr>
                    <w:keepNext w:val="0"/>
                    <w:keepLines w:val="0"/>
                    <w:pageBreakBefore w:val="0"/>
                    <w:kinsoku/>
                    <w:wordWrap/>
                    <w:overflowPunct/>
                    <w:topLinePunct w:val="0"/>
                    <w:bidi w:val="0"/>
                    <w:adjustRightInd w:val="0"/>
                    <w:snapToGrid w:val="0"/>
                    <w:spacing w:line="240" w:lineRule="atLeast"/>
                    <w:jc w:val="center"/>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污染物</w:t>
                  </w:r>
                </w:p>
              </w:tc>
              <w:tc>
                <w:tcPr>
                  <w:tcW w:w="1972" w:type="dxa"/>
                  <w:tcBorders>
                    <w:tl2br w:val="nil"/>
                    <w:tr2bl w:val="nil"/>
                  </w:tcBorders>
                  <w:noWrap w:val="0"/>
                  <w:vAlign w:val="center"/>
                </w:tcPr>
                <w:p w14:paraId="7800AEC4">
                  <w:pPr>
                    <w:keepNext w:val="0"/>
                    <w:keepLines w:val="0"/>
                    <w:pageBreakBefore w:val="0"/>
                    <w:kinsoku/>
                    <w:wordWrap/>
                    <w:overflowPunct/>
                    <w:topLinePunct w:val="0"/>
                    <w:bidi w:val="0"/>
                    <w:adjustRightInd w:val="0"/>
                    <w:snapToGrid w:val="0"/>
                    <w:spacing w:line="240" w:lineRule="atLeast"/>
                    <w:jc w:val="center"/>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lang w:val="en-US" w:eastAsia="zh-CN"/>
                    </w:rPr>
                    <w:t>大气污染物排</w:t>
                  </w:r>
                  <w:r>
                    <w:rPr>
                      <w:rFonts w:hint="eastAsia" w:ascii="Times New Roman" w:hAnsi="Times New Roman" w:eastAsia="宋体" w:cs="Times New Roman"/>
                      <w:snapToGrid/>
                      <w:color w:val="auto"/>
                      <w:spacing w:val="0"/>
                      <w:kern w:val="0"/>
                      <w:position w:val="0"/>
                      <w:sz w:val="21"/>
                      <w:szCs w:val="21"/>
                      <w:lang w:val="en-US" w:eastAsia="zh-CN"/>
                    </w:rPr>
                    <w:t>放</w:t>
                  </w:r>
                  <w:r>
                    <w:rPr>
                      <w:rFonts w:hint="default" w:ascii="Times New Roman" w:hAnsi="Times New Roman" w:eastAsia="宋体" w:cs="Times New Roman"/>
                      <w:snapToGrid/>
                      <w:color w:val="auto"/>
                      <w:spacing w:val="0"/>
                      <w:kern w:val="0"/>
                      <w:position w:val="0"/>
                      <w:sz w:val="21"/>
                      <w:szCs w:val="21"/>
                      <w:lang w:val="en-US" w:eastAsia="zh-CN"/>
                    </w:rPr>
                    <w:t>限值</w:t>
                  </w:r>
                  <w:r>
                    <w:rPr>
                      <w:rFonts w:hint="default" w:ascii="Times New Roman" w:hAnsi="Times New Roman" w:eastAsia="宋体" w:cs="Times New Roman"/>
                      <w:snapToGrid/>
                      <w:color w:val="auto"/>
                      <w:spacing w:val="0"/>
                      <w:kern w:val="0"/>
                      <w:position w:val="0"/>
                      <w:sz w:val="21"/>
                      <w:szCs w:val="21"/>
                    </w:rPr>
                    <w:t>（mg/m</w:t>
                  </w:r>
                  <w:r>
                    <w:rPr>
                      <w:rFonts w:hint="default" w:ascii="Times New Roman" w:hAnsi="Times New Roman" w:eastAsia="宋体" w:cs="Times New Roman"/>
                      <w:snapToGrid/>
                      <w:color w:val="auto"/>
                      <w:spacing w:val="0"/>
                      <w:kern w:val="0"/>
                      <w:position w:val="0"/>
                      <w:sz w:val="21"/>
                      <w:szCs w:val="21"/>
                      <w:vertAlign w:val="superscript"/>
                    </w:rPr>
                    <w:t>3</w:t>
                  </w:r>
                  <w:r>
                    <w:rPr>
                      <w:rFonts w:hint="default" w:ascii="Times New Roman" w:hAnsi="Times New Roman" w:eastAsia="宋体" w:cs="Times New Roman"/>
                      <w:snapToGrid/>
                      <w:color w:val="auto"/>
                      <w:spacing w:val="0"/>
                      <w:kern w:val="0"/>
                      <w:position w:val="0"/>
                      <w:sz w:val="21"/>
                      <w:szCs w:val="21"/>
                    </w:rPr>
                    <w:t>）</w:t>
                  </w:r>
                </w:p>
              </w:tc>
              <w:tc>
                <w:tcPr>
                  <w:tcW w:w="2504" w:type="dxa"/>
                  <w:tcBorders>
                    <w:tl2br w:val="nil"/>
                    <w:tr2bl w:val="nil"/>
                  </w:tcBorders>
                  <w:noWrap w:val="0"/>
                  <w:vAlign w:val="center"/>
                </w:tcPr>
                <w:p w14:paraId="4BDCB97D">
                  <w:pPr>
                    <w:keepNext w:val="0"/>
                    <w:keepLines w:val="0"/>
                    <w:pageBreakBefore w:val="0"/>
                    <w:kinsoku/>
                    <w:wordWrap/>
                    <w:overflowPunct/>
                    <w:topLinePunct w:val="0"/>
                    <w:bidi w:val="0"/>
                    <w:adjustRightInd w:val="0"/>
                    <w:snapToGrid w:val="0"/>
                    <w:spacing w:line="240" w:lineRule="atLeast"/>
                    <w:jc w:val="center"/>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lang w:val="en-US" w:eastAsia="zh-CN"/>
                    </w:rPr>
                    <w:t>企业边界大气</w:t>
                  </w:r>
                  <w:r>
                    <w:rPr>
                      <w:rFonts w:hint="eastAsia" w:ascii="Times New Roman" w:hAnsi="Times New Roman" w:eastAsia="宋体" w:cs="Times New Roman"/>
                      <w:snapToGrid/>
                      <w:color w:val="auto"/>
                      <w:spacing w:val="0"/>
                      <w:kern w:val="0"/>
                      <w:position w:val="0"/>
                      <w:sz w:val="21"/>
                      <w:szCs w:val="21"/>
                      <w:lang w:val="en-US" w:eastAsia="zh-CN"/>
                    </w:rPr>
                    <w:t>污染物浓度限值</w:t>
                  </w:r>
                  <w:r>
                    <w:rPr>
                      <w:rFonts w:hint="default" w:ascii="Times New Roman" w:hAnsi="Times New Roman" w:eastAsia="宋体" w:cs="Times New Roman"/>
                      <w:snapToGrid/>
                      <w:color w:val="auto"/>
                      <w:spacing w:val="0"/>
                      <w:kern w:val="0"/>
                      <w:position w:val="0"/>
                      <w:sz w:val="21"/>
                      <w:szCs w:val="21"/>
                    </w:rPr>
                    <w:t>（mg/m</w:t>
                  </w:r>
                  <w:r>
                    <w:rPr>
                      <w:rFonts w:hint="default" w:ascii="Times New Roman" w:hAnsi="Times New Roman" w:eastAsia="宋体" w:cs="Times New Roman"/>
                      <w:snapToGrid/>
                      <w:color w:val="auto"/>
                      <w:spacing w:val="0"/>
                      <w:kern w:val="0"/>
                      <w:position w:val="0"/>
                      <w:sz w:val="21"/>
                      <w:szCs w:val="21"/>
                      <w:vertAlign w:val="superscript"/>
                    </w:rPr>
                    <w:t>3</w:t>
                  </w:r>
                  <w:r>
                    <w:rPr>
                      <w:rFonts w:hint="default" w:ascii="Times New Roman" w:hAnsi="Times New Roman" w:eastAsia="宋体" w:cs="Times New Roman"/>
                      <w:snapToGrid/>
                      <w:color w:val="auto"/>
                      <w:spacing w:val="0"/>
                      <w:kern w:val="0"/>
                      <w:position w:val="0"/>
                      <w:sz w:val="21"/>
                      <w:szCs w:val="21"/>
                    </w:rPr>
                    <w:t>）</w:t>
                  </w:r>
                </w:p>
              </w:tc>
              <w:tc>
                <w:tcPr>
                  <w:tcW w:w="2366" w:type="dxa"/>
                  <w:tcBorders>
                    <w:tl2br w:val="nil"/>
                    <w:tr2bl w:val="nil"/>
                  </w:tcBorders>
                  <w:noWrap w:val="0"/>
                  <w:vAlign w:val="center"/>
                </w:tcPr>
                <w:p w14:paraId="05AAB2F9">
                  <w:pPr>
                    <w:keepNext w:val="0"/>
                    <w:keepLines w:val="0"/>
                    <w:pageBreakBefore w:val="0"/>
                    <w:kinsoku/>
                    <w:wordWrap/>
                    <w:overflowPunct/>
                    <w:topLinePunct w:val="0"/>
                    <w:bidi w:val="0"/>
                    <w:adjustRightInd w:val="0"/>
                    <w:snapToGrid w:val="0"/>
                    <w:spacing w:line="240" w:lineRule="atLeast"/>
                    <w:jc w:val="center"/>
                    <w:rPr>
                      <w:rFonts w:hint="eastAsia" w:ascii="Times New Roman" w:hAnsi="Times New Roman" w:eastAsia="宋体" w:cs="Times New Roman"/>
                      <w:snapToGrid/>
                      <w:color w:val="auto"/>
                      <w:spacing w:val="0"/>
                      <w:kern w:val="0"/>
                      <w:position w:val="0"/>
                      <w:sz w:val="21"/>
                      <w:szCs w:val="21"/>
                      <w:lang w:eastAsia="zh-CN"/>
                    </w:rPr>
                  </w:pPr>
                  <w:r>
                    <w:rPr>
                      <w:rFonts w:hint="eastAsia" w:ascii="Times New Roman" w:hAnsi="Times New Roman" w:eastAsia="宋体" w:cs="Times New Roman"/>
                      <w:snapToGrid/>
                      <w:color w:val="auto"/>
                      <w:spacing w:val="0"/>
                      <w:kern w:val="0"/>
                      <w:position w:val="0"/>
                      <w:sz w:val="21"/>
                      <w:szCs w:val="21"/>
                      <w:lang w:eastAsia="zh-CN"/>
                    </w:rPr>
                    <w:t>标准来源</w:t>
                  </w:r>
                </w:p>
              </w:tc>
            </w:tr>
            <w:tr w14:paraId="19D7A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70" w:type="dxa"/>
                  <w:tcBorders>
                    <w:tl2br w:val="nil"/>
                    <w:tr2bl w:val="nil"/>
                  </w:tcBorders>
                  <w:shd w:val="clear" w:color="auto" w:fill="auto"/>
                  <w:noWrap w:val="0"/>
                  <w:vAlign w:val="center"/>
                </w:tcPr>
                <w:p w14:paraId="1984E7E9">
                  <w:pPr>
                    <w:keepNext w:val="0"/>
                    <w:keepLines w:val="0"/>
                    <w:pageBreakBefore w:val="0"/>
                    <w:kinsoku/>
                    <w:wordWrap/>
                    <w:overflowPunct/>
                    <w:topLinePunct w:val="0"/>
                    <w:bidi w:val="0"/>
                    <w:adjustRightInd w:val="0"/>
                    <w:snapToGrid w:val="0"/>
                    <w:spacing w:line="240" w:lineRule="atLeast"/>
                    <w:jc w:val="center"/>
                    <w:rPr>
                      <w:rFonts w:hint="eastAsia" w:ascii="Times New Roman" w:hAnsi="Times New Roman" w:eastAsia="宋体" w:cs="Times New Roman"/>
                      <w:snapToGrid/>
                      <w:color w:val="auto"/>
                      <w:spacing w:val="0"/>
                      <w:kern w:val="0"/>
                      <w:position w:val="0"/>
                      <w:sz w:val="21"/>
                      <w:szCs w:val="21"/>
                      <w:lang w:val="en-US" w:eastAsia="zh-CN" w:bidi="ar-SA"/>
                    </w:rPr>
                  </w:pPr>
                  <w:r>
                    <w:rPr>
                      <w:rFonts w:hint="eastAsia" w:ascii="Times New Roman" w:hAnsi="Times New Roman" w:eastAsia="宋体" w:cs="Times New Roman"/>
                      <w:snapToGrid/>
                      <w:color w:val="auto"/>
                      <w:spacing w:val="0"/>
                      <w:kern w:val="0"/>
                      <w:position w:val="0"/>
                      <w:sz w:val="21"/>
                      <w:szCs w:val="21"/>
                      <w:lang w:val="en-US" w:eastAsia="zh-CN"/>
                    </w:rPr>
                    <w:t>非甲烷总烃</w:t>
                  </w:r>
                </w:p>
              </w:tc>
              <w:tc>
                <w:tcPr>
                  <w:tcW w:w="1972" w:type="dxa"/>
                  <w:tcBorders>
                    <w:tl2br w:val="nil"/>
                    <w:tr2bl w:val="nil"/>
                  </w:tcBorders>
                  <w:shd w:val="clear" w:color="auto" w:fill="auto"/>
                  <w:noWrap w:val="0"/>
                  <w:vAlign w:val="center"/>
                </w:tcPr>
                <w:p w14:paraId="718C7046">
                  <w:pPr>
                    <w:keepNext w:val="0"/>
                    <w:keepLines w:val="0"/>
                    <w:pageBreakBefore w:val="0"/>
                    <w:kinsoku/>
                    <w:wordWrap/>
                    <w:overflowPunct/>
                    <w:topLinePunct w:val="0"/>
                    <w:bidi w:val="0"/>
                    <w:adjustRightInd w:val="0"/>
                    <w:snapToGrid w:val="0"/>
                    <w:spacing w:line="240" w:lineRule="atLeast"/>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eastAsia" w:ascii="Times New Roman" w:hAnsi="Times New Roman" w:eastAsia="宋体" w:cs="Times New Roman"/>
                      <w:snapToGrid/>
                      <w:color w:val="auto"/>
                      <w:spacing w:val="0"/>
                      <w:kern w:val="0"/>
                      <w:position w:val="0"/>
                      <w:sz w:val="21"/>
                      <w:szCs w:val="21"/>
                      <w:lang w:val="en-US" w:eastAsia="zh-CN"/>
                    </w:rPr>
                    <w:t>60</w:t>
                  </w:r>
                </w:p>
              </w:tc>
              <w:tc>
                <w:tcPr>
                  <w:tcW w:w="2504" w:type="dxa"/>
                  <w:tcBorders>
                    <w:tl2br w:val="nil"/>
                    <w:tr2bl w:val="nil"/>
                  </w:tcBorders>
                  <w:shd w:val="clear" w:color="auto" w:fill="auto"/>
                  <w:noWrap w:val="0"/>
                  <w:vAlign w:val="center"/>
                </w:tcPr>
                <w:p w14:paraId="75C1B875">
                  <w:pPr>
                    <w:keepNext w:val="0"/>
                    <w:keepLines w:val="0"/>
                    <w:pageBreakBefore w:val="0"/>
                    <w:kinsoku/>
                    <w:wordWrap/>
                    <w:overflowPunct/>
                    <w:topLinePunct w:val="0"/>
                    <w:bidi w:val="0"/>
                    <w:adjustRightInd w:val="0"/>
                    <w:snapToGrid w:val="0"/>
                    <w:spacing w:line="240" w:lineRule="atLeast"/>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eastAsia" w:ascii="Times New Roman" w:hAnsi="Times New Roman" w:eastAsia="宋体" w:cs="Times New Roman"/>
                      <w:snapToGrid/>
                      <w:color w:val="auto"/>
                      <w:spacing w:val="0"/>
                      <w:kern w:val="0"/>
                      <w:position w:val="0"/>
                      <w:sz w:val="21"/>
                      <w:szCs w:val="21"/>
                      <w:lang w:val="en-US" w:eastAsia="zh-CN"/>
                    </w:rPr>
                    <w:t>4.0</w:t>
                  </w:r>
                </w:p>
              </w:tc>
              <w:tc>
                <w:tcPr>
                  <w:tcW w:w="2366" w:type="dxa"/>
                  <w:tcBorders>
                    <w:tl2br w:val="nil"/>
                    <w:tr2bl w:val="nil"/>
                  </w:tcBorders>
                  <w:noWrap w:val="0"/>
                  <w:vAlign w:val="center"/>
                </w:tcPr>
                <w:p w14:paraId="6DF15315">
                  <w:pPr>
                    <w:keepNext w:val="0"/>
                    <w:keepLines w:val="0"/>
                    <w:pageBreakBefore w:val="0"/>
                    <w:kinsoku/>
                    <w:wordWrap/>
                    <w:overflowPunct/>
                    <w:topLinePunct w:val="0"/>
                    <w:bidi w:val="0"/>
                    <w:adjustRightInd w:val="0"/>
                    <w:snapToGrid w:val="0"/>
                    <w:spacing w:line="240" w:lineRule="atLeast"/>
                    <w:jc w:val="center"/>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lang w:val="en-US" w:eastAsia="zh-CN"/>
                    </w:rPr>
                    <w:t>《合成树脂工业污染物排放标准》（GB</w:t>
                  </w:r>
                  <w:r>
                    <w:rPr>
                      <w:rFonts w:hint="eastAsia" w:ascii="Times New Roman" w:hAnsi="Times New Roman" w:eastAsia="宋体" w:cs="Times New Roman"/>
                      <w:snapToGrid/>
                      <w:color w:val="auto"/>
                      <w:spacing w:val="0"/>
                      <w:kern w:val="0"/>
                      <w:position w:val="0"/>
                      <w:sz w:val="21"/>
                      <w:szCs w:val="21"/>
                      <w:lang w:val="en-US" w:eastAsia="zh-CN"/>
                    </w:rPr>
                    <w:t>31572</w:t>
                  </w:r>
                  <w:r>
                    <w:rPr>
                      <w:rFonts w:hint="default" w:ascii="Times New Roman" w:hAnsi="Times New Roman" w:eastAsia="宋体" w:cs="Times New Roman"/>
                      <w:snapToGrid/>
                      <w:color w:val="auto"/>
                      <w:spacing w:val="0"/>
                      <w:kern w:val="0"/>
                      <w:position w:val="0"/>
                      <w:sz w:val="21"/>
                      <w:szCs w:val="21"/>
                      <w:lang w:val="en-US" w:eastAsia="zh-CN"/>
                    </w:rPr>
                    <w:t>-</w:t>
                  </w:r>
                  <w:r>
                    <w:rPr>
                      <w:rFonts w:hint="eastAsia" w:ascii="Times New Roman" w:hAnsi="Times New Roman" w:eastAsia="宋体" w:cs="Times New Roman"/>
                      <w:snapToGrid/>
                      <w:color w:val="auto"/>
                      <w:spacing w:val="0"/>
                      <w:kern w:val="0"/>
                      <w:position w:val="0"/>
                      <w:sz w:val="21"/>
                      <w:szCs w:val="21"/>
                      <w:lang w:val="en-US" w:eastAsia="zh-CN"/>
                    </w:rPr>
                    <w:t>2015</w:t>
                  </w:r>
                  <w:r>
                    <w:rPr>
                      <w:rFonts w:hint="default" w:ascii="Times New Roman" w:hAnsi="Times New Roman" w:eastAsia="宋体" w:cs="Times New Roman"/>
                      <w:snapToGrid/>
                      <w:color w:val="auto"/>
                      <w:spacing w:val="0"/>
                      <w:kern w:val="0"/>
                      <w:position w:val="0"/>
                      <w:sz w:val="21"/>
                      <w:szCs w:val="21"/>
                      <w:lang w:val="en-US" w:eastAsia="zh-CN"/>
                    </w:rPr>
                    <w:t>）</w:t>
                  </w:r>
                </w:p>
              </w:tc>
            </w:tr>
          </w:tbl>
          <w:p w14:paraId="1F18D479">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jc w:val="center"/>
              <w:textAlignment w:val="auto"/>
              <w:rPr>
                <w:rFonts w:hint="default" w:ascii="Times New Roman" w:hAnsi="Times New Roman" w:eastAsia="宋体" w:cs="Times New Roman"/>
                <w:snapToGrid/>
                <w:color w:val="auto"/>
                <w:spacing w:val="0"/>
                <w:kern w:val="0"/>
                <w:position w:val="0"/>
                <w:sz w:val="24"/>
                <w:szCs w:val="24"/>
                <w:lang w:eastAsia="zh-CN"/>
              </w:rPr>
            </w:pPr>
            <w:r>
              <w:rPr>
                <w:rFonts w:hint="default" w:ascii="Times New Roman" w:hAnsi="Times New Roman" w:eastAsia="宋体" w:cs="Times New Roman"/>
                <w:b/>
                <w:bCs/>
                <w:snapToGrid/>
                <w:color w:val="auto"/>
                <w:spacing w:val="0"/>
                <w:kern w:val="0"/>
                <w:position w:val="0"/>
                <w:sz w:val="24"/>
                <w:szCs w:val="24"/>
                <w:lang w:eastAsia="zh-CN"/>
              </w:rPr>
              <w:t>表</w:t>
            </w:r>
            <w:r>
              <w:rPr>
                <w:rFonts w:hint="default" w:ascii="Times New Roman" w:hAnsi="Times New Roman" w:eastAsia="宋体" w:cs="Times New Roman"/>
                <w:b/>
                <w:bCs/>
                <w:snapToGrid/>
                <w:color w:val="auto"/>
                <w:spacing w:val="0"/>
                <w:kern w:val="0"/>
                <w:position w:val="0"/>
                <w:sz w:val="24"/>
                <w:szCs w:val="24"/>
                <w:lang w:val="en-US" w:eastAsia="zh-CN"/>
              </w:rPr>
              <w:t>3.</w:t>
            </w:r>
            <w:r>
              <w:rPr>
                <w:rFonts w:hint="eastAsia" w:cs="Times New Roman"/>
                <w:b/>
                <w:bCs/>
                <w:snapToGrid/>
                <w:color w:val="auto"/>
                <w:spacing w:val="0"/>
                <w:kern w:val="0"/>
                <w:position w:val="0"/>
                <w:sz w:val="24"/>
                <w:szCs w:val="24"/>
                <w:lang w:val="en-US" w:eastAsia="zh-CN"/>
              </w:rPr>
              <w:t>8</w:t>
            </w:r>
            <w:r>
              <w:rPr>
                <w:rFonts w:hint="default" w:ascii="Times New Roman" w:hAnsi="Times New Roman" w:eastAsia="宋体" w:cs="Times New Roman"/>
                <w:b/>
                <w:bCs/>
                <w:snapToGrid/>
                <w:color w:val="auto"/>
                <w:spacing w:val="0"/>
                <w:kern w:val="0"/>
                <w:position w:val="0"/>
                <w:sz w:val="24"/>
                <w:szCs w:val="24"/>
                <w:lang w:val="en-US" w:eastAsia="zh-CN"/>
              </w:rPr>
              <w:t xml:space="preserve"> </w:t>
            </w:r>
            <w:r>
              <w:rPr>
                <w:rFonts w:hint="eastAsia" w:cs="Times New Roman"/>
                <w:b/>
                <w:bCs/>
                <w:snapToGrid/>
                <w:color w:val="auto"/>
                <w:spacing w:val="0"/>
                <w:kern w:val="0"/>
                <w:position w:val="0"/>
                <w:sz w:val="24"/>
                <w:szCs w:val="24"/>
                <w:lang w:val="en-US" w:eastAsia="zh-CN"/>
              </w:rPr>
              <w:t xml:space="preserve"> 《固定源挥发性有机物综合排放标准 第六部分：其他行业》（DB34/4812.6-2024）</w:t>
            </w:r>
          </w:p>
          <w:tbl>
            <w:tblPr>
              <w:tblStyle w:val="22"/>
              <w:tblW w:w="5000" w:type="pct"/>
              <w:jc w:val="center"/>
              <w:tblLayout w:type="fixed"/>
              <w:tblCellMar>
                <w:top w:w="0" w:type="dxa"/>
                <w:left w:w="108" w:type="dxa"/>
                <w:bottom w:w="0" w:type="dxa"/>
                <w:right w:w="108" w:type="dxa"/>
              </w:tblCellMar>
            </w:tblPr>
            <w:tblGrid>
              <w:gridCol w:w="1871"/>
              <w:gridCol w:w="1873"/>
              <w:gridCol w:w="1071"/>
              <w:gridCol w:w="1733"/>
              <w:gridCol w:w="1664"/>
            </w:tblGrid>
            <w:tr w14:paraId="489A0D7E">
              <w:tblPrEx>
                <w:tblCellMar>
                  <w:top w:w="0" w:type="dxa"/>
                  <w:left w:w="108" w:type="dxa"/>
                  <w:bottom w:w="0" w:type="dxa"/>
                  <w:right w:w="108" w:type="dxa"/>
                </w:tblCellMar>
              </w:tblPrEx>
              <w:trPr>
                <w:trHeight w:val="454" w:hRule="atLeast"/>
                <w:jc w:val="center"/>
              </w:trPr>
              <w:tc>
                <w:tcPr>
                  <w:tcW w:w="1871" w:type="dxa"/>
                  <w:tcBorders>
                    <w:top w:val="single" w:color="000000" w:sz="4" w:space="0"/>
                    <w:left w:val="single" w:color="000000" w:sz="4" w:space="0"/>
                    <w:bottom w:val="single" w:color="000000" w:sz="4" w:space="0"/>
                    <w:right w:val="single" w:color="000000" w:sz="4" w:space="0"/>
                  </w:tcBorders>
                  <w:noWrap w:val="0"/>
                  <w:vAlign w:val="center"/>
                </w:tcPr>
                <w:p w14:paraId="28B547BB">
                  <w:pPr>
                    <w:keepNext w:val="0"/>
                    <w:keepLines w:val="0"/>
                    <w:pageBreakBefore w:val="0"/>
                    <w:kinsoku/>
                    <w:wordWrap/>
                    <w:overflowPunct/>
                    <w:topLinePunct w:val="0"/>
                    <w:bidi w:val="0"/>
                    <w:adjustRightInd w:val="0"/>
                    <w:snapToGrid w:val="0"/>
                    <w:spacing w:line="240" w:lineRule="atLeast"/>
                    <w:jc w:val="center"/>
                    <w:rPr>
                      <w:rFonts w:hint="eastAsia" w:ascii="Times New Roman" w:hAnsi="Times New Roman" w:eastAsia="宋体" w:cs="Times New Roman"/>
                      <w:snapToGrid/>
                      <w:color w:val="auto"/>
                      <w:spacing w:val="0"/>
                      <w:kern w:val="0"/>
                      <w:position w:val="0"/>
                      <w:sz w:val="21"/>
                      <w:szCs w:val="21"/>
                      <w:lang w:eastAsia="zh-CN"/>
                    </w:rPr>
                  </w:pPr>
                  <w:r>
                    <w:rPr>
                      <w:rFonts w:hint="eastAsia" w:ascii="Times New Roman" w:hAnsi="Times New Roman" w:eastAsia="宋体" w:cs="Times New Roman"/>
                      <w:snapToGrid/>
                      <w:color w:val="auto"/>
                      <w:spacing w:val="0"/>
                      <w:kern w:val="0"/>
                      <w:position w:val="0"/>
                      <w:sz w:val="21"/>
                      <w:szCs w:val="21"/>
                      <w:lang w:eastAsia="zh-CN"/>
                    </w:rPr>
                    <w:t>行业</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14:paraId="7094792F">
                  <w:pPr>
                    <w:keepNext w:val="0"/>
                    <w:keepLines w:val="0"/>
                    <w:pageBreakBefore w:val="0"/>
                    <w:kinsoku/>
                    <w:wordWrap/>
                    <w:overflowPunct/>
                    <w:topLinePunct w:val="0"/>
                    <w:bidi w:val="0"/>
                    <w:adjustRightInd w:val="0"/>
                    <w:snapToGrid w:val="0"/>
                    <w:spacing w:line="240" w:lineRule="atLeast"/>
                    <w:jc w:val="center"/>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工艺设施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69A6000B">
                  <w:pPr>
                    <w:keepNext w:val="0"/>
                    <w:keepLines w:val="0"/>
                    <w:pageBreakBefore w:val="0"/>
                    <w:kinsoku/>
                    <w:wordWrap/>
                    <w:overflowPunct/>
                    <w:topLinePunct w:val="0"/>
                    <w:bidi w:val="0"/>
                    <w:adjustRightInd w:val="0"/>
                    <w:snapToGrid w:val="0"/>
                    <w:spacing w:line="240" w:lineRule="atLeast"/>
                    <w:jc w:val="center"/>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污染物</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45CFA283">
                  <w:pPr>
                    <w:keepNext w:val="0"/>
                    <w:keepLines w:val="0"/>
                    <w:pageBreakBefore w:val="0"/>
                    <w:kinsoku/>
                    <w:wordWrap/>
                    <w:overflowPunct/>
                    <w:topLinePunct w:val="0"/>
                    <w:bidi w:val="0"/>
                    <w:adjustRightInd w:val="0"/>
                    <w:snapToGrid w:val="0"/>
                    <w:spacing w:line="240" w:lineRule="atLeast"/>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最高允许排放浓度</w:t>
                  </w:r>
                  <w:r>
                    <w:rPr>
                      <w:rFonts w:hint="default" w:ascii="Times New Roman" w:hAnsi="Times New Roman" w:eastAsia="宋体" w:cs="Times New Roman"/>
                      <w:snapToGrid/>
                      <w:color w:val="auto"/>
                      <w:spacing w:val="0"/>
                      <w:kern w:val="0"/>
                      <w:position w:val="0"/>
                      <w:sz w:val="21"/>
                      <w:szCs w:val="21"/>
                    </w:rPr>
                    <w:t>（mg/m</w:t>
                  </w:r>
                  <w:r>
                    <w:rPr>
                      <w:rFonts w:hint="default" w:ascii="Times New Roman" w:hAnsi="Times New Roman" w:eastAsia="宋体" w:cs="Times New Roman"/>
                      <w:snapToGrid/>
                      <w:color w:val="auto"/>
                      <w:spacing w:val="0"/>
                      <w:kern w:val="0"/>
                      <w:position w:val="0"/>
                      <w:sz w:val="21"/>
                      <w:szCs w:val="21"/>
                      <w:vertAlign w:val="superscript"/>
                    </w:rPr>
                    <w:t>3</w:t>
                  </w:r>
                  <w:r>
                    <w:rPr>
                      <w:rFonts w:hint="default" w:ascii="Times New Roman" w:hAnsi="Times New Roman" w:eastAsia="宋体" w:cs="Times New Roman"/>
                      <w:snapToGrid/>
                      <w:color w:val="auto"/>
                      <w:spacing w:val="0"/>
                      <w:kern w:val="0"/>
                      <w:position w:val="0"/>
                      <w:sz w:val="21"/>
                      <w:szCs w:val="21"/>
                    </w:rPr>
                    <w:t>）</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14:paraId="3C3B178D">
                  <w:pPr>
                    <w:keepNext w:val="0"/>
                    <w:keepLines w:val="0"/>
                    <w:pageBreakBefore w:val="0"/>
                    <w:kinsoku/>
                    <w:wordWrap/>
                    <w:overflowPunct/>
                    <w:topLinePunct w:val="0"/>
                    <w:bidi w:val="0"/>
                    <w:adjustRightInd w:val="0"/>
                    <w:snapToGrid w:val="0"/>
                    <w:spacing w:line="240" w:lineRule="atLeast"/>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最高允许排放速率（kg/h）</w:t>
                  </w:r>
                </w:p>
              </w:tc>
            </w:tr>
            <w:tr w14:paraId="47E27D1F">
              <w:tblPrEx>
                <w:tblCellMar>
                  <w:top w:w="0" w:type="dxa"/>
                  <w:left w:w="108" w:type="dxa"/>
                  <w:bottom w:w="0" w:type="dxa"/>
                  <w:right w:w="108" w:type="dxa"/>
                </w:tblCellMar>
              </w:tblPrEx>
              <w:trPr>
                <w:trHeight w:val="454" w:hRule="atLeast"/>
                <w:jc w:val="center"/>
              </w:trPr>
              <w:tc>
                <w:tcPr>
                  <w:tcW w:w="1871" w:type="dxa"/>
                  <w:tcBorders>
                    <w:top w:val="single" w:color="000000" w:sz="4" w:space="0"/>
                    <w:left w:val="single" w:color="000000" w:sz="4" w:space="0"/>
                    <w:bottom w:val="single" w:color="000000" w:sz="4" w:space="0"/>
                    <w:right w:val="single" w:color="000000" w:sz="4" w:space="0"/>
                  </w:tcBorders>
                  <w:noWrap w:val="0"/>
                  <w:vAlign w:val="center"/>
                </w:tcPr>
                <w:p w14:paraId="560BC581">
                  <w:pPr>
                    <w:keepNext w:val="0"/>
                    <w:keepLines w:val="0"/>
                    <w:pageBreakBefore w:val="0"/>
                    <w:kinsoku/>
                    <w:wordWrap/>
                    <w:overflowPunct/>
                    <w:topLinePunct w:val="0"/>
                    <w:bidi w:val="0"/>
                    <w:adjustRightInd w:val="0"/>
                    <w:snapToGrid w:val="0"/>
                    <w:spacing w:line="240" w:lineRule="atLeast"/>
                    <w:jc w:val="center"/>
                    <w:rPr>
                      <w:rFonts w:hint="eastAsia" w:ascii="Times New Roman" w:hAnsi="Times New Roman" w:eastAsia="宋体" w:cs="Times New Roman"/>
                      <w:snapToGrid/>
                      <w:color w:val="auto"/>
                      <w:spacing w:val="0"/>
                      <w:kern w:val="0"/>
                      <w:position w:val="0"/>
                      <w:sz w:val="21"/>
                      <w:szCs w:val="21"/>
                      <w:lang w:val="en-US" w:eastAsia="zh-CN"/>
                    </w:rPr>
                  </w:pPr>
                  <w:r>
                    <w:rPr>
                      <w:rFonts w:hint="eastAsia" w:ascii="Times New Roman" w:hAnsi="Times New Roman" w:eastAsia="宋体" w:cs="Times New Roman"/>
                      <w:snapToGrid/>
                      <w:color w:val="auto"/>
                      <w:spacing w:val="0"/>
                      <w:kern w:val="0"/>
                      <w:position w:val="0"/>
                      <w:sz w:val="21"/>
                      <w:szCs w:val="21"/>
                      <w:lang w:val="en-US" w:eastAsia="zh-CN"/>
                    </w:rPr>
                    <w:t>其他涉表面涂装工序的工业</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14:paraId="62FF1D94">
                  <w:pPr>
                    <w:keepNext w:val="0"/>
                    <w:keepLines w:val="0"/>
                    <w:pageBreakBefore w:val="0"/>
                    <w:kinsoku/>
                    <w:wordWrap/>
                    <w:overflowPunct/>
                    <w:topLinePunct w:val="0"/>
                    <w:bidi w:val="0"/>
                    <w:adjustRightInd w:val="0"/>
                    <w:snapToGrid w:val="0"/>
                    <w:spacing w:line="240" w:lineRule="atLeast"/>
                    <w:jc w:val="center"/>
                    <w:rPr>
                      <w:rFonts w:hint="eastAsia" w:ascii="Times New Roman" w:hAnsi="Times New Roman" w:eastAsia="宋体" w:cs="Times New Roman"/>
                      <w:snapToGrid/>
                      <w:color w:val="auto"/>
                      <w:spacing w:val="0"/>
                      <w:kern w:val="0"/>
                      <w:position w:val="0"/>
                      <w:sz w:val="21"/>
                      <w:szCs w:val="21"/>
                      <w:lang w:val="en-US" w:eastAsia="zh-CN"/>
                    </w:rPr>
                  </w:pPr>
                  <w:r>
                    <w:rPr>
                      <w:rFonts w:hint="eastAsia" w:ascii="Times New Roman" w:hAnsi="Times New Roman" w:eastAsia="宋体" w:cs="Times New Roman"/>
                      <w:snapToGrid/>
                      <w:color w:val="auto"/>
                      <w:spacing w:val="0"/>
                      <w:kern w:val="0"/>
                      <w:position w:val="0"/>
                      <w:sz w:val="21"/>
                      <w:szCs w:val="21"/>
                      <w:lang w:val="en-US" w:eastAsia="zh-CN"/>
                    </w:rPr>
                    <w:t>底漆、喷漆、补漆、烘干等</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2E301153">
                  <w:pPr>
                    <w:keepNext w:val="0"/>
                    <w:keepLines w:val="0"/>
                    <w:pageBreakBefore w:val="0"/>
                    <w:kinsoku/>
                    <w:wordWrap/>
                    <w:overflowPunct/>
                    <w:topLinePunct w:val="0"/>
                    <w:bidi w:val="0"/>
                    <w:adjustRightInd w:val="0"/>
                    <w:snapToGrid w:val="0"/>
                    <w:spacing w:line="240" w:lineRule="atLeast"/>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ascii="Times New Roman" w:hAnsi="Times New Roman" w:eastAsia="宋体" w:cs="Times New Roman"/>
                      <w:snapToGrid/>
                      <w:color w:val="auto"/>
                      <w:spacing w:val="0"/>
                      <w:kern w:val="0"/>
                      <w:position w:val="0"/>
                      <w:sz w:val="21"/>
                      <w:szCs w:val="21"/>
                      <w:lang w:val="en-US" w:eastAsia="zh-CN"/>
                    </w:rPr>
                    <w:t>NMHC</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30572B53">
                  <w:pPr>
                    <w:keepNext w:val="0"/>
                    <w:keepLines w:val="0"/>
                    <w:pageBreakBefore w:val="0"/>
                    <w:kinsoku/>
                    <w:wordWrap/>
                    <w:overflowPunct/>
                    <w:topLinePunct w:val="0"/>
                    <w:bidi w:val="0"/>
                    <w:adjustRightInd w:val="0"/>
                    <w:snapToGrid w:val="0"/>
                    <w:spacing w:line="240" w:lineRule="atLeast"/>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70</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14:paraId="5A81A173">
                  <w:pPr>
                    <w:keepNext w:val="0"/>
                    <w:keepLines w:val="0"/>
                    <w:pageBreakBefore w:val="0"/>
                    <w:kinsoku/>
                    <w:wordWrap/>
                    <w:overflowPunct/>
                    <w:topLinePunct w:val="0"/>
                    <w:bidi w:val="0"/>
                    <w:adjustRightInd w:val="0"/>
                    <w:snapToGrid w:val="0"/>
                    <w:spacing w:line="240" w:lineRule="atLeast"/>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3.0</w:t>
                  </w:r>
                </w:p>
              </w:tc>
            </w:tr>
          </w:tbl>
          <w:p w14:paraId="6B272AD0">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14"/>
              <w:jc w:val="center"/>
              <w:textAlignment w:val="auto"/>
              <w:rPr>
                <w:rFonts w:hint="eastAsia" w:ascii="Times New Roman" w:hAnsi="Times New Roman" w:eastAsia="宋体" w:cs="Times New Roman"/>
                <w:b/>
                <w:bCs/>
                <w:color w:val="auto"/>
                <w:sz w:val="24"/>
                <w:szCs w:val="24"/>
                <w:lang w:eastAsia="zh-CN"/>
              </w:rPr>
            </w:pPr>
            <w:r>
              <w:rPr>
                <w:rFonts w:hint="default" w:ascii="Times New Roman" w:hAnsi="Times New Roman" w:cs="Times New Roman"/>
                <w:b/>
                <w:bCs/>
                <w:color w:val="auto"/>
                <w:sz w:val="24"/>
                <w:szCs w:val="24"/>
              </w:rPr>
              <w:t>表</w:t>
            </w:r>
            <w:r>
              <w:rPr>
                <w:rFonts w:hint="eastAsia" w:ascii="Times New Roman" w:hAnsi="Times New Roman" w:cs="Times New Roman"/>
                <w:b/>
                <w:bCs/>
                <w:color w:val="auto"/>
                <w:sz w:val="24"/>
                <w:szCs w:val="24"/>
                <w:lang w:val="en-US" w:eastAsia="zh-CN"/>
              </w:rPr>
              <w:t>3.</w:t>
            </w:r>
            <w:r>
              <w:rPr>
                <w:rFonts w:hint="eastAsia" w:cs="Times New Roman"/>
                <w:b/>
                <w:bCs/>
                <w:color w:val="auto"/>
                <w:sz w:val="24"/>
                <w:szCs w:val="24"/>
                <w:lang w:val="en-US" w:eastAsia="zh-CN"/>
              </w:rPr>
              <w:t>9</w:t>
            </w:r>
            <w:r>
              <w:rPr>
                <w:rFonts w:hint="eastAsia" w:ascii="Times New Roman" w:hAnsi="Times New Roman" w:cs="Times New Roman"/>
                <w:b/>
                <w:bCs/>
                <w:color w:val="auto"/>
                <w:sz w:val="24"/>
                <w:szCs w:val="24"/>
                <w:lang w:val="en-US" w:eastAsia="zh-CN"/>
              </w:rPr>
              <w:t xml:space="preserve"> </w:t>
            </w:r>
            <w:r>
              <w:rPr>
                <w:rFonts w:hint="default" w:ascii="Times New Roman" w:hAnsi="Times New Roman" w:cs="Times New Roman"/>
                <w:b/>
                <w:bCs/>
                <w:color w:val="auto"/>
                <w:sz w:val="24"/>
                <w:szCs w:val="24"/>
              </w:rPr>
              <w:t xml:space="preserve"> 恶臭污染物</w:t>
            </w:r>
            <w:r>
              <w:rPr>
                <w:rFonts w:hint="eastAsia" w:ascii="Times New Roman" w:hAnsi="Times New Roman" w:cs="Times New Roman"/>
                <w:b/>
                <w:bCs/>
                <w:color w:val="auto"/>
                <w:sz w:val="24"/>
                <w:szCs w:val="24"/>
                <w:lang w:eastAsia="zh-CN"/>
              </w:rPr>
              <w:t>排放标准</w:t>
            </w:r>
            <w:r>
              <w:rPr>
                <w:rFonts w:hint="default" w:ascii="Times New Roman" w:hAnsi="Times New Roman" w:eastAsia="宋体" w:cs="Times New Roman"/>
                <w:b/>
                <w:color w:val="auto"/>
                <w:kern w:val="0"/>
                <w:sz w:val="24"/>
              </w:rPr>
              <w:t xml:space="preserve"> 单位：mg/m³</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57"/>
              <w:gridCol w:w="1850"/>
              <w:gridCol w:w="2073"/>
              <w:gridCol w:w="2622"/>
            </w:tblGrid>
            <w:tr w14:paraId="6DA1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271" w:type="dxa"/>
                  <w:vMerge w:val="restart"/>
                  <w:tcBorders>
                    <w:tl2br w:val="nil"/>
                    <w:tr2bl w:val="nil"/>
                  </w:tcBorders>
                  <w:noWrap w:val="0"/>
                  <w:vAlign w:val="center"/>
                </w:tcPr>
                <w:p w14:paraId="77BDBFD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s="Times New Roman"/>
                      <w:b w:val="0"/>
                      <w:bCs w:val="0"/>
                      <w:color w:val="auto"/>
                      <w:sz w:val="21"/>
                      <w:szCs w:val="21"/>
                      <w:lang w:eastAsia="zh-CN"/>
                    </w:rPr>
                  </w:pPr>
                  <w:r>
                    <w:rPr>
                      <w:rFonts w:hint="eastAsia" w:ascii="Times New Roman" w:hAnsi="Times New Roman" w:cs="Times New Roman"/>
                      <w:b w:val="0"/>
                      <w:bCs w:val="0"/>
                      <w:color w:val="auto"/>
                      <w:sz w:val="21"/>
                      <w:szCs w:val="21"/>
                      <w:lang w:eastAsia="zh-CN"/>
                    </w:rPr>
                    <w:t>污染物</w:t>
                  </w:r>
                </w:p>
              </w:tc>
              <w:tc>
                <w:tcPr>
                  <w:tcW w:w="5017" w:type="dxa"/>
                  <w:gridSpan w:val="3"/>
                  <w:tcBorders>
                    <w:tl2br w:val="nil"/>
                    <w:tr2bl w:val="nil"/>
                  </w:tcBorders>
                  <w:noWrap w:val="0"/>
                  <w:vAlign w:val="center"/>
                </w:tcPr>
                <w:p w14:paraId="493E4D9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s="Times New Roman"/>
                      <w:b w:val="0"/>
                      <w:bCs w:val="0"/>
                      <w:color w:val="auto"/>
                      <w:sz w:val="21"/>
                      <w:szCs w:val="21"/>
                      <w:lang w:eastAsia="zh-CN"/>
                    </w:rPr>
                  </w:pPr>
                  <w:r>
                    <w:rPr>
                      <w:rFonts w:hint="eastAsia" w:ascii="Times New Roman" w:hAnsi="Times New Roman" w:cs="Times New Roman"/>
                      <w:b w:val="0"/>
                      <w:bCs w:val="0"/>
                      <w:color w:val="auto"/>
                      <w:sz w:val="21"/>
                      <w:szCs w:val="21"/>
                      <w:lang w:eastAsia="zh-CN"/>
                    </w:rPr>
                    <w:t>标准限值</w:t>
                  </w:r>
                </w:p>
              </w:tc>
            </w:tr>
            <w:tr w14:paraId="0DB94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271" w:type="dxa"/>
                  <w:vMerge w:val="continue"/>
                  <w:tcBorders>
                    <w:tl2br w:val="nil"/>
                    <w:tr2bl w:val="nil"/>
                  </w:tcBorders>
                  <w:noWrap w:val="0"/>
                  <w:vAlign w:val="center"/>
                </w:tcPr>
                <w:p w14:paraId="2F19453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cs="Times New Roman"/>
                      <w:b w:val="0"/>
                      <w:bCs w:val="0"/>
                      <w:color w:val="auto"/>
                      <w:sz w:val="21"/>
                      <w:szCs w:val="21"/>
                      <w:lang w:eastAsia="zh-CN"/>
                    </w:rPr>
                  </w:pPr>
                </w:p>
              </w:tc>
              <w:tc>
                <w:tcPr>
                  <w:tcW w:w="1418" w:type="dxa"/>
                  <w:tcBorders>
                    <w:tl2br w:val="nil"/>
                    <w:tr2bl w:val="nil"/>
                  </w:tcBorders>
                  <w:noWrap w:val="0"/>
                  <w:vAlign w:val="center"/>
                </w:tcPr>
                <w:p w14:paraId="3FA5D43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color w:val="auto"/>
                      <w:sz w:val="21"/>
                      <w:szCs w:val="21"/>
                      <w:lang w:val="en-US" w:eastAsia="zh-CN"/>
                    </w:rPr>
                  </w:pPr>
                  <w:r>
                    <w:rPr>
                      <w:rFonts w:hint="eastAsia" w:cs="Times New Roman"/>
                      <w:snapToGrid/>
                      <w:color w:val="auto"/>
                      <w:spacing w:val="0"/>
                      <w:kern w:val="0"/>
                      <w:position w:val="0"/>
                      <w:sz w:val="21"/>
                      <w:szCs w:val="21"/>
                      <w:lang w:val="en-US" w:eastAsia="zh-CN"/>
                    </w:rPr>
                    <w:t>最高允许排放浓度</w:t>
                  </w:r>
                  <w:r>
                    <w:rPr>
                      <w:rFonts w:hint="default" w:ascii="Times New Roman" w:hAnsi="Times New Roman" w:eastAsia="宋体" w:cs="Times New Roman"/>
                      <w:snapToGrid/>
                      <w:color w:val="auto"/>
                      <w:spacing w:val="0"/>
                      <w:kern w:val="0"/>
                      <w:position w:val="0"/>
                      <w:sz w:val="21"/>
                      <w:szCs w:val="21"/>
                    </w:rPr>
                    <w:t>（mg/m</w:t>
                  </w:r>
                  <w:r>
                    <w:rPr>
                      <w:rFonts w:hint="default" w:ascii="Times New Roman" w:hAnsi="Times New Roman" w:eastAsia="宋体" w:cs="Times New Roman"/>
                      <w:snapToGrid/>
                      <w:color w:val="auto"/>
                      <w:spacing w:val="0"/>
                      <w:kern w:val="0"/>
                      <w:position w:val="0"/>
                      <w:sz w:val="21"/>
                      <w:szCs w:val="21"/>
                      <w:vertAlign w:val="superscript"/>
                    </w:rPr>
                    <w:t>3</w:t>
                  </w:r>
                  <w:r>
                    <w:rPr>
                      <w:rFonts w:hint="default" w:ascii="Times New Roman" w:hAnsi="Times New Roman" w:eastAsia="宋体" w:cs="Times New Roman"/>
                      <w:snapToGrid/>
                      <w:color w:val="auto"/>
                      <w:spacing w:val="0"/>
                      <w:kern w:val="0"/>
                      <w:position w:val="0"/>
                      <w:sz w:val="21"/>
                      <w:szCs w:val="21"/>
                    </w:rPr>
                    <w:t>）</w:t>
                  </w:r>
                </w:p>
              </w:tc>
              <w:tc>
                <w:tcPr>
                  <w:tcW w:w="1589" w:type="dxa"/>
                  <w:tcBorders>
                    <w:tl2br w:val="nil"/>
                    <w:tr2bl w:val="nil"/>
                  </w:tcBorders>
                  <w:noWrap w:val="0"/>
                  <w:vAlign w:val="center"/>
                </w:tcPr>
                <w:p w14:paraId="2FB57F3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排放速率</w:t>
                  </w:r>
                </w:p>
                <w:p w14:paraId="1F753B0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kg/h</w:t>
                  </w:r>
                </w:p>
              </w:tc>
              <w:tc>
                <w:tcPr>
                  <w:tcW w:w="2010" w:type="dxa"/>
                  <w:tcBorders>
                    <w:tl2br w:val="nil"/>
                    <w:tr2bl w:val="nil"/>
                  </w:tcBorders>
                  <w:noWrap w:val="0"/>
                  <w:vAlign w:val="center"/>
                </w:tcPr>
                <w:p w14:paraId="3B6FF68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eastAsia="zh-CN"/>
                    </w:rPr>
                    <w:t>厂界标准值</w:t>
                  </w:r>
                </w:p>
                <w:p w14:paraId="2AE8C56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color w:val="auto"/>
                      <w:kern w:val="0"/>
                      <w:sz w:val="21"/>
                      <w:szCs w:val="21"/>
                    </w:rPr>
                    <w:t>mg/m³</w:t>
                  </w:r>
                </w:p>
              </w:tc>
            </w:tr>
            <w:tr w14:paraId="0313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271" w:type="dxa"/>
                  <w:tcBorders>
                    <w:tl2br w:val="nil"/>
                    <w:tr2bl w:val="nil"/>
                  </w:tcBorders>
                  <w:noWrap w:val="0"/>
                  <w:vAlign w:val="center"/>
                </w:tcPr>
                <w:p w14:paraId="4B055DF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氨</w:t>
                  </w:r>
                </w:p>
              </w:tc>
              <w:tc>
                <w:tcPr>
                  <w:tcW w:w="1418" w:type="dxa"/>
                  <w:tcBorders>
                    <w:tl2br w:val="nil"/>
                    <w:tr2bl w:val="nil"/>
                  </w:tcBorders>
                  <w:noWrap w:val="0"/>
                  <w:vAlign w:val="center"/>
                </w:tcPr>
                <w:p w14:paraId="7F4E3BA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1589" w:type="dxa"/>
                  <w:tcBorders>
                    <w:tl2br w:val="nil"/>
                    <w:tr2bl w:val="nil"/>
                  </w:tcBorders>
                  <w:noWrap w:val="0"/>
                  <w:vAlign w:val="center"/>
                </w:tcPr>
                <w:p w14:paraId="7C52F45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4.9</w:t>
                  </w:r>
                </w:p>
              </w:tc>
              <w:tc>
                <w:tcPr>
                  <w:tcW w:w="2010" w:type="dxa"/>
                  <w:tcBorders>
                    <w:tl2br w:val="nil"/>
                    <w:tr2bl w:val="nil"/>
                  </w:tcBorders>
                  <w:noWrap w:val="0"/>
                  <w:vAlign w:val="center"/>
                </w:tcPr>
                <w:p w14:paraId="37CF585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1.5</w:t>
                  </w:r>
                </w:p>
              </w:tc>
            </w:tr>
          </w:tbl>
          <w:p w14:paraId="18D822FA">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表3</w:t>
            </w:r>
            <w:r>
              <w:rPr>
                <w:rFonts w:hint="eastAsia" w:cs="Times New Roman"/>
                <w:b/>
                <w:color w:val="auto"/>
                <w:sz w:val="24"/>
                <w:szCs w:val="24"/>
                <w:highlight w:val="none"/>
                <w:lang w:val="en-US" w:eastAsia="zh-CN"/>
              </w:rPr>
              <w:t xml:space="preserve">.10  </w:t>
            </w:r>
            <w:r>
              <w:rPr>
                <w:rFonts w:hint="default" w:ascii="Times New Roman" w:hAnsi="Times New Roman" w:eastAsia="宋体" w:cs="Times New Roman"/>
                <w:b/>
                <w:color w:val="auto"/>
                <w:sz w:val="24"/>
                <w:szCs w:val="24"/>
                <w:highlight w:val="none"/>
                <w:lang w:val="en-US" w:eastAsia="zh-CN"/>
              </w:rPr>
              <w:t>厂区内</w:t>
            </w:r>
            <w:r>
              <w:rPr>
                <w:rFonts w:hint="eastAsia"/>
                <w:b/>
                <w:bCs/>
                <w:color w:val="auto"/>
              </w:rPr>
              <w:t>VOCs</w:t>
            </w:r>
            <w:r>
              <w:rPr>
                <w:rFonts w:hint="default" w:ascii="Times New Roman" w:hAnsi="Times New Roman" w:eastAsia="宋体" w:cs="Times New Roman"/>
                <w:b/>
                <w:color w:val="auto"/>
                <w:sz w:val="24"/>
                <w:szCs w:val="24"/>
                <w:highlight w:val="none"/>
                <w:lang w:val="en-US" w:eastAsia="zh-CN"/>
              </w:rPr>
              <w:t>无组织排放限值 单位：mg/m</w:t>
            </w:r>
            <w:r>
              <w:rPr>
                <w:rFonts w:hint="default" w:ascii="Times New Roman" w:hAnsi="Times New Roman" w:eastAsia="宋体" w:cs="Times New Roman"/>
                <w:b/>
                <w:color w:val="auto"/>
                <w:sz w:val="24"/>
                <w:szCs w:val="24"/>
                <w:highlight w:val="none"/>
                <w:vertAlign w:val="superscript"/>
                <w:lang w:val="en-US" w:eastAsia="zh-CN"/>
              </w:rPr>
              <w:t>3</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1877"/>
              <w:gridCol w:w="2730"/>
              <w:gridCol w:w="2296"/>
            </w:tblGrid>
            <w:tr w14:paraId="42AD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dxa"/>
                  <w:noWrap w:val="0"/>
                  <w:vAlign w:val="center"/>
                </w:tcPr>
                <w:p w14:paraId="6B3DB11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污染物项目</w:t>
                  </w:r>
                </w:p>
              </w:tc>
              <w:tc>
                <w:tcPr>
                  <w:tcW w:w="1920" w:type="dxa"/>
                  <w:noWrap w:val="0"/>
                  <w:vAlign w:val="center"/>
                </w:tcPr>
                <w:p w14:paraId="689AFF8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特别排放限值</w:t>
                  </w:r>
                  <w:r>
                    <w:rPr>
                      <w:rFonts w:hint="default" w:ascii="Times New Roman" w:hAnsi="Times New Roman" w:eastAsia="宋体" w:cs="Times New Roman"/>
                      <w:b w:val="0"/>
                      <w:bCs/>
                      <w:color w:val="auto"/>
                      <w:kern w:val="0"/>
                      <w:sz w:val="21"/>
                      <w:szCs w:val="21"/>
                      <w:lang w:val="en-US" w:eastAsia="zh-CN"/>
                    </w:rPr>
                    <w:t>mg/m</w:t>
                  </w:r>
                  <w:r>
                    <w:rPr>
                      <w:rFonts w:hint="default" w:ascii="Times New Roman" w:hAnsi="Times New Roman" w:eastAsia="宋体" w:cs="Times New Roman"/>
                      <w:b w:val="0"/>
                      <w:bCs/>
                      <w:color w:val="auto"/>
                      <w:kern w:val="0"/>
                      <w:sz w:val="21"/>
                      <w:szCs w:val="21"/>
                      <w:vertAlign w:val="superscript"/>
                      <w:lang w:val="en-US" w:eastAsia="zh-CN"/>
                    </w:rPr>
                    <w:t>3</w:t>
                  </w:r>
                </w:p>
              </w:tc>
              <w:tc>
                <w:tcPr>
                  <w:tcW w:w="2796" w:type="dxa"/>
                  <w:noWrap w:val="0"/>
                  <w:vAlign w:val="center"/>
                </w:tcPr>
                <w:p w14:paraId="6D97BF8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限值</w:t>
                  </w:r>
                  <w:r>
                    <w:rPr>
                      <w:rFonts w:hint="default" w:ascii="Times New Roman" w:hAnsi="Times New Roman" w:cs="Times New Roman"/>
                      <w:color w:val="auto"/>
                      <w:sz w:val="21"/>
                      <w:szCs w:val="21"/>
                      <w:vertAlign w:val="baseline"/>
                      <w:lang w:val="en-US" w:eastAsia="zh-CN"/>
                    </w:rPr>
                    <w:t>含义</w:t>
                  </w:r>
                </w:p>
              </w:tc>
              <w:tc>
                <w:tcPr>
                  <w:tcW w:w="2350" w:type="dxa"/>
                  <w:noWrap w:val="0"/>
                  <w:vAlign w:val="center"/>
                </w:tcPr>
                <w:p w14:paraId="40BC517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无组织排放监控位置</w:t>
                  </w:r>
                </w:p>
              </w:tc>
            </w:tr>
            <w:tr w14:paraId="38A88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dxa"/>
                  <w:vMerge w:val="restart"/>
                  <w:noWrap w:val="0"/>
                  <w:vAlign w:val="center"/>
                </w:tcPr>
                <w:p w14:paraId="6A0EBA5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NMHC</w:t>
                  </w:r>
                </w:p>
              </w:tc>
              <w:tc>
                <w:tcPr>
                  <w:tcW w:w="1920" w:type="dxa"/>
                  <w:noWrap w:val="0"/>
                  <w:vAlign w:val="center"/>
                </w:tcPr>
                <w:p w14:paraId="75419A5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6</w:t>
                  </w:r>
                </w:p>
              </w:tc>
              <w:tc>
                <w:tcPr>
                  <w:tcW w:w="2796" w:type="dxa"/>
                  <w:noWrap w:val="0"/>
                  <w:vAlign w:val="center"/>
                </w:tcPr>
                <w:p w14:paraId="5545242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监控点处1h平均浓度</w:t>
                  </w:r>
                </w:p>
              </w:tc>
              <w:tc>
                <w:tcPr>
                  <w:tcW w:w="2350" w:type="dxa"/>
                  <w:vMerge w:val="restart"/>
                  <w:noWrap w:val="0"/>
                  <w:vAlign w:val="center"/>
                </w:tcPr>
                <w:p w14:paraId="2DB07F9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在厂房外设置监控点</w:t>
                  </w:r>
                </w:p>
              </w:tc>
            </w:tr>
            <w:tr w14:paraId="46A8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dxa"/>
                  <w:vMerge w:val="continue"/>
                  <w:noWrap w:val="0"/>
                  <w:vAlign w:val="center"/>
                </w:tcPr>
                <w:p w14:paraId="243AC3A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p>
              </w:tc>
              <w:tc>
                <w:tcPr>
                  <w:tcW w:w="1920" w:type="dxa"/>
                  <w:noWrap w:val="0"/>
                  <w:vAlign w:val="center"/>
                </w:tcPr>
                <w:p w14:paraId="0594F33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20</w:t>
                  </w:r>
                </w:p>
              </w:tc>
              <w:tc>
                <w:tcPr>
                  <w:tcW w:w="2796" w:type="dxa"/>
                  <w:noWrap w:val="0"/>
                  <w:vAlign w:val="center"/>
                </w:tcPr>
                <w:p w14:paraId="4B00C8E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color w:val="auto"/>
                      <w:kern w:val="0"/>
                      <w:sz w:val="21"/>
                      <w:szCs w:val="21"/>
                      <w:vertAlign w:val="baseline"/>
                      <w:lang w:val="en-US" w:eastAsia="zh-CN"/>
                    </w:rPr>
                  </w:pPr>
                  <w:r>
                    <w:rPr>
                      <w:rFonts w:hint="default" w:ascii="Times New Roman" w:hAnsi="Times New Roman" w:cs="Times New Roman"/>
                      <w:b w:val="0"/>
                      <w:bCs/>
                      <w:color w:val="auto"/>
                      <w:kern w:val="0"/>
                      <w:sz w:val="21"/>
                      <w:szCs w:val="21"/>
                      <w:vertAlign w:val="baseline"/>
                      <w:lang w:val="en-US" w:eastAsia="zh-CN"/>
                    </w:rPr>
                    <w:t>监控点处任意一次浓度值</w:t>
                  </w:r>
                </w:p>
              </w:tc>
              <w:tc>
                <w:tcPr>
                  <w:tcW w:w="2350" w:type="dxa"/>
                  <w:vMerge w:val="continue"/>
                  <w:noWrap w:val="0"/>
                  <w:vAlign w:val="center"/>
                </w:tcPr>
                <w:p w14:paraId="6DF48FD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color w:val="auto"/>
                      <w:kern w:val="0"/>
                      <w:sz w:val="21"/>
                      <w:szCs w:val="21"/>
                      <w:vertAlign w:val="baseline"/>
                      <w:lang w:val="en-US" w:eastAsia="zh-CN"/>
                    </w:rPr>
                  </w:pPr>
                </w:p>
              </w:tc>
            </w:tr>
          </w:tbl>
          <w:p w14:paraId="1A2C7498">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default" w:ascii="Times New Roman" w:hAnsi="Times New Roman" w:eastAsia="宋体" w:cs="Times New Roman"/>
                <w:b/>
                <w:bCs/>
                <w:snapToGrid/>
                <w:color w:val="auto"/>
                <w:spacing w:val="0"/>
                <w:kern w:val="0"/>
                <w:position w:val="0"/>
                <w:sz w:val="24"/>
                <w:szCs w:val="24"/>
              </w:rPr>
            </w:pPr>
            <w:r>
              <w:rPr>
                <w:rFonts w:hint="default" w:ascii="Times New Roman" w:hAnsi="Times New Roman" w:eastAsia="宋体" w:cs="Times New Roman"/>
                <w:b/>
                <w:bCs/>
                <w:snapToGrid/>
                <w:color w:val="auto"/>
                <w:spacing w:val="0"/>
                <w:kern w:val="0"/>
                <w:position w:val="0"/>
                <w:sz w:val="24"/>
                <w:szCs w:val="24"/>
              </w:rPr>
              <w:t>3、噪声排放标准</w:t>
            </w:r>
          </w:p>
          <w:p w14:paraId="4B472C5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b/>
                <w:snapToGrid/>
                <w:color w:val="auto"/>
                <w:spacing w:val="0"/>
                <w:kern w:val="0"/>
                <w:position w:val="0"/>
                <w:sz w:val="24"/>
              </w:rPr>
            </w:pPr>
            <w:r>
              <w:rPr>
                <w:rFonts w:hint="eastAsia" w:ascii="Times New Roman" w:hAnsi="Times New Roman" w:eastAsia="宋体"/>
                <w:color w:val="auto"/>
                <w:sz w:val="24"/>
                <w:lang w:val="en-US" w:eastAsia="zh-CN"/>
              </w:rPr>
              <w:t>评级区域</w:t>
            </w:r>
            <w:r>
              <w:rPr>
                <w:rFonts w:hint="eastAsia"/>
                <w:color w:val="auto"/>
                <w:sz w:val="24"/>
                <w:lang w:val="en-US" w:eastAsia="zh-CN"/>
              </w:rPr>
              <w:t>内</w:t>
            </w:r>
            <w:r>
              <w:rPr>
                <w:rFonts w:hint="eastAsia" w:ascii="Times New Roman" w:hAnsi="Times New Roman" w:eastAsia="宋体"/>
                <w:color w:val="auto"/>
                <w:sz w:val="24"/>
                <w:lang w:val="en-US" w:eastAsia="zh-CN"/>
              </w:rPr>
              <w:t>施工期噪声执行《建筑施工场界环境噪声排放标准》 （GB12523-2011）中标准限值要求；</w:t>
            </w:r>
            <w:r>
              <w:rPr>
                <w:rFonts w:hint="default" w:ascii="Times New Roman" w:hAnsi="Times New Roman" w:eastAsia="宋体" w:cs="Times New Roman"/>
                <w:snapToGrid/>
                <w:color w:val="auto"/>
                <w:spacing w:val="0"/>
                <w:kern w:val="0"/>
                <w:position w:val="0"/>
                <w:sz w:val="24"/>
              </w:rPr>
              <w:t>评价区域</w:t>
            </w:r>
            <w:r>
              <w:rPr>
                <w:rFonts w:hint="eastAsia" w:ascii="Times New Roman" w:hAnsi="Times New Roman"/>
                <w:snapToGrid/>
                <w:color w:val="auto"/>
                <w:spacing w:val="0"/>
                <w:kern w:val="0"/>
                <w:position w:val="0"/>
                <w:sz w:val="24"/>
              </w:rPr>
              <w:t>运营</w:t>
            </w:r>
            <w:r>
              <w:rPr>
                <w:rFonts w:ascii="Times New Roman" w:hAnsi="Times New Roman"/>
                <w:snapToGrid/>
                <w:color w:val="auto"/>
                <w:spacing w:val="0"/>
                <w:kern w:val="0"/>
                <w:position w:val="0"/>
                <w:sz w:val="24"/>
              </w:rPr>
              <w:t>期噪声执行《工业企业厂界环境噪声排放标准》（GB12348-2008）中</w:t>
            </w:r>
            <w:r>
              <w:rPr>
                <w:rFonts w:hint="eastAsia"/>
                <w:snapToGrid/>
                <w:color w:val="auto"/>
                <w:spacing w:val="0"/>
                <w:kern w:val="0"/>
                <w:position w:val="0"/>
                <w:sz w:val="24"/>
                <w:lang w:val="en-US" w:eastAsia="zh-CN"/>
              </w:rPr>
              <w:t>2</w:t>
            </w:r>
            <w:r>
              <w:rPr>
                <w:rFonts w:ascii="Times New Roman" w:hAnsi="Times New Roman"/>
                <w:snapToGrid/>
                <w:color w:val="auto"/>
                <w:spacing w:val="0"/>
                <w:kern w:val="0"/>
                <w:position w:val="0"/>
                <w:sz w:val="24"/>
              </w:rPr>
              <w:t>类标准。其标准限值见</w:t>
            </w:r>
            <w:r>
              <w:rPr>
                <w:rFonts w:hint="eastAsia"/>
                <w:snapToGrid/>
                <w:color w:val="auto"/>
                <w:spacing w:val="0"/>
                <w:kern w:val="0"/>
                <w:position w:val="0"/>
                <w:sz w:val="24"/>
                <w:lang w:eastAsia="zh-CN"/>
              </w:rPr>
              <w:t>下</w:t>
            </w:r>
            <w:r>
              <w:rPr>
                <w:rFonts w:ascii="Times New Roman" w:hAnsi="Times New Roman"/>
                <w:snapToGrid/>
                <w:color w:val="auto"/>
                <w:spacing w:val="0"/>
                <w:kern w:val="0"/>
                <w:position w:val="0"/>
                <w:sz w:val="24"/>
              </w:rPr>
              <w:t>表。</w:t>
            </w:r>
          </w:p>
          <w:p w14:paraId="0664989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9"/>
              <w:rPr>
                <w:color w:val="auto"/>
              </w:rPr>
            </w:pPr>
            <w:r>
              <w:rPr>
                <w:rFonts w:hint="eastAsia" w:ascii="Times New Roman" w:hAnsi="Times New Roman" w:eastAsia="宋体"/>
                <w:b/>
                <w:bCs/>
                <w:color w:val="auto"/>
                <w:sz w:val="24"/>
                <w:lang w:val="en-US" w:eastAsia="zh-CN"/>
              </w:rPr>
              <w:t>表3.</w:t>
            </w:r>
            <w:r>
              <w:rPr>
                <w:rFonts w:hint="eastAsia"/>
                <w:b/>
                <w:bCs/>
                <w:color w:val="auto"/>
                <w:sz w:val="24"/>
                <w:lang w:val="en-US" w:eastAsia="zh-CN"/>
              </w:rPr>
              <w:t xml:space="preserve">11 </w:t>
            </w:r>
            <w:r>
              <w:rPr>
                <w:rFonts w:hint="eastAsia" w:ascii="Times New Roman" w:hAnsi="Times New Roman" w:eastAsia="宋体"/>
                <w:b/>
                <w:bCs/>
                <w:color w:val="auto"/>
                <w:sz w:val="24"/>
                <w:lang w:val="en-US" w:eastAsia="zh-CN"/>
              </w:rPr>
              <w:t xml:space="preserve"> 建筑施工场界噪声排放标准 </w:t>
            </w:r>
            <w:r>
              <w:rPr>
                <w:rFonts w:hint="eastAsia" w:ascii="Times New Roman" w:hAnsi="Times New Roman" w:eastAsia="宋体"/>
                <w:b/>
                <w:bCs/>
                <w:color w:val="auto"/>
                <w:sz w:val="24"/>
              </w:rPr>
              <w:t>单位：dB（A）</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1"/>
              <w:gridCol w:w="4101"/>
            </w:tblGrid>
            <w:tr w14:paraId="74CF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28" w:type="dxa"/>
                  <w:noWrap w:val="0"/>
                  <w:vAlign w:val="center"/>
                </w:tcPr>
                <w:p w14:paraId="7998A42C">
                  <w:pPr>
                    <w:keepNext w:val="0"/>
                    <w:keepLines w:val="0"/>
                    <w:pageBreakBefore w:val="0"/>
                    <w:widowControl w:val="0"/>
                    <w:kinsoku/>
                    <w:wordWrap/>
                    <w:overflowPunct/>
                    <w:topLinePunct w:val="0"/>
                    <w:autoSpaceDE/>
                    <w:autoSpaceDN/>
                    <w:bidi w:val="0"/>
                    <w:adjustRightInd w:val="0"/>
                    <w:snapToGrid w:val="0"/>
                    <w:spacing w:before="95" w:beforeLines="30" w:line="240" w:lineRule="auto"/>
                    <w:ind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昼间</w:t>
                  </w:r>
                </w:p>
              </w:tc>
              <w:tc>
                <w:tcPr>
                  <w:tcW w:w="4427" w:type="dxa"/>
                  <w:noWrap w:val="0"/>
                  <w:vAlign w:val="center"/>
                </w:tcPr>
                <w:p w14:paraId="01561FE9">
                  <w:pPr>
                    <w:keepNext w:val="0"/>
                    <w:keepLines w:val="0"/>
                    <w:pageBreakBefore w:val="0"/>
                    <w:widowControl w:val="0"/>
                    <w:kinsoku/>
                    <w:wordWrap/>
                    <w:overflowPunct/>
                    <w:topLinePunct w:val="0"/>
                    <w:autoSpaceDE/>
                    <w:autoSpaceDN/>
                    <w:bidi w:val="0"/>
                    <w:adjustRightInd w:val="0"/>
                    <w:snapToGrid w:val="0"/>
                    <w:spacing w:before="95" w:beforeLines="30" w:line="240" w:lineRule="auto"/>
                    <w:ind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夜间</w:t>
                  </w:r>
                </w:p>
              </w:tc>
            </w:tr>
            <w:tr w14:paraId="2537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28" w:type="dxa"/>
                  <w:noWrap w:val="0"/>
                  <w:vAlign w:val="center"/>
                </w:tcPr>
                <w:p w14:paraId="2A4E8011">
                  <w:pPr>
                    <w:keepNext w:val="0"/>
                    <w:keepLines w:val="0"/>
                    <w:pageBreakBefore w:val="0"/>
                    <w:widowControl w:val="0"/>
                    <w:kinsoku/>
                    <w:wordWrap/>
                    <w:overflowPunct/>
                    <w:topLinePunct w:val="0"/>
                    <w:autoSpaceDE/>
                    <w:autoSpaceDN/>
                    <w:bidi w:val="0"/>
                    <w:adjustRightInd w:val="0"/>
                    <w:snapToGrid w:val="0"/>
                    <w:spacing w:before="95" w:beforeLines="30" w:line="240" w:lineRule="auto"/>
                    <w:ind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70</w:t>
                  </w:r>
                </w:p>
              </w:tc>
              <w:tc>
                <w:tcPr>
                  <w:tcW w:w="4427" w:type="dxa"/>
                  <w:noWrap w:val="0"/>
                  <w:vAlign w:val="center"/>
                </w:tcPr>
                <w:p w14:paraId="6BE07832">
                  <w:pPr>
                    <w:keepNext w:val="0"/>
                    <w:keepLines w:val="0"/>
                    <w:pageBreakBefore w:val="0"/>
                    <w:widowControl w:val="0"/>
                    <w:kinsoku/>
                    <w:wordWrap/>
                    <w:overflowPunct/>
                    <w:topLinePunct w:val="0"/>
                    <w:autoSpaceDE/>
                    <w:autoSpaceDN/>
                    <w:bidi w:val="0"/>
                    <w:adjustRightInd w:val="0"/>
                    <w:snapToGrid w:val="0"/>
                    <w:spacing w:before="95" w:beforeLines="30" w:line="240" w:lineRule="auto"/>
                    <w:ind w:firstLine="0" w:firstLineChars="0"/>
                    <w:jc w:val="center"/>
                    <w:textAlignment w:val="auto"/>
                    <w:outlineLvl w:val="9"/>
                    <w:rPr>
                      <w:rFonts w:hint="eastAsia" w:ascii="Times New Roman" w:hAnsi="Times New Roman" w:eastAsia="宋体"/>
                      <w:b w:val="0"/>
                      <w:bCs w:val="0"/>
                      <w:color w:val="auto"/>
                      <w:sz w:val="21"/>
                      <w:szCs w:val="21"/>
                      <w:vertAlign w:val="baseline"/>
                      <w:lang w:val="en-US" w:eastAsia="zh-CN"/>
                    </w:rPr>
                  </w:pPr>
                  <w:r>
                    <w:rPr>
                      <w:rFonts w:hint="eastAsia" w:ascii="Times New Roman" w:hAnsi="Times New Roman" w:eastAsia="宋体"/>
                      <w:b w:val="0"/>
                      <w:bCs w:val="0"/>
                      <w:color w:val="auto"/>
                      <w:sz w:val="21"/>
                      <w:szCs w:val="21"/>
                      <w:vertAlign w:val="baseline"/>
                      <w:lang w:val="en-US" w:eastAsia="zh-CN"/>
                    </w:rPr>
                    <w:t>55</w:t>
                  </w:r>
                </w:p>
              </w:tc>
            </w:tr>
          </w:tbl>
          <w:p w14:paraId="383AA950">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jc w:val="center"/>
              <w:textAlignment w:val="auto"/>
              <w:outlineLvl w:val="9"/>
              <w:rPr>
                <w:rFonts w:hint="eastAsia" w:ascii="Times New Roman" w:hAnsi="Times New Roman"/>
                <w:b/>
                <w:snapToGrid/>
                <w:color w:val="auto"/>
                <w:spacing w:val="0"/>
                <w:kern w:val="0"/>
                <w:position w:val="0"/>
                <w:sz w:val="24"/>
              </w:rPr>
            </w:pPr>
            <w:r>
              <w:rPr>
                <w:rFonts w:hint="eastAsia" w:ascii="Times New Roman" w:hAnsi="Times New Roman"/>
                <w:b/>
                <w:snapToGrid/>
                <w:color w:val="auto"/>
                <w:spacing w:val="0"/>
                <w:kern w:val="0"/>
                <w:position w:val="0"/>
                <w:sz w:val="24"/>
              </w:rPr>
              <w:t>表</w:t>
            </w:r>
            <w:r>
              <w:rPr>
                <w:rFonts w:hint="eastAsia" w:ascii="Times New Roman" w:hAnsi="Times New Roman"/>
                <w:b/>
                <w:snapToGrid/>
                <w:color w:val="auto"/>
                <w:spacing w:val="0"/>
                <w:kern w:val="0"/>
                <w:position w:val="0"/>
                <w:sz w:val="24"/>
                <w:lang w:val="en-US" w:eastAsia="zh-CN"/>
              </w:rPr>
              <w:t>3.</w:t>
            </w:r>
            <w:r>
              <w:rPr>
                <w:rFonts w:hint="eastAsia"/>
                <w:b/>
                <w:snapToGrid/>
                <w:color w:val="auto"/>
                <w:spacing w:val="0"/>
                <w:kern w:val="0"/>
                <w:position w:val="0"/>
                <w:sz w:val="24"/>
                <w:lang w:val="en-US" w:eastAsia="zh-CN"/>
              </w:rPr>
              <w:t xml:space="preserve">12  </w:t>
            </w:r>
            <w:r>
              <w:rPr>
                <w:rFonts w:hint="eastAsia" w:ascii="Times New Roman" w:hAnsi="Times New Roman"/>
                <w:b/>
                <w:snapToGrid/>
                <w:color w:val="auto"/>
                <w:spacing w:val="0"/>
                <w:kern w:val="0"/>
                <w:position w:val="0"/>
                <w:sz w:val="24"/>
              </w:rPr>
              <w:t>工业企业厂界环境噪声排放标准 单位：dB（A）</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3736"/>
              <w:gridCol w:w="2453"/>
              <w:gridCol w:w="2023"/>
            </w:tblGrid>
            <w:tr w14:paraId="242A6A4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4035" w:type="dxa"/>
                  <w:tcBorders>
                    <w:top w:val="single" w:color="auto" w:sz="8" w:space="0"/>
                    <w:left w:val="single" w:color="auto" w:sz="8" w:space="0"/>
                    <w:bottom w:val="single" w:color="auto" w:sz="8" w:space="0"/>
                  </w:tcBorders>
                  <w:noWrap w:val="0"/>
                  <w:vAlign w:val="center"/>
                </w:tcPr>
                <w:p w14:paraId="59A8996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ascii="Times New Roman" w:hAnsi="Times New Roman"/>
                      <w:bCs/>
                      <w:snapToGrid/>
                      <w:color w:val="auto"/>
                      <w:spacing w:val="0"/>
                      <w:kern w:val="0"/>
                      <w:position w:val="0"/>
                      <w:sz w:val="21"/>
                      <w:szCs w:val="21"/>
                      <w:lang w:val="zh-CN"/>
                    </w:rPr>
                  </w:pPr>
                  <w:r>
                    <w:rPr>
                      <w:rFonts w:ascii="Times New Roman" w:hAnsi="Times New Roman"/>
                      <w:bCs/>
                      <w:snapToGrid/>
                      <w:color w:val="auto"/>
                      <w:spacing w:val="0"/>
                      <w:kern w:val="0"/>
                      <w:position w:val="0"/>
                      <w:sz w:val="21"/>
                      <w:szCs w:val="21"/>
                      <w:lang w:val="zh-CN"/>
                    </w:rPr>
                    <w:t>声环境功能区类别</w:t>
                  </w:r>
                </w:p>
              </w:tc>
              <w:tc>
                <w:tcPr>
                  <w:tcW w:w="2643" w:type="dxa"/>
                  <w:tcBorders>
                    <w:top w:val="single" w:color="auto" w:sz="8" w:space="0"/>
                    <w:bottom w:val="single" w:color="auto" w:sz="8" w:space="0"/>
                  </w:tcBorders>
                  <w:noWrap w:val="0"/>
                  <w:vAlign w:val="center"/>
                </w:tcPr>
                <w:p w14:paraId="078E92C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ascii="Times New Roman" w:hAnsi="Times New Roman"/>
                      <w:bCs/>
                      <w:snapToGrid/>
                      <w:color w:val="auto"/>
                      <w:spacing w:val="0"/>
                      <w:kern w:val="0"/>
                      <w:position w:val="0"/>
                      <w:sz w:val="21"/>
                      <w:szCs w:val="21"/>
                      <w:lang w:val="zh-CN"/>
                    </w:rPr>
                  </w:pPr>
                  <w:r>
                    <w:rPr>
                      <w:rFonts w:ascii="Times New Roman" w:hAnsi="Times New Roman"/>
                      <w:bCs/>
                      <w:snapToGrid/>
                      <w:color w:val="auto"/>
                      <w:spacing w:val="0"/>
                      <w:kern w:val="0"/>
                      <w:position w:val="0"/>
                      <w:sz w:val="21"/>
                      <w:szCs w:val="21"/>
                      <w:lang w:val="zh-CN"/>
                    </w:rPr>
                    <w:t>昼间</w:t>
                  </w:r>
                </w:p>
              </w:tc>
              <w:tc>
                <w:tcPr>
                  <w:tcW w:w="2177" w:type="dxa"/>
                  <w:tcBorders>
                    <w:top w:val="single" w:color="auto" w:sz="8" w:space="0"/>
                    <w:bottom w:val="single" w:color="auto" w:sz="8" w:space="0"/>
                    <w:right w:val="single" w:color="auto" w:sz="8" w:space="0"/>
                  </w:tcBorders>
                  <w:noWrap w:val="0"/>
                  <w:vAlign w:val="center"/>
                </w:tcPr>
                <w:p w14:paraId="38351F6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ascii="Times New Roman" w:hAnsi="Times New Roman"/>
                      <w:bCs/>
                      <w:snapToGrid/>
                      <w:color w:val="auto"/>
                      <w:spacing w:val="0"/>
                      <w:kern w:val="0"/>
                      <w:position w:val="0"/>
                      <w:sz w:val="21"/>
                      <w:szCs w:val="21"/>
                      <w:lang w:val="zh-CN"/>
                    </w:rPr>
                  </w:pPr>
                  <w:r>
                    <w:rPr>
                      <w:rFonts w:ascii="Times New Roman" w:hAnsi="Times New Roman"/>
                      <w:bCs/>
                      <w:snapToGrid/>
                      <w:color w:val="auto"/>
                      <w:spacing w:val="0"/>
                      <w:kern w:val="0"/>
                      <w:position w:val="0"/>
                      <w:sz w:val="21"/>
                      <w:szCs w:val="21"/>
                      <w:lang w:val="zh-CN"/>
                    </w:rPr>
                    <w:t>夜间</w:t>
                  </w:r>
                </w:p>
              </w:tc>
            </w:tr>
            <w:tr w14:paraId="658B8078">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4035" w:type="dxa"/>
                  <w:tcBorders>
                    <w:top w:val="single" w:color="auto" w:sz="8" w:space="0"/>
                    <w:left w:val="single" w:color="auto" w:sz="8" w:space="0"/>
                    <w:bottom w:val="single" w:color="auto" w:sz="8" w:space="0"/>
                  </w:tcBorders>
                  <w:noWrap w:val="0"/>
                  <w:vAlign w:val="center"/>
                </w:tcPr>
                <w:p w14:paraId="5537C9A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ascii="Times New Roman" w:hAnsi="Times New Roman"/>
                      <w:bCs/>
                      <w:snapToGrid/>
                      <w:color w:val="auto"/>
                      <w:spacing w:val="0"/>
                      <w:kern w:val="0"/>
                      <w:position w:val="0"/>
                      <w:sz w:val="21"/>
                      <w:szCs w:val="21"/>
                      <w:lang w:val="zh-CN"/>
                    </w:rPr>
                  </w:pPr>
                  <w:r>
                    <w:rPr>
                      <w:rFonts w:hint="eastAsia"/>
                      <w:bCs/>
                      <w:snapToGrid/>
                      <w:color w:val="auto"/>
                      <w:spacing w:val="0"/>
                      <w:kern w:val="0"/>
                      <w:position w:val="0"/>
                      <w:sz w:val="21"/>
                      <w:szCs w:val="21"/>
                      <w:lang w:val="en-US" w:eastAsia="zh-CN"/>
                    </w:rPr>
                    <w:t>2类</w:t>
                  </w:r>
                </w:p>
              </w:tc>
              <w:tc>
                <w:tcPr>
                  <w:tcW w:w="2643" w:type="dxa"/>
                  <w:tcBorders>
                    <w:top w:val="single" w:color="auto" w:sz="8" w:space="0"/>
                    <w:bottom w:val="single" w:color="auto" w:sz="8" w:space="0"/>
                  </w:tcBorders>
                  <w:noWrap w:val="0"/>
                  <w:vAlign w:val="center"/>
                </w:tcPr>
                <w:p w14:paraId="5B8BA1C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bCs/>
                      <w:snapToGrid/>
                      <w:color w:val="auto"/>
                      <w:spacing w:val="0"/>
                      <w:kern w:val="0"/>
                      <w:position w:val="0"/>
                      <w:sz w:val="21"/>
                      <w:szCs w:val="21"/>
                      <w:lang w:val="en-US" w:eastAsia="zh-CN"/>
                    </w:rPr>
                  </w:pPr>
                  <w:r>
                    <w:rPr>
                      <w:rFonts w:hint="eastAsia"/>
                      <w:bCs/>
                      <w:snapToGrid/>
                      <w:color w:val="auto"/>
                      <w:spacing w:val="0"/>
                      <w:kern w:val="0"/>
                      <w:position w:val="0"/>
                      <w:sz w:val="21"/>
                      <w:szCs w:val="21"/>
                      <w:lang w:val="en-US" w:eastAsia="zh-CN"/>
                    </w:rPr>
                    <w:t>60</w:t>
                  </w:r>
                </w:p>
              </w:tc>
              <w:tc>
                <w:tcPr>
                  <w:tcW w:w="2177" w:type="dxa"/>
                  <w:tcBorders>
                    <w:top w:val="single" w:color="auto" w:sz="8" w:space="0"/>
                    <w:bottom w:val="single" w:color="auto" w:sz="8" w:space="0"/>
                    <w:right w:val="single" w:color="auto" w:sz="8" w:space="0"/>
                  </w:tcBorders>
                  <w:noWrap w:val="0"/>
                  <w:vAlign w:val="center"/>
                </w:tcPr>
                <w:p w14:paraId="075455D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bCs/>
                      <w:snapToGrid/>
                      <w:color w:val="auto"/>
                      <w:spacing w:val="0"/>
                      <w:kern w:val="0"/>
                      <w:position w:val="0"/>
                      <w:sz w:val="21"/>
                      <w:szCs w:val="21"/>
                      <w:lang w:val="en-US" w:eastAsia="zh-CN"/>
                    </w:rPr>
                  </w:pPr>
                  <w:r>
                    <w:rPr>
                      <w:rFonts w:hint="eastAsia"/>
                      <w:bCs/>
                      <w:snapToGrid/>
                      <w:color w:val="auto"/>
                      <w:spacing w:val="0"/>
                      <w:kern w:val="0"/>
                      <w:position w:val="0"/>
                      <w:sz w:val="21"/>
                      <w:szCs w:val="21"/>
                      <w:lang w:val="en-US" w:eastAsia="zh-CN"/>
                    </w:rPr>
                    <w:t>50</w:t>
                  </w:r>
                </w:p>
              </w:tc>
            </w:tr>
          </w:tbl>
          <w:p w14:paraId="7891BA13">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default" w:ascii="Times New Roman" w:hAnsi="Times New Roman" w:eastAsia="宋体" w:cs="Times New Roman"/>
                <w:b/>
                <w:bCs/>
                <w:snapToGrid/>
                <w:color w:val="auto"/>
                <w:spacing w:val="0"/>
                <w:kern w:val="0"/>
                <w:position w:val="0"/>
                <w:sz w:val="24"/>
                <w:szCs w:val="24"/>
              </w:rPr>
            </w:pPr>
            <w:r>
              <w:rPr>
                <w:rFonts w:hint="default" w:ascii="Times New Roman" w:hAnsi="Times New Roman" w:eastAsia="宋体" w:cs="Times New Roman"/>
                <w:b/>
                <w:bCs/>
                <w:snapToGrid/>
                <w:color w:val="auto"/>
                <w:spacing w:val="0"/>
                <w:kern w:val="0"/>
                <w:position w:val="0"/>
                <w:sz w:val="24"/>
                <w:szCs w:val="24"/>
              </w:rPr>
              <w:t>4、固废排放标准</w:t>
            </w:r>
          </w:p>
          <w:p w14:paraId="7C4D46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napToGrid/>
                <w:color w:val="auto"/>
                <w:spacing w:val="0"/>
                <w:kern w:val="0"/>
                <w:position w:val="0"/>
                <w:sz w:val="24"/>
                <w:szCs w:val="24"/>
              </w:rPr>
            </w:pPr>
            <w:r>
              <w:rPr>
                <w:rFonts w:hint="eastAsia" w:ascii="Times New Roman" w:hAnsi="Times New Roman" w:eastAsia="宋体" w:cs="Times New Roman"/>
                <w:color w:val="auto"/>
                <w:kern w:val="0"/>
                <w:sz w:val="24"/>
                <w:szCs w:val="24"/>
                <w:lang w:val="en-US" w:eastAsia="zh-CN"/>
              </w:rPr>
              <w:t>一</w:t>
            </w:r>
            <w:r>
              <w:rPr>
                <w:rFonts w:hint="default" w:ascii="Times New Roman" w:hAnsi="Times New Roman" w:eastAsia="宋体" w:cs="Times New Roman"/>
                <w:color w:val="auto"/>
                <w:kern w:val="0"/>
                <w:sz w:val="24"/>
                <w:szCs w:val="24"/>
                <w:lang w:val="en-US" w:eastAsia="zh-CN"/>
              </w:rPr>
              <w:t>般固体废物的贮存执行《中华人民共和国固体废物污染环境防治法》的贮存要求，参照《一般工业固体废物贮存和填埋污染控制标准》（GB18599-2020）。危险废物的贮存执行《危险废物贮存污染控制标准》（GB18597-2023）的要求。</w:t>
            </w:r>
          </w:p>
          <w:p w14:paraId="406C1B0D">
            <w:pPr>
              <w:adjustRightInd w:val="0"/>
              <w:snapToGrid w:val="0"/>
              <w:jc w:val="center"/>
              <w:rPr>
                <w:rFonts w:hint="eastAsia" w:cs="Times New Roman"/>
                <w:snapToGrid/>
                <w:color w:val="auto"/>
                <w:spacing w:val="0"/>
                <w:kern w:val="0"/>
                <w:position w:val="0"/>
                <w:szCs w:val="21"/>
                <w:lang w:val="en-US" w:eastAsia="zh-CN"/>
              </w:rPr>
            </w:pPr>
          </w:p>
          <w:p w14:paraId="5203B377">
            <w:pPr>
              <w:adjustRightInd w:val="0"/>
              <w:snapToGrid w:val="0"/>
              <w:jc w:val="center"/>
              <w:rPr>
                <w:rFonts w:hint="eastAsia" w:cs="Times New Roman"/>
                <w:snapToGrid/>
                <w:color w:val="auto"/>
                <w:spacing w:val="0"/>
                <w:kern w:val="0"/>
                <w:position w:val="0"/>
                <w:szCs w:val="21"/>
                <w:lang w:val="en-US" w:eastAsia="zh-CN"/>
              </w:rPr>
            </w:pPr>
          </w:p>
          <w:p w14:paraId="59F24A05">
            <w:pPr>
              <w:adjustRightInd w:val="0"/>
              <w:snapToGrid w:val="0"/>
              <w:jc w:val="center"/>
              <w:rPr>
                <w:rFonts w:hint="eastAsia" w:cs="Times New Roman"/>
                <w:snapToGrid/>
                <w:color w:val="auto"/>
                <w:spacing w:val="0"/>
                <w:kern w:val="0"/>
                <w:position w:val="0"/>
                <w:szCs w:val="21"/>
                <w:lang w:val="en-US" w:eastAsia="zh-CN"/>
              </w:rPr>
            </w:pPr>
          </w:p>
          <w:p w14:paraId="2FCEFFE6">
            <w:pPr>
              <w:adjustRightInd w:val="0"/>
              <w:snapToGrid w:val="0"/>
              <w:jc w:val="center"/>
              <w:rPr>
                <w:rFonts w:hint="eastAsia" w:cs="Times New Roman"/>
                <w:snapToGrid/>
                <w:color w:val="auto"/>
                <w:spacing w:val="0"/>
                <w:kern w:val="0"/>
                <w:position w:val="0"/>
                <w:szCs w:val="21"/>
                <w:lang w:val="en-US" w:eastAsia="zh-CN"/>
              </w:rPr>
            </w:pPr>
          </w:p>
          <w:p w14:paraId="556BD06F">
            <w:pPr>
              <w:adjustRightInd w:val="0"/>
              <w:snapToGrid w:val="0"/>
              <w:jc w:val="center"/>
              <w:rPr>
                <w:rFonts w:hint="eastAsia" w:cs="Times New Roman"/>
                <w:snapToGrid/>
                <w:color w:val="auto"/>
                <w:spacing w:val="0"/>
                <w:kern w:val="0"/>
                <w:position w:val="0"/>
                <w:szCs w:val="21"/>
                <w:lang w:val="en-US" w:eastAsia="zh-CN"/>
              </w:rPr>
            </w:pPr>
          </w:p>
          <w:p w14:paraId="02A01710">
            <w:pPr>
              <w:adjustRightInd w:val="0"/>
              <w:snapToGrid w:val="0"/>
              <w:jc w:val="center"/>
              <w:rPr>
                <w:rFonts w:hint="eastAsia" w:cs="Times New Roman"/>
                <w:snapToGrid/>
                <w:color w:val="auto"/>
                <w:spacing w:val="0"/>
                <w:kern w:val="0"/>
                <w:position w:val="0"/>
                <w:szCs w:val="21"/>
                <w:lang w:val="en-US" w:eastAsia="zh-CN"/>
              </w:rPr>
            </w:pPr>
          </w:p>
          <w:p w14:paraId="6B4C04E5">
            <w:pPr>
              <w:adjustRightInd w:val="0"/>
              <w:snapToGrid w:val="0"/>
              <w:jc w:val="center"/>
              <w:rPr>
                <w:rFonts w:hint="eastAsia" w:cs="Times New Roman"/>
                <w:snapToGrid/>
                <w:color w:val="auto"/>
                <w:spacing w:val="0"/>
                <w:kern w:val="0"/>
                <w:position w:val="0"/>
                <w:szCs w:val="21"/>
                <w:lang w:val="en-US" w:eastAsia="zh-CN"/>
              </w:rPr>
            </w:pPr>
          </w:p>
          <w:p w14:paraId="16CED6BA">
            <w:pPr>
              <w:adjustRightInd w:val="0"/>
              <w:snapToGrid w:val="0"/>
              <w:jc w:val="center"/>
              <w:rPr>
                <w:rFonts w:hint="eastAsia" w:cs="Times New Roman"/>
                <w:snapToGrid/>
                <w:color w:val="auto"/>
                <w:spacing w:val="0"/>
                <w:kern w:val="0"/>
                <w:position w:val="0"/>
                <w:szCs w:val="21"/>
                <w:lang w:val="en-US" w:eastAsia="zh-CN"/>
              </w:rPr>
            </w:pPr>
          </w:p>
          <w:p w14:paraId="78D4EBF5">
            <w:pPr>
              <w:adjustRightInd w:val="0"/>
              <w:snapToGrid w:val="0"/>
              <w:jc w:val="center"/>
              <w:rPr>
                <w:rFonts w:hint="eastAsia" w:cs="Times New Roman"/>
                <w:snapToGrid/>
                <w:color w:val="auto"/>
                <w:spacing w:val="0"/>
                <w:kern w:val="0"/>
                <w:position w:val="0"/>
                <w:szCs w:val="21"/>
                <w:lang w:val="en-US" w:eastAsia="zh-CN"/>
              </w:rPr>
            </w:pPr>
          </w:p>
          <w:p w14:paraId="6672FE76">
            <w:pPr>
              <w:adjustRightInd w:val="0"/>
              <w:snapToGrid w:val="0"/>
              <w:jc w:val="center"/>
              <w:rPr>
                <w:rFonts w:hint="eastAsia" w:cs="Times New Roman"/>
                <w:snapToGrid/>
                <w:color w:val="auto"/>
                <w:spacing w:val="0"/>
                <w:kern w:val="0"/>
                <w:position w:val="0"/>
                <w:szCs w:val="21"/>
                <w:lang w:val="en-US" w:eastAsia="zh-CN"/>
              </w:rPr>
            </w:pPr>
          </w:p>
          <w:p w14:paraId="739163FB">
            <w:pPr>
              <w:adjustRightInd w:val="0"/>
              <w:snapToGrid w:val="0"/>
              <w:jc w:val="center"/>
              <w:rPr>
                <w:rFonts w:hint="eastAsia" w:cs="Times New Roman"/>
                <w:snapToGrid/>
                <w:color w:val="auto"/>
                <w:spacing w:val="0"/>
                <w:kern w:val="0"/>
                <w:position w:val="0"/>
                <w:szCs w:val="21"/>
                <w:lang w:val="en-US" w:eastAsia="zh-CN"/>
              </w:rPr>
            </w:pPr>
          </w:p>
          <w:p w14:paraId="454D1C83">
            <w:pPr>
              <w:adjustRightInd w:val="0"/>
              <w:snapToGrid w:val="0"/>
              <w:jc w:val="center"/>
              <w:rPr>
                <w:rFonts w:hint="eastAsia" w:cs="Times New Roman"/>
                <w:snapToGrid/>
                <w:color w:val="auto"/>
                <w:spacing w:val="0"/>
                <w:kern w:val="0"/>
                <w:position w:val="0"/>
                <w:szCs w:val="21"/>
                <w:lang w:val="en-US" w:eastAsia="zh-CN"/>
              </w:rPr>
            </w:pPr>
          </w:p>
          <w:p w14:paraId="21FABEC8">
            <w:pPr>
              <w:adjustRightInd w:val="0"/>
              <w:snapToGrid w:val="0"/>
              <w:jc w:val="center"/>
              <w:rPr>
                <w:rFonts w:hint="eastAsia" w:cs="Times New Roman"/>
                <w:snapToGrid/>
                <w:color w:val="auto"/>
                <w:spacing w:val="0"/>
                <w:kern w:val="0"/>
                <w:position w:val="0"/>
                <w:szCs w:val="21"/>
                <w:lang w:val="en-US" w:eastAsia="zh-CN"/>
              </w:rPr>
            </w:pPr>
          </w:p>
          <w:p w14:paraId="6CA1660B">
            <w:pPr>
              <w:adjustRightInd w:val="0"/>
              <w:snapToGrid w:val="0"/>
              <w:jc w:val="center"/>
              <w:rPr>
                <w:rFonts w:hint="eastAsia" w:cs="Times New Roman"/>
                <w:snapToGrid/>
                <w:color w:val="auto"/>
                <w:spacing w:val="0"/>
                <w:kern w:val="0"/>
                <w:position w:val="0"/>
                <w:szCs w:val="21"/>
                <w:lang w:val="en-US" w:eastAsia="zh-CN"/>
              </w:rPr>
            </w:pPr>
          </w:p>
          <w:p w14:paraId="5AD5FFF8">
            <w:pPr>
              <w:adjustRightInd w:val="0"/>
              <w:snapToGrid w:val="0"/>
              <w:jc w:val="center"/>
              <w:rPr>
                <w:rFonts w:hint="eastAsia" w:cs="Times New Roman"/>
                <w:snapToGrid/>
                <w:color w:val="auto"/>
                <w:spacing w:val="0"/>
                <w:kern w:val="0"/>
                <w:position w:val="0"/>
                <w:szCs w:val="21"/>
                <w:lang w:val="en-US" w:eastAsia="zh-CN"/>
              </w:rPr>
            </w:pPr>
          </w:p>
          <w:p w14:paraId="44F44CC6">
            <w:pPr>
              <w:adjustRightInd w:val="0"/>
              <w:snapToGrid w:val="0"/>
              <w:jc w:val="center"/>
              <w:rPr>
                <w:rFonts w:hint="eastAsia" w:cs="Times New Roman"/>
                <w:snapToGrid/>
                <w:color w:val="auto"/>
                <w:spacing w:val="0"/>
                <w:kern w:val="0"/>
                <w:position w:val="0"/>
                <w:szCs w:val="21"/>
                <w:lang w:val="en-US" w:eastAsia="zh-CN"/>
              </w:rPr>
            </w:pPr>
          </w:p>
          <w:p w14:paraId="1AB08AE7">
            <w:pPr>
              <w:adjustRightInd w:val="0"/>
              <w:snapToGrid w:val="0"/>
              <w:jc w:val="center"/>
              <w:rPr>
                <w:rFonts w:hint="eastAsia" w:cs="Times New Roman"/>
                <w:snapToGrid/>
                <w:color w:val="auto"/>
                <w:spacing w:val="0"/>
                <w:kern w:val="0"/>
                <w:position w:val="0"/>
                <w:szCs w:val="21"/>
                <w:lang w:val="en-US" w:eastAsia="zh-CN"/>
              </w:rPr>
            </w:pPr>
          </w:p>
          <w:p w14:paraId="2C5FC5EF">
            <w:pPr>
              <w:adjustRightInd w:val="0"/>
              <w:snapToGrid w:val="0"/>
              <w:jc w:val="center"/>
              <w:rPr>
                <w:rFonts w:hint="eastAsia" w:cs="Times New Roman"/>
                <w:snapToGrid/>
                <w:color w:val="auto"/>
                <w:spacing w:val="0"/>
                <w:kern w:val="0"/>
                <w:position w:val="0"/>
                <w:szCs w:val="21"/>
                <w:lang w:val="en-US" w:eastAsia="zh-CN"/>
              </w:rPr>
            </w:pPr>
          </w:p>
          <w:p w14:paraId="42552BC1">
            <w:pPr>
              <w:adjustRightInd w:val="0"/>
              <w:snapToGrid w:val="0"/>
              <w:jc w:val="center"/>
              <w:rPr>
                <w:rFonts w:hint="eastAsia" w:cs="Times New Roman"/>
                <w:snapToGrid/>
                <w:color w:val="auto"/>
                <w:spacing w:val="0"/>
                <w:kern w:val="0"/>
                <w:position w:val="0"/>
                <w:szCs w:val="21"/>
                <w:lang w:val="en-US" w:eastAsia="zh-CN"/>
              </w:rPr>
            </w:pPr>
          </w:p>
          <w:p w14:paraId="42BD52BB">
            <w:pPr>
              <w:adjustRightInd w:val="0"/>
              <w:snapToGrid w:val="0"/>
              <w:jc w:val="center"/>
              <w:rPr>
                <w:rFonts w:hint="eastAsia" w:cs="Times New Roman"/>
                <w:snapToGrid/>
                <w:color w:val="auto"/>
                <w:spacing w:val="0"/>
                <w:kern w:val="0"/>
                <w:position w:val="0"/>
                <w:szCs w:val="21"/>
                <w:lang w:val="en-US" w:eastAsia="zh-CN"/>
              </w:rPr>
            </w:pPr>
          </w:p>
          <w:p w14:paraId="599238B4">
            <w:pPr>
              <w:adjustRightInd w:val="0"/>
              <w:snapToGrid w:val="0"/>
              <w:jc w:val="center"/>
              <w:rPr>
                <w:rFonts w:hint="eastAsia" w:cs="Times New Roman"/>
                <w:snapToGrid/>
                <w:color w:val="auto"/>
                <w:spacing w:val="0"/>
                <w:kern w:val="0"/>
                <w:position w:val="0"/>
                <w:szCs w:val="21"/>
                <w:lang w:val="en-US" w:eastAsia="zh-CN"/>
              </w:rPr>
            </w:pPr>
          </w:p>
          <w:p w14:paraId="15A3533B">
            <w:pPr>
              <w:adjustRightInd w:val="0"/>
              <w:snapToGrid w:val="0"/>
              <w:jc w:val="center"/>
              <w:rPr>
                <w:rFonts w:hint="eastAsia" w:cs="Times New Roman"/>
                <w:snapToGrid/>
                <w:color w:val="auto"/>
                <w:spacing w:val="0"/>
                <w:kern w:val="0"/>
                <w:position w:val="0"/>
                <w:szCs w:val="21"/>
                <w:lang w:val="en-US" w:eastAsia="zh-CN"/>
              </w:rPr>
            </w:pPr>
          </w:p>
          <w:p w14:paraId="4C9FEA0D">
            <w:pPr>
              <w:adjustRightInd w:val="0"/>
              <w:snapToGrid w:val="0"/>
              <w:jc w:val="center"/>
              <w:rPr>
                <w:rFonts w:hint="eastAsia" w:cs="Times New Roman"/>
                <w:snapToGrid/>
                <w:color w:val="auto"/>
                <w:spacing w:val="0"/>
                <w:kern w:val="0"/>
                <w:position w:val="0"/>
                <w:szCs w:val="21"/>
                <w:lang w:val="en-US" w:eastAsia="zh-CN"/>
              </w:rPr>
            </w:pPr>
          </w:p>
          <w:p w14:paraId="3447E2BE">
            <w:pPr>
              <w:adjustRightInd w:val="0"/>
              <w:snapToGrid w:val="0"/>
              <w:jc w:val="center"/>
              <w:rPr>
                <w:rFonts w:hint="eastAsia" w:cs="Times New Roman"/>
                <w:snapToGrid/>
                <w:color w:val="auto"/>
                <w:spacing w:val="0"/>
                <w:kern w:val="0"/>
                <w:position w:val="0"/>
                <w:szCs w:val="21"/>
                <w:lang w:val="en-US" w:eastAsia="zh-CN"/>
              </w:rPr>
            </w:pPr>
          </w:p>
          <w:p w14:paraId="6FFF8E18">
            <w:pPr>
              <w:adjustRightInd w:val="0"/>
              <w:snapToGrid w:val="0"/>
              <w:jc w:val="center"/>
              <w:rPr>
                <w:rFonts w:hint="eastAsia" w:cs="Times New Roman"/>
                <w:snapToGrid/>
                <w:color w:val="auto"/>
                <w:spacing w:val="0"/>
                <w:kern w:val="0"/>
                <w:position w:val="0"/>
                <w:szCs w:val="21"/>
                <w:lang w:val="en-US" w:eastAsia="zh-CN"/>
              </w:rPr>
            </w:pPr>
          </w:p>
          <w:p w14:paraId="044AE9CB">
            <w:pPr>
              <w:adjustRightInd w:val="0"/>
              <w:snapToGrid w:val="0"/>
              <w:jc w:val="center"/>
              <w:rPr>
                <w:rFonts w:hint="eastAsia" w:cs="Times New Roman"/>
                <w:snapToGrid/>
                <w:color w:val="auto"/>
                <w:spacing w:val="0"/>
                <w:kern w:val="0"/>
                <w:position w:val="0"/>
                <w:szCs w:val="21"/>
                <w:lang w:val="en-US" w:eastAsia="zh-CN"/>
              </w:rPr>
            </w:pPr>
          </w:p>
          <w:p w14:paraId="0A556127">
            <w:pPr>
              <w:adjustRightInd w:val="0"/>
              <w:snapToGrid w:val="0"/>
              <w:jc w:val="center"/>
              <w:rPr>
                <w:rFonts w:hint="eastAsia" w:cs="Times New Roman"/>
                <w:snapToGrid/>
                <w:color w:val="auto"/>
                <w:spacing w:val="0"/>
                <w:kern w:val="0"/>
                <w:position w:val="0"/>
                <w:szCs w:val="21"/>
                <w:lang w:val="en-US" w:eastAsia="zh-CN"/>
              </w:rPr>
            </w:pPr>
          </w:p>
          <w:p w14:paraId="5F61D9EB">
            <w:pPr>
              <w:adjustRightInd w:val="0"/>
              <w:snapToGrid w:val="0"/>
              <w:jc w:val="center"/>
              <w:rPr>
                <w:rFonts w:hint="eastAsia" w:cs="Times New Roman"/>
                <w:snapToGrid/>
                <w:color w:val="auto"/>
                <w:spacing w:val="0"/>
                <w:kern w:val="0"/>
                <w:position w:val="0"/>
                <w:szCs w:val="21"/>
                <w:lang w:val="en-US" w:eastAsia="zh-CN"/>
              </w:rPr>
            </w:pPr>
          </w:p>
          <w:p w14:paraId="3A9738AA">
            <w:pPr>
              <w:adjustRightInd w:val="0"/>
              <w:snapToGrid w:val="0"/>
              <w:jc w:val="center"/>
              <w:rPr>
                <w:rFonts w:hint="eastAsia" w:cs="Times New Roman"/>
                <w:snapToGrid/>
                <w:color w:val="auto"/>
                <w:spacing w:val="0"/>
                <w:kern w:val="0"/>
                <w:position w:val="0"/>
                <w:szCs w:val="21"/>
                <w:lang w:val="en-US" w:eastAsia="zh-CN"/>
              </w:rPr>
            </w:pPr>
          </w:p>
          <w:p w14:paraId="7E099CFC">
            <w:pPr>
              <w:adjustRightInd w:val="0"/>
              <w:snapToGrid w:val="0"/>
              <w:jc w:val="center"/>
              <w:rPr>
                <w:rFonts w:hint="eastAsia" w:cs="Times New Roman"/>
                <w:snapToGrid/>
                <w:color w:val="auto"/>
                <w:spacing w:val="0"/>
                <w:kern w:val="0"/>
                <w:position w:val="0"/>
                <w:szCs w:val="21"/>
                <w:lang w:val="en-US" w:eastAsia="zh-CN"/>
              </w:rPr>
            </w:pPr>
          </w:p>
          <w:p w14:paraId="37646955">
            <w:pPr>
              <w:adjustRightInd w:val="0"/>
              <w:snapToGrid w:val="0"/>
              <w:jc w:val="center"/>
              <w:rPr>
                <w:rFonts w:hint="eastAsia" w:cs="Times New Roman"/>
                <w:snapToGrid/>
                <w:color w:val="auto"/>
                <w:spacing w:val="0"/>
                <w:kern w:val="0"/>
                <w:position w:val="0"/>
                <w:szCs w:val="21"/>
                <w:lang w:val="en-US" w:eastAsia="zh-CN"/>
              </w:rPr>
            </w:pPr>
          </w:p>
          <w:p w14:paraId="153E6C31">
            <w:pPr>
              <w:adjustRightInd w:val="0"/>
              <w:snapToGrid w:val="0"/>
              <w:jc w:val="center"/>
              <w:rPr>
                <w:rFonts w:hint="eastAsia" w:cs="Times New Roman"/>
                <w:snapToGrid/>
                <w:color w:val="auto"/>
                <w:spacing w:val="0"/>
                <w:kern w:val="0"/>
                <w:position w:val="0"/>
                <w:szCs w:val="21"/>
                <w:lang w:val="en-US" w:eastAsia="zh-CN"/>
              </w:rPr>
            </w:pPr>
          </w:p>
          <w:p w14:paraId="729AED42">
            <w:pPr>
              <w:adjustRightInd w:val="0"/>
              <w:snapToGrid w:val="0"/>
              <w:jc w:val="center"/>
              <w:rPr>
                <w:rFonts w:hint="eastAsia" w:cs="Times New Roman"/>
                <w:snapToGrid/>
                <w:color w:val="auto"/>
                <w:spacing w:val="0"/>
                <w:kern w:val="0"/>
                <w:position w:val="0"/>
                <w:szCs w:val="21"/>
                <w:lang w:val="en-US" w:eastAsia="zh-CN"/>
              </w:rPr>
            </w:pPr>
          </w:p>
          <w:p w14:paraId="54B858AA">
            <w:pPr>
              <w:adjustRightInd w:val="0"/>
              <w:snapToGrid w:val="0"/>
              <w:jc w:val="center"/>
              <w:rPr>
                <w:rFonts w:hint="eastAsia" w:cs="Times New Roman"/>
                <w:snapToGrid/>
                <w:color w:val="auto"/>
                <w:spacing w:val="0"/>
                <w:kern w:val="0"/>
                <w:position w:val="0"/>
                <w:szCs w:val="21"/>
                <w:lang w:val="en-US" w:eastAsia="zh-CN"/>
              </w:rPr>
            </w:pPr>
          </w:p>
          <w:p w14:paraId="29908758">
            <w:pPr>
              <w:adjustRightInd w:val="0"/>
              <w:snapToGrid w:val="0"/>
              <w:jc w:val="center"/>
              <w:rPr>
                <w:rFonts w:hint="eastAsia" w:cs="Times New Roman"/>
                <w:snapToGrid/>
                <w:color w:val="auto"/>
                <w:spacing w:val="0"/>
                <w:kern w:val="0"/>
                <w:position w:val="0"/>
                <w:szCs w:val="21"/>
                <w:lang w:val="en-US" w:eastAsia="zh-CN"/>
              </w:rPr>
            </w:pPr>
          </w:p>
          <w:p w14:paraId="3B7F5FBC">
            <w:pPr>
              <w:adjustRightInd w:val="0"/>
              <w:snapToGrid w:val="0"/>
              <w:jc w:val="center"/>
              <w:rPr>
                <w:rFonts w:hint="eastAsia" w:cs="Times New Roman"/>
                <w:snapToGrid/>
                <w:color w:val="auto"/>
                <w:spacing w:val="0"/>
                <w:kern w:val="0"/>
                <w:position w:val="0"/>
                <w:szCs w:val="21"/>
                <w:lang w:val="en-US" w:eastAsia="zh-CN"/>
              </w:rPr>
            </w:pPr>
          </w:p>
          <w:p w14:paraId="1C8492A2">
            <w:pPr>
              <w:adjustRightInd w:val="0"/>
              <w:snapToGrid w:val="0"/>
              <w:jc w:val="center"/>
              <w:rPr>
                <w:rFonts w:hint="eastAsia" w:cs="Times New Roman"/>
                <w:snapToGrid/>
                <w:color w:val="auto"/>
                <w:spacing w:val="0"/>
                <w:kern w:val="0"/>
                <w:position w:val="0"/>
                <w:szCs w:val="21"/>
                <w:lang w:val="en-US" w:eastAsia="zh-CN"/>
              </w:rPr>
            </w:pPr>
          </w:p>
          <w:p w14:paraId="7A789A68">
            <w:pPr>
              <w:adjustRightInd w:val="0"/>
              <w:snapToGrid w:val="0"/>
              <w:jc w:val="center"/>
              <w:rPr>
                <w:rFonts w:hint="eastAsia" w:cs="Times New Roman"/>
                <w:snapToGrid/>
                <w:color w:val="auto"/>
                <w:spacing w:val="0"/>
                <w:kern w:val="0"/>
                <w:position w:val="0"/>
                <w:szCs w:val="21"/>
                <w:lang w:val="en-US" w:eastAsia="zh-CN"/>
              </w:rPr>
            </w:pPr>
          </w:p>
          <w:p w14:paraId="46E079AD">
            <w:pPr>
              <w:adjustRightInd w:val="0"/>
              <w:snapToGrid w:val="0"/>
              <w:jc w:val="center"/>
              <w:rPr>
                <w:rFonts w:hint="eastAsia" w:cs="Times New Roman"/>
                <w:snapToGrid/>
                <w:color w:val="auto"/>
                <w:spacing w:val="0"/>
                <w:kern w:val="0"/>
                <w:position w:val="0"/>
                <w:szCs w:val="21"/>
                <w:lang w:val="en-US" w:eastAsia="zh-CN"/>
              </w:rPr>
            </w:pPr>
          </w:p>
          <w:p w14:paraId="48D4E84C">
            <w:pPr>
              <w:adjustRightInd w:val="0"/>
              <w:snapToGrid w:val="0"/>
              <w:jc w:val="center"/>
              <w:rPr>
                <w:rFonts w:hint="eastAsia" w:cs="Times New Roman"/>
                <w:snapToGrid/>
                <w:color w:val="auto"/>
                <w:spacing w:val="0"/>
                <w:kern w:val="0"/>
                <w:position w:val="0"/>
                <w:szCs w:val="21"/>
                <w:lang w:val="en-US" w:eastAsia="zh-CN"/>
              </w:rPr>
            </w:pPr>
          </w:p>
          <w:p w14:paraId="64B5015B">
            <w:pPr>
              <w:adjustRightInd w:val="0"/>
              <w:snapToGrid w:val="0"/>
              <w:jc w:val="center"/>
              <w:rPr>
                <w:rFonts w:hint="eastAsia" w:cs="Times New Roman"/>
                <w:snapToGrid/>
                <w:color w:val="auto"/>
                <w:spacing w:val="0"/>
                <w:kern w:val="0"/>
                <w:position w:val="0"/>
                <w:szCs w:val="21"/>
                <w:lang w:val="en-US" w:eastAsia="zh-CN"/>
              </w:rPr>
            </w:pPr>
          </w:p>
          <w:p w14:paraId="03E9EE44">
            <w:pPr>
              <w:adjustRightInd w:val="0"/>
              <w:snapToGrid w:val="0"/>
              <w:jc w:val="center"/>
              <w:rPr>
                <w:rFonts w:hint="eastAsia" w:cs="Times New Roman"/>
                <w:snapToGrid/>
                <w:color w:val="auto"/>
                <w:spacing w:val="0"/>
                <w:kern w:val="0"/>
                <w:position w:val="0"/>
                <w:szCs w:val="21"/>
                <w:lang w:val="en-US" w:eastAsia="zh-CN"/>
              </w:rPr>
            </w:pPr>
          </w:p>
          <w:p w14:paraId="4F79DEE5">
            <w:pPr>
              <w:adjustRightInd w:val="0"/>
              <w:snapToGrid w:val="0"/>
              <w:jc w:val="center"/>
              <w:rPr>
                <w:rFonts w:hint="eastAsia" w:cs="Times New Roman"/>
                <w:snapToGrid/>
                <w:color w:val="auto"/>
                <w:spacing w:val="0"/>
                <w:kern w:val="0"/>
                <w:position w:val="0"/>
                <w:szCs w:val="21"/>
                <w:lang w:val="en-US" w:eastAsia="zh-CN"/>
              </w:rPr>
            </w:pPr>
          </w:p>
          <w:p w14:paraId="4263098C">
            <w:pPr>
              <w:adjustRightInd w:val="0"/>
              <w:snapToGrid w:val="0"/>
              <w:jc w:val="center"/>
              <w:rPr>
                <w:rFonts w:hint="eastAsia" w:cs="Times New Roman"/>
                <w:snapToGrid/>
                <w:color w:val="auto"/>
                <w:spacing w:val="0"/>
                <w:kern w:val="0"/>
                <w:position w:val="0"/>
                <w:szCs w:val="21"/>
                <w:lang w:val="en-US" w:eastAsia="zh-CN"/>
              </w:rPr>
            </w:pPr>
          </w:p>
          <w:p w14:paraId="1E969EF5">
            <w:pPr>
              <w:adjustRightInd w:val="0"/>
              <w:snapToGrid w:val="0"/>
              <w:jc w:val="center"/>
              <w:rPr>
                <w:rFonts w:hint="eastAsia" w:cs="Times New Roman"/>
                <w:snapToGrid/>
                <w:color w:val="auto"/>
                <w:spacing w:val="0"/>
                <w:kern w:val="0"/>
                <w:position w:val="0"/>
                <w:szCs w:val="21"/>
                <w:lang w:val="en-US" w:eastAsia="zh-CN"/>
              </w:rPr>
            </w:pPr>
          </w:p>
          <w:p w14:paraId="59E172A6">
            <w:pPr>
              <w:adjustRightInd w:val="0"/>
              <w:snapToGrid w:val="0"/>
              <w:jc w:val="center"/>
              <w:rPr>
                <w:rFonts w:hint="eastAsia" w:cs="Times New Roman"/>
                <w:snapToGrid/>
                <w:color w:val="auto"/>
                <w:spacing w:val="0"/>
                <w:kern w:val="0"/>
                <w:position w:val="0"/>
                <w:szCs w:val="21"/>
                <w:lang w:val="en-US" w:eastAsia="zh-CN"/>
              </w:rPr>
            </w:pPr>
          </w:p>
          <w:p w14:paraId="6BBD0154">
            <w:pPr>
              <w:adjustRightInd w:val="0"/>
              <w:snapToGrid w:val="0"/>
              <w:jc w:val="center"/>
              <w:rPr>
                <w:rFonts w:hint="eastAsia" w:cs="Times New Roman"/>
                <w:snapToGrid/>
                <w:color w:val="auto"/>
                <w:spacing w:val="0"/>
                <w:kern w:val="0"/>
                <w:position w:val="0"/>
                <w:szCs w:val="21"/>
                <w:lang w:val="en-US" w:eastAsia="zh-CN"/>
              </w:rPr>
            </w:pPr>
          </w:p>
          <w:p w14:paraId="0B3F1552">
            <w:pPr>
              <w:adjustRightInd w:val="0"/>
              <w:snapToGrid w:val="0"/>
              <w:jc w:val="both"/>
              <w:rPr>
                <w:rFonts w:hint="default" w:cs="Times New Roman"/>
                <w:snapToGrid/>
                <w:color w:val="auto"/>
                <w:spacing w:val="0"/>
                <w:kern w:val="0"/>
                <w:position w:val="0"/>
                <w:szCs w:val="21"/>
                <w:lang w:val="en-US" w:eastAsia="zh-CN"/>
              </w:rPr>
            </w:pPr>
          </w:p>
          <w:p w14:paraId="2A1A78C3">
            <w:pPr>
              <w:adjustRightInd w:val="0"/>
              <w:snapToGrid w:val="0"/>
              <w:jc w:val="both"/>
              <w:rPr>
                <w:rFonts w:hint="default" w:ascii="Times New Roman" w:hAnsi="Times New Roman" w:eastAsia="宋体" w:cs="Times New Roman"/>
                <w:snapToGrid/>
                <w:color w:val="auto"/>
                <w:spacing w:val="0"/>
                <w:kern w:val="0"/>
                <w:position w:val="0"/>
                <w:szCs w:val="21"/>
                <w:lang w:val="en-US" w:eastAsia="zh-CN"/>
              </w:rPr>
            </w:pPr>
          </w:p>
        </w:tc>
      </w:tr>
      <w:tr w14:paraId="09A084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14" w:hRule="atLeast"/>
          <w:jc w:val="center"/>
        </w:trPr>
        <w:tc>
          <w:tcPr>
            <w:tcW w:w="567" w:type="dxa"/>
            <w:tcBorders>
              <w:tl2br w:val="nil"/>
              <w:tr2bl w:val="nil"/>
            </w:tcBorders>
            <w:noWrap w:val="0"/>
            <w:vAlign w:val="center"/>
          </w:tcPr>
          <w:p w14:paraId="48A5B61B">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总量</w:t>
            </w:r>
          </w:p>
          <w:p w14:paraId="68132BCD">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控制</w:t>
            </w:r>
          </w:p>
          <w:p w14:paraId="3DAAA6B9">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指标</w:t>
            </w:r>
          </w:p>
        </w:tc>
        <w:tc>
          <w:tcPr>
            <w:tcW w:w="8539" w:type="dxa"/>
            <w:tcBorders>
              <w:tl2br w:val="nil"/>
              <w:tr2bl w:val="nil"/>
            </w:tcBorders>
            <w:noWrap w:val="0"/>
            <w:vAlign w:val="center"/>
          </w:tcPr>
          <w:p w14:paraId="5B559E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《关于进一步加强建设项目新增大气主要污染物总量指标管理工作的通知》（安徽省环保厅（皖环发【2017】19号）</w:t>
            </w:r>
            <w:r>
              <w:rPr>
                <w:rFonts w:hint="eastAsia" w:ascii="Times New Roman" w:hAnsi="Times New Roman" w:cs="宋体"/>
                <w:color w:val="auto"/>
                <w:sz w:val="24"/>
                <w:szCs w:val="24"/>
              </w:rPr>
              <w:t>：“为进一步加强大气主要污染物源头管控，有效落实《大气污染防治行动计划》、《建设项目主要污染物排放总量指标审核及管理暂行办法》等，确保大气环境质量改善目标任务顺利完成，现就加强建设项目新增大气主要污染物总量指标管理工作通知</w:t>
            </w:r>
            <w:r>
              <w:rPr>
                <w:rFonts w:hint="default" w:ascii="Times New Roman" w:hAnsi="Times New Roman" w:eastAsia="宋体" w:cs="Times New Roman"/>
                <w:color w:val="auto"/>
                <w:sz w:val="24"/>
                <w:szCs w:val="24"/>
                <w:lang w:val="en-US" w:eastAsia="zh-CN"/>
              </w:rPr>
              <w:t>如下：</w:t>
            </w:r>
          </w:p>
          <w:p w14:paraId="76B0175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自2017年04月起，新增大气主要污染物排放的建设项目环境影响评价文件审批前必须取得的总量指标从两项增加为四项。在二氧化硫（SO</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lang w:val="en-US" w:eastAsia="zh-CN"/>
              </w:rPr>
              <w:t>）、氮氧化物（NO</w:t>
            </w:r>
            <w:r>
              <w:rPr>
                <w:rFonts w:hint="default" w:ascii="Times New Roman" w:hAnsi="Times New Roman" w:eastAsia="宋体" w:cs="Times New Roman"/>
                <w:color w:val="auto"/>
                <w:sz w:val="24"/>
                <w:szCs w:val="24"/>
                <w:vertAlign w:val="subscript"/>
                <w:lang w:val="en-US" w:eastAsia="zh-CN"/>
              </w:rPr>
              <w:t>x</w:t>
            </w:r>
            <w:r>
              <w:rPr>
                <w:rFonts w:hint="default" w:ascii="Times New Roman" w:hAnsi="Times New Roman" w:eastAsia="宋体" w:cs="Times New Roman"/>
                <w:color w:val="auto"/>
                <w:sz w:val="24"/>
                <w:szCs w:val="24"/>
                <w:lang w:val="en-US" w:eastAsia="zh-CN"/>
              </w:rPr>
              <w:t>）的基础上增加烟（粉）尘、挥发性有机物（VOCs）两项指标。</w:t>
            </w:r>
          </w:p>
          <w:p w14:paraId="1E5531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snapToGrid/>
                <w:color w:val="auto"/>
                <w:spacing w:val="0"/>
                <w:kern w:val="0"/>
                <w:position w:val="0"/>
                <w:lang w:eastAsia="zh-CN"/>
              </w:rPr>
            </w:pPr>
            <w:r>
              <w:rPr>
                <w:rFonts w:hint="default" w:ascii="Times New Roman" w:hAnsi="Times New Roman" w:eastAsia="宋体" w:cs="Times New Roman"/>
                <w:color w:val="auto"/>
                <w:sz w:val="24"/>
                <w:szCs w:val="24"/>
                <w:highlight w:val="none"/>
                <w:lang w:val="en-US" w:eastAsia="zh-CN"/>
              </w:rPr>
              <w:t>项目无生产废水</w:t>
            </w:r>
            <w:r>
              <w:rPr>
                <w:rFonts w:hint="eastAsia" w:ascii="Times New Roman" w:hAnsi="Times New Roman" w:eastAsia="宋体" w:cs="Times New Roman"/>
                <w:color w:val="auto"/>
                <w:sz w:val="24"/>
                <w:szCs w:val="24"/>
                <w:highlight w:val="none"/>
                <w:lang w:val="en-US" w:eastAsia="zh-CN"/>
              </w:rPr>
              <w:t>外排</w:t>
            </w:r>
            <w:r>
              <w:rPr>
                <w:rFonts w:hint="eastAsia"/>
                <w:color w:val="auto"/>
                <w:sz w:val="24"/>
                <w:szCs w:val="24"/>
                <w:highlight w:val="none"/>
                <w:shd w:val="clear" w:color="auto" w:fill="auto"/>
                <w:lang w:val="en-US" w:eastAsia="zh-CN"/>
              </w:rPr>
              <w:t>；生活污水经化粪池处理后定期清掏</w:t>
            </w:r>
            <w:r>
              <w:rPr>
                <w:rFonts w:hint="eastAsia" w:cs="Times New Roman"/>
                <w:color w:val="auto"/>
                <w:kern w:val="0"/>
                <w:sz w:val="24"/>
                <w:szCs w:val="24"/>
                <w:highlight w:val="none"/>
                <w:lang w:val="en-US" w:eastAsia="zh-CN" w:bidi="ar"/>
              </w:rPr>
              <w:t>，不外排</w:t>
            </w:r>
            <w:r>
              <w:rPr>
                <w:rFonts w:hint="eastAsia"/>
                <w:color w:val="auto"/>
                <w:sz w:val="24"/>
                <w:szCs w:val="24"/>
                <w:highlight w:val="none"/>
                <w:shd w:val="clear" w:color="auto" w:fill="auto"/>
                <w:lang w:val="en-US" w:eastAsia="zh-CN"/>
              </w:rPr>
              <w:t>。</w:t>
            </w:r>
          </w:p>
          <w:p w14:paraId="1BADC9E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b w:val="0"/>
                <w:bCs/>
                <w:color w:val="auto"/>
                <w:sz w:val="24"/>
                <w:szCs w:val="24"/>
                <w:lang w:eastAsia="zh-CN"/>
              </w:rPr>
              <w:t>根据</w:t>
            </w:r>
            <w:r>
              <w:rPr>
                <w:rFonts w:hint="eastAsia" w:ascii="Times New Roman" w:hAnsi="Times New Roman" w:cs="Times New Roman"/>
                <w:color w:val="auto"/>
                <w:sz w:val="24"/>
                <w:szCs w:val="24"/>
                <w:lang w:val="en-US" w:eastAsia="zh-CN"/>
              </w:rPr>
              <w:t>上述</w:t>
            </w:r>
            <w:r>
              <w:rPr>
                <w:rFonts w:hint="eastAsia" w:ascii="宋体" w:hAnsi="宋体" w:eastAsia="宋体" w:cs="宋体"/>
                <w:b w:val="0"/>
                <w:bCs w:val="0"/>
                <w:snapToGrid/>
                <w:color w:val="auto"/>
                <w:spacing w:val="0"/>
                <w:kern w:val="0"/>
                <w:position w:val="0"/>
                <w:sz w:val="24"/>
                <w:szCs w:val="24"/>
              </w:rPr>
              <w:t>与项目有关的原有环境污染问题</w:t>
            </w:r>
            <w:r>
              <w:rPr>
                <w:rFonts w:hint="eastAsia" w:ascii="宋体" w:hAnsi="宋体" w:eastAsia="宋体" w:cs="宋体"/>
                <w:b w:val="0"/>
                <w:bCs w:val="0"/>
                <w:snapToGrid/>
                <w:color w:val="auto"/>
                <w:spacing w:val="0"/>
                <w:kern w:val="0"/>
                <w:position w:val="0"/>
                <w:sz w:val="24"/>
                <w:szCs w:val="24"/>
                <w:lang w:val="en-US" w:eastAsia="zh-CN"/>
              </w:rPr>
              <w:t>现有工程污染物实际排放总量及在建工程污染物排放总量核算</w:t>
            </w:r>
            <w:r>
              <w:rPr>
                <w:rFonts w:hint="eastAsia" w:ascii="Times New Roman" w:hAnsi="Times New Roman" w:cs="Times New Roman"/>
                <w:color w:val="auto"/>
                <w:sz w:val="24"/>
                <w:szCs w:val="24"/>
                <w:lang w:val="en-US" w:eastAsia="zh-CN"/>
              </w:rPr>
              <w:t>，</w:t>
            </w:r>
            <w:r>
              <w:rPr>
                <w:rFonts w:hint="default" w:ascii="Times New Roman" w:hAnsi="Times New Roman" w:eastAsia="宋体" w:cs="Times New Roman"/>
                <w:b w:val="0"/>
                <w:bCs/>
                <w:color w:val="auto"/>
                <w:sz w:val="24"/>
                <w:szCs w:val="24"/>
                <w:lang w:eastAsia="zh-CN"/>
              </w:rPr>
              <w:t>扩建前</w:t>
            </w:r>
            <w:r>
              <w:rPr>
                <w:color w:val="auto"/>
                <w:sz w:val="24"/>
              </w:rPr>
              <w:t>废气污染物</w:t>
            </w:r>
            <w:r>
              <w:rPr>
                <w:rFonts w:hint="eastAsia" w:ascii="Times New Roman" w:hAnsi="Times New Roman" w:eastAsia="宋体" w:cs="Times New Roman"/>
                <w:b w:val="0"/>
                <w:bCs/>
                <w:color w:val="auto"/>
                <w:sz w:val="24"/>
                <w:szCs w:val="24"/>
                <w:lang w:eastAsia="zh-CN"/>
              </w:rPr>
              <w:t>排放量</w:t>
            </w:r>
            <w:r>
              <w:rPr>
                <w:rFonts w:hint="default" w:ascii="Times New Roman" w:hAnsi="Times New Roman" w:eastAsia="宋体" w:cs="Times New Roman"/>
                <w:b w:val="0"/>
                <w:bCs/>
                <w:color w:val="auto"/>
                <w:sz w:val="24"/>
                <w:szCs w:val="24"/>
                <w:lang w:eastAsia="zh-CN"/>
              </w:rPr>
              <w:t>为：</w:t>
            </w:r>
            <w:r>
              <w:rPr>
                <w:rFonts w:hint="default" w:ascii="Times New Roman" w:hAnsi="Times New Roman" w:eastAsia="宋体" w:cs="Times New Roman"/>
                <w:color w:val="auto"/>
                <w:kern w:val="0"/>
                <w:sz w:val="24"/>
                <w:szCs w:val="24"/>
                <w:lang w:val="en-US" w:eastAsia="zh-CN" w:bidi="ar"/>
              </w:rPr>
              <w:t>烟（粉）尘：</w:t>
            </w:r>
            <w:r>
              <w:rPr>
                <w:rFonts w:hint="eastAsia" w:cs="Times New Roman"/>
                <w:color w:val="auto"/>
                <w:kern w:val="0"/>
                <w:sz w:val="24"/>
                <w:szCs w:val="24"/>
                <w:lang w:val="en-US" w:eastAsia="zh-CN" w:bidi="ar"/>
              </w:rPr>
              <w:t>0.041</w:t>
            </w:r>
            <w:r>
              <w:rPr>
                <w:rFonts w:hint="default" w:ascii="Times New Roman" w:hAnsi="Times New Roman" w:eastAsia="宋体" w:cs="Times New Roman"/>
                <w:color w:val="auto"/>
                <w:sz w:val="24"/>
                <w:szCs w:val="24"/>
                <w:lang w:val="en-US" w:eastAsia="zh-CN"/>
              </w:rPr>
              <w:t>t/a；挥发性有机物（VOCs）</w:t>
            </w:r>
            <w:r>
              <w:rPr>
                <w:rFonts w:hint="default" w:ascii="Times New Roman" w:hAnsi="Times New Roman" w:eastAsia="宋体" w:cs="Times New Roman"/>
                <w:color w:val="auto"/>
                <w:sz w:val="24"/>
                <w:szCs w:val="24"/>
                <w:vertAlign w:val="baseline"/>
                <w:lang w:val="en-US" w:eastAsia="zh-CN"/>
              </w:rPr>
              <w:t>：</w:t>
            </w:r>
            <w:r>
              <w:rPr>
                <w:rFonts w:hint="eastAsia" w:cs="Times New Roman"/>
                <w:color w:val="auto"/>
                <w:sz w:val="24"/>
                <w:szCs w:val="24"/>
                <w:lang w:val="en-US" w:eastAsia="zh-CN"/>
              </w:rPr>
              <w:t>0.132</w:t>
            </w:r>
            <w:r>
              <w:rPr>
                <w:rFonts w:hint="default" w:ascii="Times New Roman" w:hAnsi="Times New Roman" w:eastAsia="宋体" w:cs="Times New Roman"/>
                <w:color w:val="auto"/>
                <w:sz w:val="24"/>
                <w:szCs w:val="24"/>
                <w:lang w:val="en-US" w:eastAsia="zh-CN"/>
              </w:rPr>
              <w:t>t/a。</w:t>
            </w:r>
          </w:p>
          <w:p w14:paraId="54A369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color w:val="auto"/>
                <w:sz w:val="24"/>
              </w:rPr>
            </w:pPr>
            <w:r>
              <w:rPr>
                <w:rFonts w:hint="eastAsia"/>
                <w:color w:val="auto"/>
                <w:sz w:val="24"/>
                <w:lang w:eastAsia="zh-CN"/>
              </w:rPr>
              <w:t>根据主要环境影响和保护措施分析计算，本</w:t>
            </w:r>
            <w:r>
              <w:rPr>
                <w:color w:val="auto"/>
                <w:sz w:val="24"/>
              </w:rPr>
              <w:t>项目运营期排放的废气污染物</w:t>
            </w:r>
            <w:r>
              <w:rPr>
                <w:rFonts w:hint="eastAsia" w:ascii="Times New Roman" w:hAnsi="Times New Roman" w:eastAsia="宋体" w:cs="Times New Roman"/>
                <w:b w:val="0"/>
                <w:bCs/>
                <w:color w:val="auto"/>
                <w:sz w:val="24"/>
                <w:szCs w:val="24"/>
                <w:lang w:eastAsia="zh-CN"/>
              </w:rPr>
              <w:t>排放量</w:t>
            </w:r>
            <w:r>
              <w:rPr>
                <w:rFonts w:hint="default" w:ascii="Times New Roman" w:hAnsi="Times New Roman" w:eastAsia="宋体" w:cs="Times New Roman"/>
                <w:b w:val="0"/>
                <w:bCs/>
                <w:color w:val="auto"/>
                <w:sz w:val="24"/>
                <w:szCs w:val="24"/>
                <w:lang w:eastAsia="zh-CN"/>
              </w:rPr>
              <w:t>为：</w:t>
            </w:r>
            <w:r>
              <w:rPr>
                <w:color w:val="auto"/>
                <w:sz w:val="24"/>
              </w:rPr>
              <w:t>粉尘：</w:t>
            </w:r>
            <w:r>
              <w:rPr>
                <w:rFonts w:hint="eastAsia"/>
                <w:color w:val="auto"/>
                <w:sz w:val="24"/>
                <w:lang w:val="en-US" w:eastAsia="zh-CN"/>
              </w:rPr>
              <w:t>0.0293</w:t>
            </w:r>
            <w:r>
              <w:rPr>
                <w:color w:val="auto"/>
                <w:sz w:val="24"/>
              </w:rPr>
              <w:t>t/a；VOCs：</w:t>
            </w:r>
            <w:r>
              <w:rPr>
                <w:rFonts w:hint="eastAsia"/>
                <w:color w:val="auto"/>
                <w:sz w:val="24"/>
                <w:lang w:val="en-US" w:eastAsia="zh-CN"/>
              </w:rPr>
              <w:t>0.0889</w:t>
            </w:r>
            <w:r>
              <w:rPr>
                <w:color w:val="auto"/>
                <w:sz w:val="24"/>
              </w:rPr>
              <w:t>t/a。</w:t>
            </w:r>
          </w:p>
          <w:p w14:paraId="12AB5E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bCs w:val="0"/>
                <w:color w:val="auto"/>
                <w:sz w:val="24"/>
                <w:szCs w:val="24"/>
                <w:lang w:eastAsia="zh-CN"/>
              </w:rPr>
            </w:pPr>
            <w:r>
              <w:rPr>
                <w:rFonts w:hint="eastAsia" w:cs="Times New Roman"/>
                <w:color w:val="auto"/>
                <w:sz w:val="24"/>
                <w:szCs w:val="24"/>
                <w:lang w:val="en-US" w:eastAsia="zh-CN"/>
              </w:rPr>
              <w:t>扩建后颗粒物废气处理措施布袋除尘器提高处理效率，有机废气处理措施改为</w:t>
            </w:r>
            <w:r>
              <w:rPr>
                <w:rFonts w:hint="eastAsia" w:cs="Times New Roman"/>
                <w:b w:val="0"/>
                <w:bCs w:val="0"/>
                <w:snapToGrid/>
                <w:color w:val="auto"/>
                <w:spacing w:val="0"/>
                <w:kern w:val="0"/>
                <w:position w:val="0"/>
                <w:sz w:val="24"/>
                <w:szCs w:val="24"/>
                <w:lang w:val="en-US" w:eastAsia="zh-CN" w:bidi="ar-SA"/>
              </w:rPr>
              <w:t>二级活性炭吸附装置，则</w:t>
            </w:r>
            <w:r>
              <w:rPr>
                <w:rFonts w:hint="eastAsia" w:ascii="宋体" w:hAnsi="宋体" w:eastAsia="宋体" w:cs="宋体"/>
                <w:b w:val="0"/>
                <w:bCs w:val="0"/>
                <w:snapToGrid/>
                <w:color w:val="auto"/>
                <w:spacing w:val="0"/>
                <w:kern w:val="0"/>
                <w:position w:val="0"/>
                <w:sz w:val="24"/>
                <w:szCs w:val="24"/>
                <w:lang w:val="en-US" w:eastAsia="zh-CN"/>
              </w:rPr>
              <w:t>全厂污染物污染物排放总量</w:t>
            </w:r>
            <w:r>
              <w:rPr>
                <w:rFonts w:hint="default" w:ascii="Times New Roman" w:hAnsi="Times New Roman" w:eastAsia="宋体" w:cs="Times New Roman"/>
                <w:b w:val="0"/>
                <w:bCs/>
                <w:color w:val="auto"/>
                <w:sz w:val="24"/>
                <w:szCs w:val="24"/>
                <w:lang w:eastAsia="zh-CN"/>
              </w:rPr>
              <w:t>为：</w:t>
            </w:r>
            <w:r>
              <w:rPr>
                <w:rFonts w:hint="default" w:ascii="Times New Roman" w:hAnsi="Times New Roman" w:eastAsia="宋体" w:cs="Times New Roman"/>
                <w:color w:val="auto"/>
                <w:kern w:val="0"/>
                <w:sz w:val="24"/>
                <w:szCs w:val="24"/>
                <w:lang w:val="en-US" w:eastAsia="zh-CN" w:bidi="ar"/>
              </w:rPr>
              <w:t>烟（粉）尘：</w:t>
            </w:r>
            <w:r>
              <w:rPr>
                <w:rFonts w:hint="eastAsia" w:cs="Times New Roman"/>
                <w:color w:val="auto"/>
                <w:kern w:val="0"/>
                <w:sz w:val="24"/>
                <w:szCs w:val="24"/>
                <w:lang w:val="en-US" w:eastAsia="zh-CN" w:bidi="ar"/>
              </w:rPr>
              <w:t>0.0586</w:t>
            </w:r>
            <w:r>
              <w:rPr>
                <w:rFonts w:hint="default" w:ascii="Times New Roman" w:hAnsi="Times New Roman" w:eastAsia="宋体" w:cs="Times New Roman"/>
                <w:color w:val="auto"/>
                <w:sz w:val="24"/>
                <w:szCs w:val="24"/>
                <w:lang w:val="en-US" w:eastAsia="zh-CN"/>
              </w:rPr>
              <w:t>t/a；挥发性有机物（VOCs）</w:t>
            </w:r>
            <w:r>
              <w:rPr>
                <w:rFonts w:hint="default" w:ascii="Times New Roman" w:hAnsi="Times New Roman" w:eastAsia="宋体" w:cs="Times New Roman"/>
                <w:color w:val="auto"/>
                <w:sz w:val="24"/>
                <w:szCs w:val="24"/>
                <w:vertAlign w:val="baseline"/>
                <w:lang w:val="en-US" w:eastAsia="zh-CN"/>
              </w:rPr>
              <w:t>：</w:t>
            </w:r>
            <w:r>
              <w:rPr>
                <w:rFonts w:hint="eastAsia" w:ascii="Times New Roman" w:hAnsi="Times New Roman" w:eastAsia="宋体" w:cs="Times New Roman"/>
                <w:color w:val="auto"/>
                <w:sz w:val="24"/>
                <w:szCs w:val="24"/>
                <w:vertAlign w:val="baseline"/>
                <w:lang w:val="en-US" w:eastAsia="zh-CN"/>
              </w:rPr>
              <w:t>0</w:t>
            </w:r>
            <w:r>
              <w:rPr>
                <w:rFonts w:hint="eastAsia" w:cs="Times New Roman"/>
                <w:color w:val="auto"/>
                <w:sz w:val="24"/>
                <w:szCs w:val="24"/>
                <w:vertAlign w:val="baseline"/>
                <w:lang w:val="en-US" w:eastAsia="zh-CN"/>
              </w:rPr>
              <w:t>.1778</w:t>
            </w:r>
            <w:r>
              <w:rPr>
                <w:rFonts w:hint="default" w:ascii="Times New Roman" w:hAnsi="Times New Roman" w:eastAsia="宋体" w:cs="Times New Roman"/>
                <w:color w:val="auto"/>
                <w:sz w:val="24"/>
                <w:szCs w:val="24"/>
                <w:lang w:val="en-US" w:eastAsia="zh-CN"/>
              </w:rPr>
              <w:t>t/a。</w:t>
            </w:r>
          </w:p>
          <w:p w14:paraId="3315A23F">
            <w:pPr>
              <w:pStyle w:val="27"/>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表3.13</w:t>
            </w:r>
            <w:r>
              <w:rPr>
                <w:rFonts w:hint="eastAsia" w:cs="Times New Roman"/>
                <w:b/>
                <w:bCs/>
                <w:color w:val="auto"/>
                <w:sz w:val="24"/>
                <w:szCs w:val="24"/>
                <w:lang w:val="en-US" w:eastAsia="zh-CN"/>
              </w:rPr>
              <w:t xml:space="preserve">  项目</w:t>
            </w:r>
            <w:r>
              <w:rPr>
                <w:rFonts w:hint="eastAsia" w:ascii="Times New Roman" w:hAnsi="Times New Roman" w:eastAsia="宋体" w:cs="Times New Roman"/>
                <w:b/>
                <w:bCs/>
                <w:color w:val="auto"/>
                <w:kern w:val="2"/>
                <w:lang w:eastAsia="zh-CN"/>
              </w:rPr>
              <w:t>大气污染物排放“三本帐”</w:t>
            </w:r>
            <w:r>
              <w:rPr>
                <w:rFonts w:hint="eastAsia" w:ascii="Times New Roman" w:hAnsi="Times New Roman" w:eastAsia="宋体" w:cs="Times New Roman"/>
                <w:b/>
                <w:bCs/>
                <w:color w:val="auto"/>
                <w:kern w:val="2"/>
                <w:lang w:val="en-US" w:eastAsia="zh-CN"/>
              </w:rPr>
              <w:t xml:space="preserve"> 单位：t/a</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93"/>
              <w:gridCol w:w="1343"/>
              <w:gridCol w:w="1177"/>
              <w:gridCol w:w="1177"/>
              <w:gridCol w:w="1138"/>
              <w:gridCol w:w="1331"/>
            </w:tblGrid>
            <w:tr w14:paraId="6045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noWrap w:val="0"/>
                  <w:vAlign w:val="center"/>
                </w:tcPr>
                <w:p w14:paraId="46B40BEA">
                  <w:pPr>
                    <w:pStyle w:val="27"/>
                    <w:keepNext w:val="0"/>
                    <w:keepLines w:val="0"/>
                    <w:pageBreakBefore w:val="0"/>
                    <w:numPr>
                      <w:ilvl w:val="0"/>
                      <w:numId w:val="0"/>
                    </w:numPr>
                    <w:kinsoku/>
                    <w:wordWrap/>
                    <w:overflowPunct/>
                    <w:topLinePunct w:val="0"/>
                    <w:bidi w:val="0"/>
                    <w:adjustRightInd w:val="0"/>
                    <w:snapToGrid w:val="0"/>
                    <w:spacing w:before="63" w:beforeLines="20"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类别</w:t>
                  </w:r>
                </w:p>
              </w:tc>
              <w:tc>
                <w:tcPr>
                  <w:tcW w:w="1293" w:type="dxa"/>
                  <w:noWrap w:val="0"/>
                  <w:vAlign w:val="center"/>
                </w:tcPr>
                <w:p w14:paraId="7B8AB3FE">
                  <w:pPr>
                    <w:pStyle w:val="27"/>
                    <w:keepNext w:val="0"/>
                    <w:keepLines w:val="0"/>
                    <w:pageBreakBefore w:val="0"/>
                    <w:numPr>
                      <w:ilvl w:val="0"/>
                      <w:numId w:val="0"/>
                    </w:numPr>
                    <w:kinsoku/>
                    <w:wordWrap/>
                    <w:overflowPunct/>
                    <w:topLinePunct w:val="0"/>
                    <w:bidi w:val="0"/>
                    <w:adjustRightInd w:val="0"/>
                    <w:snapToGrid w:val="0"/>
                    <w:spacing w:before="63" w:beforeLines="20"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污染物名称</w:t>
                  </w:r>
                </w:p>
              </w:tc>
              <w:tc>
                <w:tcPr>
                  <w:tcW w:w="1343" w:type="dxa"/>
                  <w:noWrap w:val="0"/>
                  <w:vAlign w:val="center"/>
                </w:tcPr>
                <w:p w14:paraId="2ED57C38">
                  <w:pPr>
                    <w:pStyle w:val="27"/>
                    <w:keepNext w:val="0"/>
                    <w:keepLines w:val="0"/>
                    <w:pageBreakBefore w:val="0"/>
                    <w:numPr>
                      <w:ilvl w:val="0"/>
                      <w:numId w:val="0"/>
                    </w:numPr>
                    <w:kinsoku/>
                    <w:wordWrap/>
                    <w:overflowPunct/>
                    <w:topLinePunct w:val="0"/>
                    <w:bidi w:val="0"/>
                    <w:adjustRightInd w:val="0"/>
                    <w:snapToGrid w:val="0"/>
                    <w:spacing w:before="63" w:beforeLines="20"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扩建</w:t>
                  </w:r>
                  <w:r>
                    <w:rPr>
                      <w:rFonts w:hint="default" w:ascii="Times New Roman" w:hAnsi="Times New Roman" w:eastAsia="宋体" w:cs="Times New Roman"/>
                      <w:b w:val="0"/>
                      <w:bCs w:val="0"/>
                      <w:color w:val="auto"/>
                      <w:sz w:val="21"/>
                      <w:szCs w:val="21"/>
                      <w:vertAlign w:val="baseline"/>
                      <w:lang w:val="en-US" w:eastAsia="zh-CN"/>
                    </w:rPr>
                    <w:t>前排放量</w:t>
                  </w:r>
                </w:p>
              </w:tc>
              <w:tc>
                <w:tcPr>
                  <w:tcW w:w="1177" w:type="dxa"/>
                  <w:shd w:val="clear" w:color="auto" w:fill="auto"/>
                  <w:noWrap w:val="0"/>
                  <w:vAlign w:val="center"/>
                </w:tcPr>
                <w:p w14:paraId="00D91BDB">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Times New Roman" w:hAnsi="Times New Roman" w:eastAsia="宋体" w:cs="Times New Roman"/>
                      <w:snapToGrid/>
                      <w:color w:val="auto"/>
                      <w:spacing w:val="0"/>
                      <w:kern w:val="0"/>
                      <w:position w:val="0"/>
                      <w:sz w:val="21"/>
                      <w:szCs w:val="21"/>
                      <w:lang w:val="en-US" w:eastAsia="zh-CN" w:bidi="ar-SA"/>
                    </w:rPr>
                  </w:pPr>
                  <w:r>
                    <w:rPr>
                      <w:rFonts w:hint="default" w:ascii="Times New Roman" w:hAnsi="Times New Roman" w:eastAsia="宋体" w:cs="Times New Roman"/>
                      <w:snapToGrid/>
                      <w:color w:val="auto"/>
                      <w:spacing w:val="0"/>
                      <w:kern w:val="0"/>
                      <w:position w:val="0"/>
                      <w:sz w:val="21"/>
                      <w:szCs w:val="21"/>
                    </w:rPr>
                    <w:t>本项目排放量</w:t>
                  </w:r>
                </w:p>
              </w:tc>
              <w:tc>
                <w:tcPr>
                  <w:tcW w:w="1177" w:type="dxa"/>
                  <w:noWrap w:val="0"/>
                  <w:vAlign w:val="center"/>
                </w:tcPr>
                <w:p w14:paraId="56407C09">
                  <w:pPr>
                    <w:pStyle w:val="27"/>
                    <w:keepNext w:val="0"/>
                    <w:keepLines w:val="0"/>
                    <w:pageBreakBefore w:val="0"/>
                    <w:numPr>
                      <w:ilvl w:val="0"/>
                      <w:numId w:val="0"/>
                    </w:numPr>
                    <w:kinsoku/>
                    <w:wordWrap/>
                    <w:overflowPunct/>
                    <w:topLinePunct w:val="0"/>
                    <w:bidi w:val="0"/>
                    <w:adjustRightInd w:val="0"/>
                    <w:snapToGrid w:val="0"/>
                    <w:spacing w:before="63" w:beforeLines="20"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“以新带老”</w:t>
                  </w:r>
                  <w:r>
                    <w:rPr>
                      <w:rFonts w:hint="default" w:ascii="Times New Roman" w:hAnsi="Times New Roman" w:eastAsia="宋体" w:cs="Times New Roman"/>
                      <w:b w:val="0"/>
                      <w:bCs w:val="0"/>
                      <w:color w:val="auto"/>
                      <w:sz w:val="21"/>
                      <w:szCs w:val="21"/>
                      <w:vertAlign w:val="baseline"/>
                      <w:lang w:val="en-US" w:eastAsia="zh-CN"/>
                    </w:rPr>
                    <w:t>削减量</w:t>
                  </w:r>
                </w:p>
              </w:tc>
              <w:tc>
                <w:tcPr>
                  <w:tcW w:w="1138" w:type="dxa"/>
                  <w:noWrap w:val="0"/>
                  <w:vAlign w:val="center"/>
                </w:tcPr>
                <w:p w14:paraId="7164057B">
                  <w:pPr>
                    <w:pStyle w:val="27"/>
                    <w:keepNext w:val="0"/>
                    <w:keepLines w:val="0"/>
                    <w:pageBreakBefore w:val="0"/>
                    <w:numPr>
                      <w:ilvl w:val="0"/>
                      <w:numId w:val="0"/>
                    </w:numPr>
                    <w:kinsoku/>
                    <w:wordWrap/>
                    <w:overflowPunct/>
                    <w:topLinePunct w:val="0"/>
                    <w:bidi w:val="0"/>
                    <w:adjustRightInd w:val="0"/>
                    <w:snapToGrid w:val="0"/>
                    <w:spacing w:before="63" w:beforeLines="20"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扩建</w:t>
                  </w:r>
                  <w:r>
                    <w:rPr>
                      <w:rFonts w:hint="default" w:ascii="Times New Roman" w:hAnsi="Times New Roman" w:eastAsia="宋体" w:cs="Times New Roman"/>
                      <w:b w:val="0"/>
                      <w:bCs w:val="0"/>
                      <w:color w:val="auto"/>
                      <w:sz w:val="21"/>
                      <w:szCs w:val="21"/>
                      <w:vertAlign w:val="baseline"/>
                      <w:lang w:val="en-US" w:eastAsia="zh-CN"/>
                    </w:rPr>
                    <w:t>后总排放量</w:t>
                  </w:r>
                </w:p>
              </w:tc>
              <w:tc>
                <w:tcPr>
                  <w:tcW w:w="1331" w:type="dxa"/>
                  <w:noWrap w:val="0"/>
                  <w:vAlign w:val="center"/>
                </w:tcPr>
                <w:p w14:paraId="7F49EBDA">
                  <w:pPr>
                    <w:pStyle w:val="27"/>
                    <w:keepNext w:val="0"/>
                    <w:keepLines w:val="0"/>
                    <w:pageBreakBefore w:val="0"/>
                    <w:numPr>
                      <w:ilvl w:val="0"/>
                      <w:numId w:val="0"/>
                    </w:numPr>
                    <w:kinsoku/>
                    <w:wordWrap/>
                    <w:overflowPunct/>
                    <w:topLinePunct w:val="0"/>
                    <w:bidi w:val="0"/>
                    <w:adjustRightInd w:val="0"/>
                    <w:snapToGrid w:val="0"/>
                    <w:spacing w:before="63" w:beforeLines="20"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排放增减量</w:t>
                  </w:r>
                </w:p>
              </w:tc>
            </w:tr>
            <w:tr w14:paraId="1A08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vMerge w:val="restart"/>
                  <w:shd w:val="clear" w:color="auto" w:fill="auto"/>
                  <w:noWrap w:val="0"/>
                  <w:vAlign w:val="center"/>
                </w:tcPr>
                <w:p w14:paraId="6B64E40E">
                  <w:pPr>
                    <w:pStyle w:val="27"/>
                    <w:keepNext w:val="0"/>
                    <w:keepLines w:val="0"/>
                    <w:pageBreakBefore w:val="0"/>
                    <w:numPr>
                      <w:ilvl w:val="0"/>
                      <w:numId w:val="0"/>
                    </w:numPr>
                    <w:kinsoku/>
                    <w:wordWrap/>
                    <w:overflowPunct/>
                    <w:topLinePunct w:val="0"/>
                    <w:bidi w:val="0"/>
                    <w:adjustRightInd w:val="0"/>
                    <w:snapToGrid w:val="0"/>
                    <w:spacing w:before="63" w:beforeLines="20"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废</w:t>
                  </w:r>
                  <w:r>
                    <w:rPr>
                      <w:rFonts w:hint="eastAsia" w:ascii="Times New Roman" w:hAnsi="Times New Roman" w:eastAsia="宋体" w:cs="Times New Roman"/>
                      <w:b w:val="0"/>
                      <w:bCs w:val="0"/>
                      <w:color w:val="auto"/>
                      <w:sz w:val="21"/>
                      <w:szCs w:val="21"/>
                      <w:vertAlign w:val="baseline"/>
                      <w:lang w:val="en-US" w:eastAsia="zh-CN"/>
                    </w:rPr>
                    <w:t>气</w:t>
                  </w:r>
                </w:p>
              </w:tc>
              <w:tc>
                <w:tcPr>
                  <w:tcW w:w="1293" w:type="dxa"/>
                  <w:shd w:val="clear" w:color="auto" w:fill="auto"/>
                  <w:noWrap w:val="0"/>
                  <w:vAlign w:val="center"/>
                </w:tcPr>
                <w:p w14:paraId="44995023">
                  <w:pPr>
                    <w:keepNext w:val="0"/>
                    <w:keepLines w:val="0"/>
                    <w:pageBreakBefore w:val="0"/>
                    <w:widowControl w:val="0"/>
                    <w:kinsoku/>
                    <w:wordWrap/>
                    <w:overflowPunct/>
                    <w:topLinePunct w:val="0"/>
                    <w:autoSpaceDE/>
                    <w:autoSpaceDN/>
                    <w:bidi w:val="0"/>
                    <w:adjustRightInd w:val="0"/>
                    <w:snapToGrid w:val="0"/>
                    <w:spacing w:before="63" w:beforeLines="20" w:line="240" w:lineRule="auto"/>
                    <w:ind w:right="0" w:rightChars="0" w:firstLine="0" w:firstLine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bidi="ar-SA"/>
                    </w:rPr>
                  </w:pPr>
                  <w:r>
                    <w:rPr>
                      <w:rFonts w:hint="eastAsia" w:ascii="Times New Roman" w:hAnsi="Times New Roman" w:eastAsia="宋体" w:cs="Times New Roman"/>
                      <w:color w:val="auto"/>
                      <w:sz w:val="21"/>
                      <w:szCs w:val="21"/>
                      <w:lang w:val="en-US" w:eastAsia="zh-CN"/>
                    </w:rPr>
                    <w:t>颗粒物</w:t>
                  </w:r>
                </w:p>
              </w:tc>
              <w:tc>
                <w:tcPr>
                  <w:tcW w:w="1343" w:type="dxa"/>
                  <w:shd w:val="clear" w:color="auto" w:fill="auto"/>
                  <w:noWrap w:val="0"/>
                  <w:vAlign w:val="center"/>
                </w:tcPr>
                <w:p w14:paraId="3C2D586C">
                  <w:pPr>
                    <w:pStyle w:val="38"/>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cs="Times New Roman"/>
                      <w:color w:val="auto"/>
                      <w:sz w:val="21"/>
                      <w:szCs w:val="21"/>
                      <w:highlight w:val="none"/>
                      <w:lang w:val="en-US" w:eastAsia="zh-CN"/>
                    </w:rPr>
                    <w:t>0.041</w:t>
                  </w:r>
                </w:p>
              </w:tc>
              <w:tc>
                <w:tcPr>
                  <w:tcW w:w="1177" w:type="dxa"/>
                  <w:shd w:val="clear" w:color="auto" w:fill="auto"/>
                  <w:noWrap w:val="0"/>
                  <w:vAlign w:val="center"/>
                </w:tcPr>
                <w:p w14:paraId="2BD42712">
                  <w:pPr>
                    <w:pStyle w:val="38"/>
                    <w:keepNext w:val="0"/>
                    <w:keepLines w:val="0"/>
                    <w:pageBreakBefore w:val="0"/>
                    <w:kinsoku/>
                    <w:wordWrap/>
                    <w:overflowPunct/>
                    <w:topLinePunct w:val="0"/>
                    <w:bidi w:val="0"/>
                    <w:spacing w:beforeLines="0" w:afterLines="0" w:line="240" w:lineRule="auto"/>
                    <w:ind w:left="0" w:leftChars="0"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cs="Times New Roman"/>
                      <w:color w:val="auto"/>
                      <w:kern w:val="2"/>
                      <w:sz w:val="21"/>
                      <w:szCs w:val="21"/>
                      <w:highlight w:val="none"/>
                      <w:lang w:val="en-US" w:eastAsia="zh-CN"/>
                    </w:rPr>
                    <w:t>0.0293</w:t>
                  </w:r>
                </w:p>
              </w:tc>
              <w:tc>
                <w:tcPr>
                  <w:tcW w:w="1177" w:type="dxa"/>
                  <w:shd w:val="clear" w:color="auto" w:fill="auto"/>
                  <w:noWrap w:val="0"/>
                  <w:vAlign w:val="center"/>
                </w:tcPr>
                <w:p w14:paraId="2956821D">
                  <w:pPr>
                    <w:pStyle w:val="38"/>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cs="Times New Roman"/>
                      <w:color w:val="auto"/>
                      <w:kern w:val="0"/>
                      <w:sz w:val="21"/>
                      <w:szCs w:val="21"/>
                      <w:highlight w:val="none"/>
                      <w:lang w:val="en-US" w:eastAsia="zh-CN" w:bidi="ar-SA"/>
                    </w:rPr>
                    <w:t>0.0103</w:t>
                  </w:r>
                </w:p>
              </w:tc>
              <w:tc>
                <w:tcPr>
                  <w:tcW w:w="1138" w:type="dxa"/>
                  <w:shd w:val="clear" w:color="auto" w:fill="auto"/>
                  <w:noWrap w:val="0"/>
                  <w:vAlign w:val="center"/>
                </w:tcPr>
                <w:p w14:paraId="1C864A95">
                  <w:pPr>
                    <w:pStyle w:val="38"/>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cs="Times New Roman"/>
                      <w:color w:val="auto"/>
                      <w:sz w:val="21"/>
                      <w:szCs w:val="21"/>
                      <w:highlight w:val="none"/>
                      <w:lang w:val="en-US" w:eastAsia="zh-CN"/>
                    </w:rPr>
                    <w:t>0.06</w:t>
                  </w:r>
                </w:p>
              </w:tc>
              <w:tc>
                <w:tcPr>
                  <w:tcW w:w="1331" w:type="dxa"/>
                  <w:shd w:val="clear" w:color="auto" w:fill="auto"/>
                  <w:noWrap w:val="0"/>
                  <w:vAlign w:val="center"/>
                </w:tcPr>
                <w:p w14:paraId="6C3AFD57">
                  <w:pPr>
                    <w:pStyle w:val="38"/>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cs="Times New Roman"/>
                      <w:color w:val="auto"/>
                      <w:sz w:val="21"/>
                      <w:szCs w:val="21"/>
                      <w:highlight w:val="none"/>
                      <w:lang w:val="en-US" w:eastAsia="zh-CN"/>
                    </w:rPr>
                    <w:t>+0.019</w:t>
                  </w:r>
                </w:p>
              </w:tc>
            </w:tr>
            <w:tr w14:paraId="631A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vMerge w:val="continue"/>
                  <w:shd w:val="clear" w:color="auto" w:fill="auto"/>
                  <w:noWrap w:val="0"/>
                  <w:vAlign w:val="center"/>
                </w:tcPr>
                <w:p w14:paraId="4BCC96C7">
                  <w:pPr>
                    <w:pStyle w:val="27"/>
                    <w:keepNext w:val="0"/>
                    <w:keepLines w:val="0"/>
                    <w:pageBreakBefore w:val="0"/>
                    <w:numPr>
                      <w:ilvl w:val="0"/>
                      <w:numId w:val="0"/>
                    </w:numPr>
                    <w:kinsoku/>
                    <w:wordWrap/>
                    <w:overflowPunct/>
                    <w:topLinePunct w:val="0"/>
                    <w:bidi w:val="0"/>
                    <w:adjustRightInd w:val="0"/>
                    <w:snapToGrid w:val="0"/>
                    <w:spacing w:before="63" w:beforeLines="20" w:line="240" w:lineRule="auto"/>
                    <w:jc w:val="center"/>
                    <w:rPr>
                      <w:rFonts w:hint="default" w:ascii="Times New Roman" w:hAnsi="Times New Roman" w:eastAsia="宋体" w:cs="Times New Roman"/>
                      <w:b w:val="0"/>
                      <w:bCs w:val="0"/>
                      <w:color w:val="auto"/>
                      <w:sz w:val="21"/>
                      <w:szCs w:val="21"/>
                      <w:vertAlign w:val="baseline"/>
                      <w:lang w:val="en-US" w:eastAsia="zh-CN"/>
                    </w:rPr>
                  </w:pPr>
                </w:p>
              </w:tc>
              <w:tc>
                <w:tcPr>
                  <w:tcW w:w="1293" w:type="dxa"/>
                  <w:shd w:val="clear" w:color="auto" w:fill="auto"/>
                  <w:noWrap w:val="0"/>
                  <w:vAlign w:val="center"/>
                </w:tcPr>
                <w:p w14:paraId="32F86A7A">
                  <w:pPr>
                    <w:keepNext w:val="0"/>
                    <w:keepLines w:val="0"/>
                    <w:pageBreakBefore w:val="0"/>
                    <w:widowControl w:val="0"/>
                    <w:kinsoku/>
                    <w:wordWrap/>
                    <w:overflowPunct/>
                    <w:topLinePunct w:val="0"/>
                    <w:autoSpaceDE/>
                    <w:autoSpaceDN/>
                    <w:bidi w:val="0"/>
                    <w:adjustRightInd w:val="0"/>
                    <w:snapToGrid w:val="0"/>
                    <w:spacing w:before="63" w:beforeLines="20" w:line="240" w:lineRule="auto"/>
                    <w:ind w:right="0" w:rightChars="0" w:firstLine="0" w:firstLine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bidi="ar-SA"/>
                    </w:rPr>
                  </w:pPr>
                  <w:r>
                    <w:rPr>
                      <w:color w:val="auto"/>
                      <w:sz w:val="21"/>
                      <w:szCs w:val="21"/>
                    </w:rPr>
                    <w:t>VOCs</w:t>
                  </w:r>
                </w:p>
              </w:tc>
              <w:tc>
                <w:tcPr>
                  <w:tcW w:w="1343" w:type="dxa"/>
                  <w:shd w:val="clear" w:color="auto" w:fill="auto"/>
                  <w:noWrap w:val="0"/>
                  <w:vAlign w:val="center"/>
                </w:tcPr>
                <w:p w14:paraId="2975EE35">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0.</w:t>
                  </w:r>
                  <w:r>
                    <w:rPr>
                      <w:rFonts w:hint="eastAsia" w:cs="Times New Roman"/>
                      <w:color w:val="auto"/>
                      <w:sz w:val="21"/>
                      <w:szCs w:val="21"/>
                      <w:highlight w:val="none"/>
                      <w:lang w:val="en-US" w:eastAsia="zh-CN"/>
                    </w:rPr>
                    <w:t>132</w:t>
                  </w:r>
                </w:p>
              </w:tc>
              <w:tc>
                <w:tcPr>
                  <w:tcW w:w="1177" w:type="dxa"/>
                  <w:shd w:val="clear" w:color="auto" w:fill="auto"/>
                  <w:noWrap w:val="0"/>
                  <w:vAlign w:val="center"/>
                </w:tcPr>
                <w:p w14:paraId="1032DB57">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0.0891</w:t>
                  </w:r>
                </w:p>
              </w:tc>
              <w:tc>
                <w:tcPr>
                  <w:tcW w:w="1177" w:type="dxa"/>
                  <w:shd w:val="clear" w:color="auto" w:fill="auto"/>
                  <w:noWrap w:val="0"/>
                  <w:vAlign w:val="center"/>
                </w:tcPr>
                <w:p w14:paraId="2445E0E2">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0.0431</w:t>
                  </w:r>
                </w:p>
              </w:tc>
              <w:tc>
                <w:tcPr>
                  <w:tcW w:w="1138" w:type="dxa"/>
                  <w:shd w:val="clear" w:color="auto" w:fill="auto"/>
                  <w:noWrap w:val="0"/>
                  <w:vAlign w:val="center"/>
                </w:tcPr>
                <w:p w14:paraId="3AE9F66C">
                  <w:pPr>
                    <w:pStyle w:val="38"/>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cs="Times New Roman"/>
                      <w:color w:val="auto"/>
                      <w:sz w:val="21"/>
                      <w:szCs w:val="21"/>
                      <w:highlight w:val="none"/>
                      <w:lang w:val="en-US" w:eastAsia="zh-CN"/>
                    </w:rPr>
                    <w:t>0.178</w:t>
                  </w:r>
                </w:p>
              </w:tc>
              <w:tc>
                <w:tcPr>
                  <w:tcW w:w="1331" w:type="dxa"/>
                  <w:shd w:val="clear" w:color="auto" w:fill="auto"/>
                  <w:noWrap w:val="0"/>
                  <w:vAlign w:val="center"/>
                </w:tcPr>
                <w:p w14:paraId="28358E75">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+0.046</w:t>
                  </w:r>
                </w:p>
              </w:tc>
            </w:tr>
          </w:tbl>
          <w:p w14:paraId="1F90E73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both"/>
              <w:textAlignment w:val="auto"/>
              <w:rPr>
                <w:rFonts w:hint="eastAsia" w:cs="Times New Roman"/>
                <w:b/>
                <w:bCs w:val="0"/>
                <w:color w:val="auto"/>
                <w:sz w:val="24"/>
                <w:szCs w:val="24"/>
                <w:lang w:val="en-US" w:eastAsia="zh-CN"/>
              </w:rPr>
            </w:pPr>
            <w:r>
              <w:rPr>
                <w:rFonts w:hint="default" w:ascii="Times New Roman" w:hAnsi="Times New Roman" w:eastAsia="宋体" w:cs="Times New Roman"/>
                <w:b w:val="0"/>
                <w:bCs/>
                <w:color w:val="auto"/>
                <w:sz w:val="24"/>
                <w:szCs w:val="24"/>
                <w:lang w:eastAsia="zh-CN"/>
              </w:rPr>
              <w:t>项目已于20</w:t>
            </w:r>
            <w:r>
              <w:rPr>
                <w:rFonts w:hint="eastAsia" w:ascii="Times New Roman" w:hAnsi="Times New Roman" w:cs="Times New Roman"/>
                <w:b w:val="0"/>
                <w:bCs/>
                <w:color w:val="auto"/>
                <w:sz w:val="24"/>
                <w:szCs w:val="24"/>
                <w:lang w:val="en-US" w:eastAsia="zh-CN"/>
              </w:rPr>
              <w:t>25</w:t>
            </w:r>
            <w:r>
              <w:rPr>
                <w:rFonts w:hint="default" w:ascii="Times New Roman" w:hAnsi="Times New Roman" w:eastAsia="宋体" w:cs="Times New Roman"/>
                <w:b w:val="0"/>
                <w:bCs/>
                <w:color w:val="auto"/>
                <w:sz w:val="24"/>
                <w:szCs w:val="24"/>
                <w:lang w:eastAsia="zh-CN"/>
              </w:rPr>
              <w:t>年</w:t>
            </w:r>
            <w:r>
              <w:rPr>
                <w:rFonts w:hint="eastAsia" w:cs="Times New Roman"/>
                <w:b w:val="0"/>
                <w:bCs/>
                <w:color w:val="auto"/>
                <w:sz w:val="24"/>
                <w:szCs w:val="24"/>
                <w:lang w:val="en-US" w:eastAsia="zh-CN"/>
              </w:rPr>
              <w:t>6</w:t>
            </w:r>
            <w:r>
              <w:rPr>
                <w:rFonts w:hint="default" w:ascii="Times New Roman" w:hAnsi="Times New Roman" w:eastAsia="宋体" w:cs="Times New Roman"/>
                <w:b w:val="0"/>
                <w:bCs/>
                <w:color w:val="auto"/>
                <w:sz w:val="24"/>
                <w:szCs w:val="24"/>
                <w:lang w:eastAsia="zh-CN"/>
              </w:rPr>
              <w:t>月</w:t>
            </w:r>
            <w:r>
              <w:rPr>
                <w:rFonts w:hint="eastAsia" w:cs="Times New Roman"/>
                <w:b w:val="0"/>
                <w:bCs/>
                <w:color w:val="auto"/>
                <w:sz w:val="24"/>
                <w:szCs w:val="24"/>
                <w:lang w:val="en-US" w:eastAsia="zh-CN"/>
              </w:rPr>
              <w:t>12</w:t>
            </w:r>
            <w:r>
              <w:rPr>
                <w:rFonts w:hint="default" w:ascii="Times New Roman" w:hAnsi="Times New Roman" w:eastAsia="宋体" w:cs="Times New Roman"/>
                <w:b w:val="0"/>
                <w:bCs/>
                <w:color w:val="auto"/>
                <w:sz w:val="24"/>
                <w:szCs w:val="24"/>
                <w:lang w:eastAsia="zh-CN"/>
              </w:rPr>
              <w:t>日取得《</w:t>
            </w:r>
            <w:r>
              <w:rPr>
                <w:rFonts w:hint="eastAsia" w:cs="Times New Roman"/>
                <w:b w:val="0"/>
                <w:bCs/>
                <w:color w:val="auto"/>
                <w:sz w:val="24"/>
                <w:szCs w:val="24"/>
                <w:lang w:eastAsia="zh-CN"/>
              </w:rPr>
              <w:t>安徽省</w:t>
            </w:r>
            <w:r>
              <w:rPr>
                <w:rFonts w:hint="default" w:ascii="Times New Roman" w:hAnsi="Times New Roman" w:eastAsia="宋体" w:cs="Times New Roman"/>
                <w:b w:val="0"/>
                <w:bCs/>
                <w:color w:val="auto"/>
                <w:sz w:val="24"/>
                <w:szCs w:val="24"/>
                <w:lang w:eastAsia="zh-CN"/>
              </w:rPr>
              <w:t>建设项目主要污染物</w:t>
            </w:r>
            <w:r>
              <w:rPr>
                <w:rFonts w:hint="eastAsia" w:cs="Times New Roman"/>
                <w:b w:val="0"/>
                <w:bCs/>
                <w:color w:val="auto"/>
                <w:sz w:val="24"/>
                <w:szCs w:val="24"/>
                <w:lang w:eastAsia="zh-CN"/>
              </w:rPr>
              <w:t>新增排放容量</w:t>
            </w:r>
            <w:r>
              <w:rPr>
                <w:rFonts w:hint="default" w:ascii="Times New Roman" w:hAnsi="Times New Roman" w:eastAsia="宋体" w:cs="Times New Roman"/>
                <w:b w:val="0"/>
                <w:bCs/>
                <w:color w:val="auto"/>
                <w:sz w:val="24"/>
                <w:szCs w:val="24"/>
                <w:lang w:eastAsia="zh-CN"/>
              </w:rPr>
              <w:t>核定表（</w:t>
            </w:r>
            <w:r>
              <w:rPr>
                <w:rFonts w:hint="eastAsia" w:cs="Times New Roman"/>
                <w:b w:val="0"/>
                <w:bCs/>
                <w:color w:val="auto"/>
                <w:sz w:val="24"/>
                <w:szCs w:val="24"/>
                <w:lang w:val="en-US" w:eastAsia="zh-CN"/>
              </w:rPr>
              <w:t>2025</w:t>
            </w:r>
            <w:r>
              <w:rPr>
                <w:rFonts w:hint="default" w:ascii="Times New Roman" w:hAnsi="Times New Roman" w:eastAsia="宋体" w:cs="Times New Roman"/>
                <w:b w:val="0"/>
                <w:bCs/>
                <w:color w:val="auto"/>
                <w:sz w:val="24"/>
                <w:szCs w:val="24"/>
                <w:lang w:eastAsia="zh-CN"/>
              </w:rPr>
              <w:t>）》，本项目烟</w:t>
            </w:r>
            <w:r>
              <w:rPr>
                <w:rFonts w:hint="eastAsia" w:cs="Times New Roman"/>
                <w:b w:val="0"/>
                <w:bCs/>
                <w:color w:val="auto"/>
                <w:sz w:val="24"/>
                <w:szCs w:val="24"/>
                <w:lang w:eastAsia="zh-CN"/>
              </w:rPr>
              <w:t>（</w:t>
            </w:r>
            <w:r>
              <w:rPr>
                <w:rFonts w:hint="default" w:ascii="Times New Roman" w:hAnsi="Times New Roman" w:eastAsia="宋体" w:cs="Times New Roman"/>
                <w:b w:val="0"/>
                <w:bCs/>
                <w:color w:val="auto"/>
                <w:sz w:val="24"/>
                <w:szCs w:val="24"/>
                <w:lang w:eastAsia="zh-CN"/>
              </w:rPr>
              <w:t>粉尘</w:t>
            </w:r>
            <w:r>
              <w:rPr>
                <w:rFonts w:hint="eastAsia" w:cs="Times New Roman"/>
                <w:b w:val="0"/>
                <w:bCs/>
                <w:color w:val="auto"/>
                <w:sz w:val="24"/>
                <w:szCs w:val="24"/>
                <w:lang w:eastAsia="zh-CN"/>
              </w:rPr>
              <w:t>）</w:t>
            </w:r>
            <w:r>
              <w:rPr>
                <w:rFonts w:hint="default" w:ascii="Times New Roman" w:hAnsi="Times New Roman" w:eastAsia="宋体" w:cs="Times New Roman"/>
                <w:b w:val="0"/>
                <w:bCs/>
                <w:color w:val="auto"/>
                <w:sz w:val="24"/>
                <w:szCs w:val="24"/>
                <w:lang w:eastAsia="zh-CN"/>
              </w:rPr>
              <w:t>、挥发性有机物总量指标拟从202</w:t>
            </w:r>
            <w:r>
              <w:rPr>
                <w:rFonts w:hint="eastAsia" w:ascii="Times New Roman" w:hAnsi="Times New Roman" w:eastAsia="宋体" w:cs="Times New Roman"/>
                <w:b w:val="0"/>
                <w:bCs/>
                <w:color w:val="auto"/>
                <w:sz w:val="24"/>
                <w:szCs w:val="24"/>
                <w:lang w:val="en-US" w:eastAsia="zh-CN"/>
              </w:rPr>
              <w:t>3</w:t>
            </w:r>
            <w:r>
              <w:rPr>
                <w:rFonts w:hint="default" w:ascii="Times New Roman" w:hAnsi="Times New Roman" w:eastAsia="宋体" w:cs="Times New Roman"/>
                <w:b w:val="0"/>
                <w:bCs/>
                <w:color w:val="auto"/>
                <w:sz w:val="24"/>
                <w:szCs w:val="24"/>
                <w:lang w:eastAsia="zh-CN"/>
              </w:rPr>
              <w:t>年度</w:t>
            </w:r>
            <w:r>
              <w:rPr>
                <w:rFonts w:hint="eastAsia" w:cs="Times New Roman"/>
                <w:b w:val="0"/>
                <w:bCs/>
                <w:color w:val="auto"/>
                <w:sz w:val="24"/>
                <w:szCs w:val="24"/>
                <w:lang w:eastAsia="zh-CN"/>
              </w:rPr>
              <w:t>认定的灵璧县七星建材有限公司建设项目</w:t>
            </w:r>
            <w:r>
              <w:rPr>
                <w:rFonts w:hint="default" w:ascii="Times New Roman" w:hAnsi="Times New Roman" w:eastAsia="宋体" w:cs="Times New Roman"/>
                <w:b w:val="0"/>
                <w:bCs/>
                <w:color w:val="auto"/>
                <w:sz w:val="24"/>
                <w:szCs w:val="24"/>
                <w:lang w:eastAsia="zh-CN"/>
              </w:rPr>
              <w:t>、</w:t>
            </w:r>
            <w:r>
              <w:rPr>
                <w:rFonts w:hint="eastAsia" w:cs="Times New Roman"/>
                <w:b w:val="0"/>
                <w:bCs/>
                <w:color w:val="auto"/>
                <w:sz w:val="24"/>
                <w:szCs w:val="24"/>
                <w:lang w:val="en-US" w:eastAsia="zh-CN"/>
              </w:rPr>
              <w:t>2021年度认定的灵璧县城乡加油站油气回收及关闭的37家加油站</w:t>
            </w:r>
            <w:r>
              <w:rPr>
                <w:rFonts w:hint="default" w:ascii="Times New Roman" w:hAnsi="Times New Roman" w:eastAsia="宋体" w:cs="Times New Roman"/>
                <w:b w:val="0"/>
                <w:bCs/>
                <w:color w:val="auto"/>
                <w:sz w:val="24"/>
                <w:szCs w:val="24"/>
                <w:lang w:eastAsia="zh-CN"/>
              </w:rPr>
              <w:t>消减的减排量中调剂</w:t>
            </w:r>
            <w:r>
              <w:rPr>
                <w:rFonts w:hint="eastAsia" w:cs="Times New Roman"/>
                <w:b w:val="0"/>
                <w:bCs/>
                <w:color w:val="auto"/>
                <w:sz w:val="24"/>
                <w:szCs w:val="24"/>
                <w:lang w:eastAsia="zh-CN"/>
              </w:rPr>
              <w:t>。</w:t>
            </w:r>
            <w:r>
              <w:rPr>
                <w:rFonts w:hint="default" w:ascii="Times New Roman" w:hAnsi="Times New Roman" w:eastAsia="宋体" w:cs="Times New Roman"/>
                <w:b w:val="0"/>
                <w:bCs/>
                <w:color w:val="auto"/>
                <w:sz w:val="24"/>
                <w:szCs w:val="24"/>
                <w:lang w:eastAsia="zh-CN"/>
              </w:rPr>
              <w:t>其中主要污染物排放总量控制目标为：</w:t>
            </w:r>
            <w:r>
              <w:rPr>
                <w:rFonts w:hint="eastAsia" w:cs="Times New Roman"/>
                <w:b w:val="0"/>
                <w:bCs/>
                <w:color w:val="auto"/>
                <w:sz w:val="24"/>
                <w:szCs w:val="24"/>
                <w:lang w:val="en-US" w:eastAsia="zh-CN"/>
              </w:rPr>
              <w:t>颗粒物：0.091</w:t>
            </w:r>
            <w:r>
              <w:rPr>
                <w:rFonts w:hint="default" w:ascii="Times New Roman" w:hAnsi="Times New Roman" w:eastAsia="宋体" w:cs="Times New Roman"/>
                <w:b w:val="0"/>
                <w:bCs/>
                <w:color w:val="auto"/>
                <w:sz w:val="24"/>
                <w:szCs w:val="24"/>
                <w:lang w:eastAsia="zh-CN"/>
              </w:rPr>
              <w:t>t/a</w:t>
            </w:r>
            <w:r>
              <w:rPr>
                <w:rFonts w:hint="eastAsia" w:cs="Times New Roman"/>
                <w:b w:val="0"/>
                <w:bCs/>
                <w:color w:val="auto"/>
                <w:sz w:val="24"/>
                <w:szCs w:val="24"/>
                <w:lang w:eastAsia="zh-CN"/>
              </w:rPr>
              <w:t>；</w:t>
            </w:r>
            <w:r>
              <w:rPr>
                <w:rFonts w:hint="default" w:ascii="Times New Roman" w:hAnsi="Times New Roman" w:eastAsia="宋体" w:cs="Times New Roman"/>
                <w:b w:val="0"/>
                <w:bCs/>
                <w:color w:val="auto"/>
                <w:sz w:val="24"/>
                <w:szCs w:val="24"/>
                <w:lang w:eastAsia="zh-CN"/>
              </w:rPr>
              <w:t>VOCs：</w:t>
            </w:r>
            <w:r>
              <w:rPr>
                <w:rFonts w:hint="eastAsia" w:cs="Times New Roman"/>
                <w:b w:val="0"/>
                <w:bCs/>
                <w:color w:val="auto"/>
                <w:sz w:val="24"/>
                <w:szCs w:val="24"/>
                <w:lang w:val="en-US" w:eastAsia="zh-CN"/>
              </w:rPr>
              <w:t>0.105</w:t>
            </w:r>
            <w:r>
              <w:rPr>
                <w:rFonts w:hint="default" w:ascii="Times New Roman" w:hAnsi="Times New Roman" w:eastAsia="宋体" w:cs="Times New Roman"/>
                <w:b w:val="0"/>
                <w:bCs/>
                <w:color w:val="auto"/>
                <w:sz w:val="24"/>
                <w:szCs w:val="24"/>
                <w:lang w:eastAsia="zh-CN"/>
              </w:rPr>
              <w:t>t/a</w:t>
            </w:r>
            <w:r>
              <w:rPr>
                <w:rFonts w:hint="eastAsia" w:cs="Times New Roman"/>
                <w:b w:val="0"/>
                <w:bCs/>
                <w:color w:val="auto"/>
                <w:sz w:val="24"/>
                <w:szCs w:val="24"/>
                <w:lang w:eastAsia="zh-CN"/>
              </w:rPr>
              <w:t>，满足本项目总量需求</w:t>
            </w:r>
            <w:r>
              <w:rPr>
                <w:rFonts w:hint="default" w:ascii="Times New Roman" w:hAnsi="Times New Roman" w:eastAsia="宋体" w:cs="Times New Roman"/>
                <w:b w:val="0"/>
                <w:bCs/>
                <w:color w:val="auto"/>
                <w:sz w:val="24"/>
                <w:szCs w:val="24"/>
                <w:lang w:eastAsia="zh-CN"/>
              </w:rPr>
              <w:t>。</w:t>
            </w:r>
          </w:p>
          <w:p w14:paraId="005ECC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snapToGrid/>
                <w:color w:val="auto"/>
                <w:spacing w:val="0"/>
                <w:kern w:val="0"/>
                <w:position w:val="0"/>
                <w:sz w:val="24"/>
                <w:szCs w:val="24"/>
                <w:lang w:val="en-US" w:eastAsia="zh-CN"/>
              </w:rPr>
            </w:pPr>
          </w:p>
        </w:tc>
      </w:tr>
    </w:tbl>
    <w:p w14:paraId="361786A2">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0"/>
        <w:rPr>
          <w:rFonts w:hint="default" w:ascii="Times New Roman" w:hAnsi="Times New Roman" w:eastAsia="宋体" w:cs="Times New Roman"/>
          <w:b/>
          <w:bCs/>
          <w:i w:val="0"/>
          <w:iCs w:val="0"/>
          <w:snapToGrid/>
          <w:color w:val="auto"/>
          <w:spacing w:val="0"/>
          <w:kern w:val="0"/>
          <w:position w:val="0"/>
          <w:sz w:val="30"/>
          <w:szCs w:val="30"/>
        </w:rPr>
      </w:pPr>
      <w:r>
        <w:rPr>
          <w:rFonts w:hint="default" w:ascii="Times New Roman" w:hAnsi="Times New Roman" w:eastAsia="宋体" w:cs="Times New Roman"/>
          <w:snapToGrid/>
          <w:color w:val="auto"/>
          <w:spacing w:val="0"/>
          <w:kern w:val="0"/>
          <w:position w:val="0"/>
          <w:sz w:val="36"/>
          <w:szCs w:val="36"/>
        </w:rPr>
        <w:br w:type="page"/>
      </w:r>
      <w:r>
        <w:rPr>
          <w:rFonts w:hint="default" w:ascii="Times New Roman" w:hAnsi="Times New Roman" w:eastAsia="宋体" w:cs="Times New Roman"/>
          <w:b/>
          <w:bCs/>
          <w:i w:val="0"/>
          <w:iCs w:val="0"/>
          <w:snapToGrid/>
          <w:color w:val="auto"/>
          <w:spacing w:val="0"/>
          <w:kern w:val="0"/>
          <w:position w:val="0"/>
          <w:sz w:val="30"/>
          <w:szCs w:val="30"/>
        </w:rPr>
        <w:t>四、主要环境影响和保护措施</w:t>
      </w:r>
    </w:p>
    <w:tbl>
      <w:tblPr>
        <w:tblStyle w:val="22"/>
        <w:tblW w:w="89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4"/>
        <w:gridCol w:w="8447"/>
      </w:tblGrid>
      <w:tr w14:paraId="3947A9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47" w:hRule="atLeast"/>
          <w:jc w:val="center"/>
        </w:trPr>
        <w:tc>
          <w:tcPr>
            <w:tcW w:w="544" w:type="dxa"/>
            <w:tcBorders>
              <w:tl2br w:val="nil"/>
              <w:tr2bl w:val="nil"/>
            </w:tcBorders>
            <w:noWrap w:val="0"/>
            <w:tcMar>
              <w:left w:w="28" w:type="dxa"/>
              <w:right w:w="28" w:type="dxa"/>
            </w:tcMar>
            <w:vAlign w:val="center"/>
          </w:tcPr>
          <w:p w14:paraId="5AA084EC">
            <w:pPr>
              <w:pStyle w:val="20"/>
              <w:adjustRightInd w:val="0"/>
              <w:snapToGrid w:val="0"/>
              <w:spacing w:before="0" w:beforeAutospacing="0" w:after="0" w:afterAutospacing="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施</w:t>
            </w:r>
          </w:p>
          <w:p w14:paraId="2AA91E68">
            <w:pPr>
              <w:pStyle w:val="20"/>
              <w:adjustRightInd w:val="0"/>
              <w:snapToGrid w:val="0"/>
              <w:spacing w:before="0" w:beforeAutospacing="0" w:after="0" w:afterAutospacing="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工</w:t>
            </w:r>
          </w:p>
          <w:p w14:paraId="2F3DD436">
            <w:pPr>
              <w:pStyle w:val="20"/>
              <w:adjustRightInd w:val="0"/>
              <w:snapToGrid w:val="0"/>
              <w:spacing w:before="0" w:beforeAutospacing="0" w:after="0" w:afterAutospacing="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期</w:t>
            </w:r>
          </w:p>
          <w:p w14:paraId="4032372D">
            <w:pPr>
              <w:pStyle w:val="20"/>
              <w:adjustRightInd w:val="0"/>
              <w:snapToGrid w:val="0"/>
              <w:spacing w:before="0" w:beforeAutospacing="0" w:after="0" w:afterAutospacing="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环</w:t>
            </w:r>
          </w:p>
          <w:p w14:paraId="1AD51A39">
            <w:pPr>
              <w:pStyle w:val="20"/>
              <w:adjustRightInd w:val="0"/>
              <w:snapToGrid w:val="0"/>
              <w:spacing w:before="0" w:beforeAutospacing="0" w:after="0" w:afterAutospacing="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境</w:t>
            </w:r>
          </w:p>
          <w:p w14:paraId="173BD25D">
            <w:pPr>
              <w:pStyle w:val="20"/>
              <w:adjustRightInd w:val="0"/>
              <w:snapToGrid w:val="0"/>
              <w:spacing w:before="0" w:beforeAutospacing="0" w:after="0" w:afterAutospacing="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保</w:t>
            </w:r>
          </w:p>
          <w:p w14:paraId="236658F1">
            <w:pPr>
              <w:pStyle w:val="20"/>
              <w:adjustRightInd w:val="0"/>
              <w:snapToGrid w:val="0"/>
              <w:spacing w:before="0" w:beforeAutospacing="0" w:after="0" w:afterAutospacing="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护</w:t>
            </w:r>
          </w:p>
          <w:p w14:paraId="1CEEBFB3">
            <w:pPr>
              <w:pStyle w:val="20"/>
              <w:adjustRightInd w:val="0"/>
              <w:snapToGrid w:val="0"/>
              <w:spacing w:before="0" w:beforeAutospacing="0" w:after="0" w:afterAutospacing="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措</w:t>
            </w:r>
          </w:p>
          <w:p w14:paraId="732A0371">
            <w:pPr>
              <w:pStyle w:val="20"/>
              <w:adjustRightInd w:val="0"/>
              <w:snapToGrid w:val="0"/>
              <w:spacing w:before="0" w:beforeAutospacing="0" w:after="0" w:afterAutospacing="0"/>
              <w:jc w:val="center"/>
              <w:rPr>
                <w:rFonts w:hint="default" w:ascii="Times New Roman" w:hAnsi="Times New Roman" w:eastAsia="宋体" w:cs="Times New Roman"/>
                <w:bCs/>
                <w:snapToGrid/>
                <w:color w:val="auto"/>
                <w:spacing w:val="0"/>
                <w:kern w:val="0"/>
                <w:position w:val="0"/>
                <w:sz w:val="21"/>
                <w:szCs w:val="21"/>
              </w:rPr>
            </w:pPr>
            <w:r>
              <w:rPr>
                <w:rFonts w:hint="default" w:ascii="Times New Roman" w:hAnsi="Times New Roman" w:eastAsia="宋体" w:cs="Times New Roman"/>
                <w:b w:val="0"/>
                <w:bCs w:val="0"/>
                <w:snapToGrid/>
                <w:color w:val="auto"/>
                <w:spacing w:val="0"/>
                <w:kern w:val="0"/>
                <w:position w:val="0"/>
                <w:sz w:val="24"/>
                <w:szCs w:val="24"/>
              </w:rPr>
              <w:t>施</w:t>
            </w:r>
          </w:p>
        </w:tc>
        <w:tc>
          <w:tcPr>
            <w:tcW w:w="8447" w:type="dxa"/>
            <w:tcBorders>
              <w:tl2br w:val="nil"/>
              <w:tr2bl w:val="nil"/>
            </w:tcBorders>
            <w:noWrap w:val="0"/>
            <w:vAlign w:val="center"/>
          </w:tcPr>
          <w:p w14:paraId="509340CF">
            <w:pPr>
              <w:keepNext w:val="0"/>
              <w:keepLines w:val="0"/>
              <w:pageBreakBefore w:val="0"/>
              <w:widowControl/>
              <w:kinsoku/>
              <w:wordWrap/>
              <w:overflowPunct/>
              <w:topLinePunct w:val="0"/>
              <w:autoSpaceDE/>
              <w:autoSpaceDN/>
              <w:bidi w:val="0"/>
              <w:adjustRightInd/>
              <w:snapToGrid w:val="0"/>
              <w:spacing w:before="157" w:beforeLines="50"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w:t>
            </w:r>
            <w:r>
              <w:rPr>
                <w:rFonts w:hint="eastAsia" w:cs="Times New Roman"/>
                <w:color w:val="auto"/>
                <w:sz w:val="24"/>
                <w:szCs w:val="24"/>
                <w:lang w:val="en-US" w:eastAsia="zh-CN"/>
              </w:rPr>
              <w:t>位于</w:t>
            </w:r>
            <w:r>
              <w:rPr>
                <w:rFonts w:hint="eastAsia" w:cs="Times New Roman"/>
                <w:color w:val="auto"/>
                <w:sz w:val="24"/>
                <w:szCs w:val="24"/>
                <w:lang w:eastAsia="zh-CN"/>
              </w:rPr>
              <w:t>安徽省宿州市灵璧县尹集镇田路村</w:t>
            </w:r>
            <w:r>
              <w:rPr>
                <w:rFonts w:hint="eastAsia" w:cs="Times New Roman"/>
                <w:color w:val="auto"/>
                <w:sz w:val="24"/>
                <w:szCs w:val="24"/>
                <w:lang w:val="en-US" w:eastAsia="zh-CN"/>
              </w:rPr>
              <w:t>，此次在现有基础进行建设</w:t>
            </w:r>
            <w:r>
              <w:rPr>
                <w:rFonts w:hint="default" w:ascii="Times New Roman" w:hAnsi="Times New Roman" w:eastAsia="宋体" w:cs="Times New Roman"/>
                <w:color w:val="auto"/>
                <w:sz w:val="24"/>
                <w:szCs w:val="24"/>
                <w:lang w:val="en-US" w:eastAsia="zh-CN"/>
              </w:rPr>
              <w:t>，项目施工期不涉及土建施工，仅进行简单的设备安装及各功能区布局，具体施工环境保护措施分析如下：</w:t>
            </w:r>
          </w:p>
          <w:p w14:paraId="1479814E">
            <w:pPr>
              <w:pStyle w:val="12"/>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1、施工扬尘防治措施</w:t>
            </w:r>
          </w:p>
          <w:p w14:paraId="579CBE33">
            <w:pPr>
              <w:pStyle w:val="12"/>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本项目不涉及土建工程，仅对设备进行安装，且项目工艺简单、安装设备数量较少，施工过程中施工扬尘产生量极小，此处不做考虑</w:t>
            </w:r>
            <w:r>
              <w:rPr>
                <w:rFonts w:hint="eastAsia" w:cs="Times New Roman"/>
                <w:color w:val="auto"/>
                <w:sz w:val="24"/>
                <w:szCs w:val="24"/>
                <w:lang w:val="en-US" w:eastAsia="zh-CN"/>
              </w:rPr>
              <w:t>。</w:t>
            </w:r>
          </w:p>
          <w:p w14:paraId="749021A4">
            <w:pPr>
              <w:pStyle w:val="12"/>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2、废水防治措施</w:t>
            </w:r>
          </w:p>
          <w:p w14:paraId="36F582DD">
            <w:pPr>
              <w:pStyle w:val="12"/>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因涉及设备安装，故在施工期间，会产生施工人员生活污水。本项目施工期间，施工人数最多</w:t>
            </w:r>
            <w:r>
              <w:rPr>
                <w:rFonts w:hint="eastAsia"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人，根据《建筑施工计算手册》中施工现场生活用水定额为20~60L/人·d，本项目取生活用水定额为</w:t>
            </w:r>
            <w:r>
              <w:rPr>
                <w:rFonts w:hint="eastAsia"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0L/人·d，故施工期间生活用水量为0.</w:t>
            </w:r>
            <w:r>
              <w:rPr>
                <w:rFonts w:hint="eastAsia" w:cs="Times New Roman"/>
                <w:color w:val="auto"/>
                <w:sz w:val="24"/>
                <w:szCs w:val="24"/>
                <w:highlight w:val="none"/>
                <w:lang w:val="en-US" w:eastAsia="zh-CN"/>
              </w:rPr>
              <w:t>56</w:t>
            </w:r>
            <w:r>
              <w:rPr>
                <w:rFonts w:hint="default" w:ascii="Times New Roman" w:hAnsi="Times New Roman" w:eastAsia="宋体" w:cs="Times New Roman"/>
                <w:color w:val="auto"/>
                <w:sz w:val="24"/>
                <w:szCs w:val="24"/>
                <w:highlight w:val="none"/>
                <w:lang w:val="en-US" w:eastAsia="zh-CN"/>
              </w:rPr>
              <w:t>m</w:t>
            </w:r>
            <w:r>
              <w:rPr>
                <w:rFonts w:hint="eastAsia"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/d，根据《给排水设计手册》，生活污水产生量按用水量的80%计，故施工过程中生活污水产生量为</w:t>
            </w:r>
            <w:r>
              <w:rPr>
                <w:rFonts w:hint="eastAsia" w:cs="Times New Roman"/>
                <w:color w:val="auto"/>
                <w:sz w:val="24"/>
                <w:szCs w:val="24"/>
                <w:highlight w:val="none"/>
                <w:lang w:val="en-US" w:eastAsia="zh-CN"/>
              </w:rPr>
              <w:t>0.448</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w:t>
            </w:r>
            <w:r>
              <w:rPr>
                <w:rFonts w:hint="eastAsia" w:ascii="Times New Roman" w:hAnsi="Times New Roman" w:eastAsia="宋体" w:cs="Times New Roman"/>
                <w:color w:val="auto"/>
                <w:kern w:val="2"/>
                <w:sz w:val="24"/>
                <w:szCs w:val="24"/>
                <w:highlight w:val="none"/>
                <w:lang w:val="en-US" w:eastAsia="zh-CN" w:bidi="ar-SA"/>
              </w:rPr>
              <w:t>生活污水经化粪池处理，定期清掏用作厂区周围农田施肥，不外排</w:t>
            </w:r>
            <w:r>
              <w:rPr>
                <w:rFonts w:hint="default" w:ascii="Times New Roman" w:hAnsi="Times New Roman" w:eastAsia="宋体" w:cs="Times New Roman"/>
                <w:color w:val="auto"/>
                <w:sz w:val="24"/>
                <w:szCs w:val="24"/>
                <w:highlight w:val="none"/>
                <w:lang w:val="en-US" w:eastAsia="zh-CN"/>
              </w:rPr>
              <w:t>。</w:t>
            </w:r>
          </w:p>
          <w:p w14:paraId="10A997BA">
            <w:pPr>
              <w:pStyle w:val="12"/>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3、噪声防治措施</w:t>
            </w:r>
          </w:p>
          <w:p w14:paraId="2640F4C7">
            <w:pPr>
              <w:pStyle w:val="12"/>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本项目施工期不涉及基建项目，仅为简单的设备安装，故施工过程中的噪声为点焊接、吊车等，设备噪声源强较小，施工期场界噪声对周边影响较小。</w:t>
            </w:r>
          </w:p>
          <w:p w14:paraId="6C6B6438">
            <w:pPr>
              <w:pStyle w:val="12"/>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4、固体废物防治措施</w:t>
            </w:r>
          </w:p>
          <w:p w14:paraId="7F34AD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Cs/>
                <w:snapToGrid/>
                <w:color w:val="auto"/>
                <w:spacing w:val="0"/>
                <w:kern w:val="0"/>
                <w:position w:val="0"/>
                <w:szCs w:val="21"/>
              </w:rPr>
            </w:pPr>
            <w:r>
              <w:rPr>
                <w:rFonts w:hint="default" w:ascii="Times New Roman" w:hAnsi="Times New Roman" w:eastAsia="宋体" w:cs="Times New Roman"/>
                <w:color w:val="auto"/>
                <w:sz w:val="24"/>
                <w:szCs w:val="24"/>
                <w:lang w:val="en-US" w:eastAsia="zh-CN"/>
              </w:rPr>
              <w:t>施工期产生的固体废物主要是废弃的装修材料、设备安装边角料、材料包装箱、袋和生活垃圾等，上述垃圾由环卫统一清运处置，故不会对周围环境造成影响。</w:t>
            </w:r>
          </w:p>
        </w:tc>
      </w:tr>
      <w:tr w14:paraId="28E0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83" w:hRule="atLeast"/>
          <w:jc w:val="center"/>
        </w:trPr>
        <w:tc>
          <w:tcPr>
            <w:tcW w:w="544" w:type="dxa"/>
            <w:tcBorders>
              <w:tl2br w:val="nil"/>
              <w:tr2bl w:val="nil"/>
            </w:tcBorders>
            <w:noWrap w:val="0"/>
            <w:tcMar>
              <w:left w:w="28" w:type="dxa"/>
              <w:right w:w="28" w:type="dxa"/>
            </w:tcMar>
            <w:vAlign w:val="center"/>
          </w:tcPr>
          <w:p w14:paraId="761D977E">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运</w:t>
            </w:r>
          </w:p>
          <w:p w14:paraId="0412DE00">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营</w:t>
            </w:r>
          </w:p>
          <w:p w14:paraId="1A4E3FE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期</w:t>
            </w:r>
          </w:p>
          <w:p w14:paraId="3660AB8A">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环</w:t>
            </w:r>
          </w:p>
          <w:p w14:paraId="4EFB8E1A">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境</w:t>
            </w:r>
          </w:p>
          <w:p w14:paraId="0E939858">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影</w:t>
            </w:r>
          </w:p>
          <w:p w14:paraId="776A17ED">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和</w:t>
            </w:r>
          </w:p>
          <w:p w14:paraId="45B7DD3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保</w:t>
            </w:r>
          </w:p>
          <w:p w14:paraId="4C73E5EB">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护</w:t>
            </w:r>
          </w:p>
          <w:p w14:paraId="2435DFCA">
            <w:pPr>
              <w:pStyle w:val="20"/>
              <w:adjustRightInd w:val="0"/>
              <w:snapToGrid w:val="0"/>
              <w:spacing w:before="0" w:beforeAutospacing="0" w:after="0" w:afterAutospacing="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措</w:t>
            </w:r>
          </w:p>
          <w:p w14:paraId="18F94919">
            <w:pPr>
              <w:pStyle w:val="20"/>
              <w:adjustRightInd w:val="0"/>
              <w:snapToGrid w:val="0"/>
              <w:spacing w:before="0" w:beforeAutospacing="0" w:after="0" w:afterAutospacing="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施</w:t>
            </w:r>
          </w:p>
        </w:tc>
        <w:tc>
          <w:tcPr>
            <w:tcW w:w="8447" w:type="dxa"/>
            <w:tcBorders>
              <w:tl2br w:val="nil"/>
              <w:tr2bl w:val="nil"/>
            </w:tcBorders>
            <w:noWrap w:val="0"/>
            <w:vAlign w:val="top"/>
          </w:tcPr>
          <w:p w14:paraId="7CB2AE1B">
            <w:pPr>
              <w:keepNext w:val="0"/>
              <w:keepLines w:val="0"/>
              <w:pageBreakBefore w:val="0"/>
              <w:widowControl w:val="0"/>
              <w:kinsoku/>
              <w:wordWrap/>
              <w:overflowPunct/>
              <w:topLinePunct w:val="0"/>
              <w:autoSpaceDE/>
              <w:autoSpaceDN/>
              <w:bidi w:val="0"/>
              <w:adjustRightInd w:val="0"/>
              <w:snapToGrid w:val="0"/>
              <w:spacing w:before="95" w:beforeLines="30" w:line="360" w:lineRule="auto"/>
              <w:jc w:val="left"/>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1、废气</w:t>
            </w:r>
          </w:p>
          <w:p w14:paraId="2BD404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宋体"/>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本项目</w:t>
            </w:r>
            <w:r>
              <w:rPr>
                <w:rFonts w:hint="eastAsia" w:ascii="Times New Roman" w:hAnsi="Times New Roman" w:eastAsia="宋体" w:cs="Times New Roman"/>
                <w:color w:val="auto"/>
                <w:sz w:val="24"/>
                <w:szCs w:val="24"/>
                <w:highlight w:val="none"/>
                <w:lang w:val="en-US" w:eastAsia="zh-CN"/>
              </w:rPr>
              <w:t>主要为</w:t>
            </w:r>
            <w:r>
              <w:rPr>
                <w:rFonts w:hint="eastAsia" w:cs="Times New Roman"/>
                <w:color w:val="auto"/>
                <w:sz w:val="24"/>
                <w:szCs w:val="24"/>
                <w:highlight w:val="none"/>
                <w:lang w:val="en-US" w:eastAsia="zh-CN"/>
              </w:rPr>
              <w:t>钨合金渔坠制造</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本次扩建</w:t>
            </w:r>
            <w:r>
              <w:rPr>
                <w:rFonts w:hint="default" w:ascii="Times New Roman" w:hAnsi="Times New Roman" w:eastAsia="宋体" w:cs="Times New Roman"/>
                <w:color w:val="auto"/>
                <w:sz w:val="24"/>
                <w:szCs w:val="24"/>
                <w:highlight w:val="none"/>
                <w:lang w:eastAsia="zh-CN"/>
              </w:rPr>
              <w:t>项目</w:t>
            </w:r>
            <w:r>
              <w:rPr>
                <w:rFonts w:hint="eastAsia" w:ascii="Times New Roman" w:hAnsi="Times New Roman" w:eastAsia="宋体" w:cs="Times New Roman"/>
                <w:color w:val="auto"/>
                <w:sz w:val="24"/>
                <w:szCs w:val="24"/>
                <w:highlight w:val="none"/>
                <w:lang w:val="en-US" w:eastAsia="zh-CN"/>
              </w:rPr>
              <w:t>生产过程中产生主要废气为</w:t>
            </w:r>
            <w:r>
              <w:rPr>
                <w:rFonts w:hint="eastAsia"/>
                <w:color w:val="auto"/>
                <w:sz w:val="24"/>
                <w:lang w:val="en-US" w:eastAsia="zh-CN"/>
              </w:rPr>
              <w:t>混合废气，加热废气，注塑、脱胶废气，喷塑废气，固化废气</w:t>
            </w:r>
            <w:r>
              <w:rPr>
                <w:rFonts w:hint="default" w:ascii="Times New Roman" w:hAnsi="Times New Roman" w:eastAsia="宋体" w:cs="Times New Roman"/>
                <w:color w:val="auto"/>
                <w:sz w:val="24"/>
                <w:szCs w:val="24"/>
                <w:highlight w:val="none"/>
                <w:lang w:val="en-US" w:eastAsia="zh-CN"/>
              </w:rPr>
              <w:t>。</w:t>
            </w:r>
          </w:p>
          <w:p w14:paraId="3214BB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color w:val="auto"/>
                <w:sz w:val="24"/>
                <w:szCs w:val="28"/>
                <w:lang w:val="en-US" w:eastAsia="zh-CN"/>
              </w:rPr>
            </w:pPr>
            <w:r>
              <w:rPr>
                <w:rFonts w:hint="eastAsia" w:cs="Times New Roman"/>
                <w:color w:val="auto"/>
                <w:sz w:val="24"/>
                <w:szCs w:val="28"/>
                <w:lang w:val="en-US" w:eastAsia="zh-CN"/>
              </w:rPr>
              <w:t>（1）混合</w:t>
            </w:r>
            <w:r>
              <w:rPr>
                <w:rFonts w:hint="default" w:ascii="Times New Roman" w:hAnsi="Times New Roman" w:cs="Times New Roman"/>
                <w:color w:val="auto"/>
                <w:sz w:val="24"/>
                <w:szCs w:val="28"/>
                <w:lang w:val="en-US" w:eastAsia="zh-CN"/>
              </w:rPr>
              <w:t>废气</w:t>
            </w:r>
            <w:r>
              <w:rPr>
                <w:rFonts w:hint="eastAsia" w:cs="Times New Roman"/>
                <w:color w:val="auto"/>
                <w:sz w:val="24"/>
                <w:szCs w:val="28"/>
                <w:lang w:val="en-US" w:eastAsia="zh-CN"/>
              </w:rPr>
              <w:t>，加热废气，</w:t>
            </w:r>
            <w:r>
              <w:rPr>
                <w:rFonts w:hint="eastAsia"/>
                <w:color w:val="auto"/>
                <w:sz w:val="24"/>
                <w:lang w:val="en-US" w:eastAsia="zh-CN"/>
              </w:rPr>
              <w:t>注塑、脱胶废气，固化废气</w:t>
            </w:r>
          </w:p>
          <w:p w14:paraId="6C34B7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color w:val="auto"/>
                <w:sz w:val="24"/>
              </w:rPr>
            </w:pPr>
            <w:r>
              <w:rPr>
                <w:rFonts w:hint="eastAsia" w:cs="Times New Roman"/>
                <w:color w:val="auto"/>
                <w:sz w:val="24"/>
                <w:szCs w:val="28"/>
                <w:lang w:val="en-US" w:eastAsia="zh-CN"/>
              </w:rPr>
              <w:t>混合</w:t>
            </w:r>
            <w:r>
              <w:rPr>
                <w:rFonts w:hint="default" w:ascii="Times New Roman" w:hAnsi="Times New Roman" w:cs="Times New Roman"/>
                <w:color w:val="auto"/>
                <w:sz w:val="24"/>
                <w:szCs w:val="28"/>
                <w:lang w:val="en-US" w:eastAsia="zh-CN"/>
              </w:rPr>
              <w:t>废气</w:t>
            </w:r>
            <w:r>
              <w:rPr>
                <w:rFonts w:hint="eastAsia" w:cs="Times New Roman"/>
                <w:color w:val="auto"/>
                <w:sz w:val="24"/>
                <w:szCs w:val="28"/>
                <w:lang w:val="en-US" w:eastAsia="zh-CN"/>
              </w:rPr>
              <w:t>、加热废气、</w:t>
            </w:r>
            <w:r>
              <w:rPr>
                <w:rFonts w:hint="eastAsia"/>
                <w:color w:val="auto"/>
                <w:sz w:val="24"/>
                <w:lang w:val="en-US" w:eastAsia="zh-CN"/>
              </w:rPr>
              <w:t>注塑、脱胶废气</w:t>
            </w:r>
            <w:r>
              <w:rPr>
                <w:rFonts w:hint="eastAsia" w:ascii="Times New Roman" w:hAnsi="Times New Roman" w:cs="Times New Roman"/>
                <w:color w:val="auto"/>
                <w:sz w:val="24"/>
                <w:szCs w:val="28"/>
                <w:lang w:val="en-US" w:eastAsia="zh-CN"/>
              </w:rPr>
              <w:t>类比</w:t>
            </w:r>
            <w:r>
              <w:rPr>
                <w:rFonts w:hint="default" w:ascii="Times New Roman" w:hAnsi="Times New Roman" w:eastAsia="宋体" w:cs="Times New Roman"/>
                <w:color w:val="auto"/>
                <w:sz w:val="24"/>
                <w:szCs w:val="24"/>
                <w:lang w:val="en-US" w:eastAsia="zh-CN"/>
              </w:rPr>
              <w:t>《</w:t>
            </w:r>
            <w:r>
              <w:rPr>
                <w:rFonts w:hint="eastAsia" w:eastAsia="宋体" w:cs="Times New Roman"/>
                <w:color w:val="auto"/>
                <w:sz w:val="24"/>
                <w:szCs w:val="24"/>
                <w:lang w:eastAsia="zh-CN"/>
              </w:rPr>
              <w:t>灵璧县威科钓具有限公司威科钓具钨合金渔坠生产项目环境影响报告表</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w:t>
            </w:r>
            <w:r>
              <w:rPr>
                <w:rStyle w:val="42"/>
                <w:rFonts w:hint="eastAsia" w:eastAsia="宋体" w:cs="Times New Roman"/>
                <w:color w:val="auto"/>
                <w:sz w:val="24"/>
                <w:szCs w:val="24"/>
                <w:lang w:val="en-US" w:eastAsia="zh-CN" w:bidi="ar"/>
              </w:rPr>
              <w:t>灵环建</w:t>
            </w:r>
            <w:r>
              <w:rPr>
                <w:rStyle w:val="42"/>
                <w:rFonts w:hint="default" w:ascii="Times New Roman" w:hAnsi="Times New Roman" w:eastAsia="宋体" w:cs="Times New Roman"/>
                <w:color w:val="auto"/>
                <w:sz w:val="24"/>
                <w:szCs w:val="24"/>
                <w:lang w:val="en-US" w:eastAsia="zh-CN" w:bidi="ar"/>
              </w:rPr>
              <w:t>〔2016〕61号</w:t>
            </w:r>
            <w:r>
              <w:rPr>
                <w:rFonts w:hint="eastAsia" w:ascii="Times New Roman" w:hAnsi="Times New Roman" w:eastAsia="宋体" w:cs="Times New Roman"/>
                <w:color w:val="auto"/>
                <w:sz w:val="24"/>
                <w:szCs w:val="24"/>
                <w:lang w:val="en-US" w:eastAsia="zh-CN"/>
              </w:rPr>
              <w:t>）</w:t>
            </w:r>
            <w:r>
              <w:rPr>
                <w:rFonts w:hint="eastAsia" w:eastAsia="宋体" w:cs="Times New Roman"/>
                <w:color w:val="auto"/>
                <w:sz w:val="24"/>
                <w:szCs w:val="24"/>
                <w:lang w:val="en-US" w:eastAsia="zh-CN"/>
              </w:rPr>
              <w:t>，</w:t>
            </w:r>
            <w:r>
              <w:rPr>
                <w:rFonts w:hint="eastAsia" w:eastAsia="宋体" w:cs="Times New Roman"/>
                <w:color w:val="auto"/>
                <w:sz w:val="24"/>
                <w:szCs w:val="24"/>
                <w:lang w:eastAsia="zh-CN"/>
              </w:rPr>
              <w:t>灵璧县威科钓具有限公司威科钓具钨合金渔坠生产项目</w:t>
            </w:r>
            <w:r>
              <w:rPr>
                <w:rFonts w:hint="default" w:ascii="Times New Roman" w:hAnsi="Times New Roman" w:cs="Times New Roman"/>
                <w:color w:val="auto"/>
                <w:sz w:val="24"/>
                <w:szCs w:val="28"/>
                <w:lang w:val="en-US" w:eastAsia="zh-CN"/>
              </w:rPr>
              <w:t>以</w:t>
            </w:r>
            <w:r>
              <w:rPr>
                <w:rFonts w:hint="eastAsia" w:cs="Times New Roman"/>
                <w:color w:val="auto"/>
                <w:sz w:val="24"/>
                <w:szCs w:val="28"/>
                <w:lang w:val="en-US" w:eastAsia="zh-CN"/>
              </w:rPr>
              <w:t>钨粉、铜粉、镍粉、石蜡、</w:t>
            </w:r>
            <w:r>
              <w:rPr>
                <w:rFonts w:hint="default" w:ascii="Times New Roman" w:hAnsi="Times New Roman" w:cs="Times New Roman"/>
                <w:color w:val="auto"/>
                <w:sz w:val="24"/>
                <w:szCs w:val="28"/>
                <w:lang w:val="en-US" w:eastAsia="zh-CN"/>
              </w:rPr>
              <w:t>高密度聚乙烯、</w:t>
            </w:r>
            <w:r>
              <w:rPr>
                <w:rFonts w:hint="eastAsia" w:cs="Times New Roman"/>
                <w:color w:val="auto"/>
                <w:sz w:val="24"/>
                <w:szCs w:val="28"/>
                <w:lang w:val="en-US" w:eastAsia="zh-CN"/>
              </w:rPr>
              <w:t>塑粉</w:t>
            </w:r>
            <w:r>
              <w:rPr>
                <w:rFonts w:hint="eastAsia" w:ascii="Times New Roman" w:hAnsi="Times New Roman" w:cs="Times New Roman"/>
                <w:color w:val="auto"/>
                <w:sz w:val="24"/>
                <w:szCs w:val="28"/>
                <w:lang w:val="en-US" w:eastAsia="zh-CN"/>
              </w:rPr>
              <w:t>等</w:t>
            </w:r>
            <w:r>
              <w:rPr>
                <w:rFonts w:hint="default" w:ascii="Times New Roman" w:hAnsi="Times New Roman" w:cs="Times New Roman"/>
                <w:color w:val="auto"/>
                <w:sz w:val="24"/>
                <w:szCs w:val="28"/>
                <w:lang w:val="en-US" w:eastAsia="zh-CN"/>
              </w:rPr>
              <w:t>为原材</w:t>
            </w:r>
            <w:r>
              <w:rPr>
                <w:rFonts w:hint="eastAsia" w:ascii="Times New Roman" w:hAnsi="Times New Roman" w:cs="Times New Roman"/>
                <w:color w:val="auto"/>
                <w:sz w:val="24"/>
                <w:szCs w:val="28"/>
                <w:lang w:val="en-US" w:eastAsia="zh-CN"/>
              </w:rPr>
              <w:t>料</w:t>
            </w:r>
            <w:r>
              <w:rPr>
                <w:rFonts w:hint="default" w:ascii="Times New Roman" w:hAnsi="Times New Roman" w:cs="Times New Roman"/>
                <w:color w:val="auto"/>
                <w:sz w:val="24"/>
                <w:szCs w:val="28"/>
                <w:lang w:val="en-US" w:eastAsia="zh-CN"/>
              </w:rPr>
              <w:t>，经</w:t>
            </w:r>
            <w:r>
              <w:rPr>
                <w:rFonts w:hint="eastAsia"/>
                <w:color w:val="auto"/>
                <w:sz w:val="24"/>
                <w:lang w:eastAsia="zh-CN"/>
              </w:rPr>
              <w:t>混合、加热混炼、注塑成型、</w:t>
            </w:r>
            <w:r>
              <w:rPr>
                <w:rFonts w:hint="eastAsia" w:cs="Times New Roman"/>
                <w:color w:val="auto"/>
                <w:kern w:val="0"/>
                <w:sz w:val="24"/>
                <w:lang w:eastAsia="zh-CN" w:bidi="ar"/>
              </w:rPr>
              <w:t>脱除粘结剂、烧结致密、</w:t>
            </w:r>
            <w:r>
              <w:rPr>
                <w:rFonts w:hint="eastAsia"/>
                <w:color w:val="auto"/>
                <w:sz w:val="24"/>
                <w:lang w:val="en-US" w:eastAsia="zh-CN"/>
              </w:rPr>
              <w:t>钻孔、</w:t>
            </w:r>
            <w:r>
              <w:rPr>
                <w:rFonts w:hint="eastAsia" w:cs="Times New Roman"/>
                <w:color w:val="auto"/>
                <w:kern w:val="0"/>
                <w:sz w:val="24"/>
                <w:lang w:eastAsia="zh-CN" w:bidi="ar"/>
              </w:rPr>
              <w:t>研磨、喷塑、固化</w:t>
            </w:r>
            <w:r>
              <w:rPr>
                <w:rFonts w:hint="default" w:ascii="Times New Roman" w:hAnsi="Times New Roman" w:cs="Times New Roman"/>
                <w:color w:val="auto"/>
                <w:sz w:val="24"/>
                <w:szCs w:val="28"/>
                <w:lang w:val="en-US" w:eastAsia="zh-CN"/>
              </w:rPr>
              <w:t>工序生产</w:t>
            </w:r>
            <w:r>
              <w:rPr>
                <w:rFonts w:hint="eastAsia" w:eastAsia="宋体" w:cs="Times New Roman"/>
                <w:color w:val="auto"/>
                <w:sz w:val="24"/>
                <w:szCs w:val="24"/>
                <w:lang w:eastAsia="zh-CN"/>
              </w:rPr>
              <w:t>钨合金渔坠</w:t>
            </w:r>
            <w:r>
              <w:rPr>
                <w:rFonts w:hint="default" w:ascii="Times New Roman" w:hAnsi="Times New Roman" w:cs="Times New Roman"/>
                <w:color w:val="auto"/>
                <w:sz w:val="24"/>
                <w:szCs w:val="28"/>
                <w:lang w:val="en-US" w:eastAsia="zh-CN"/>
              </w:rPr>
              <w:t>，本项目以</w:t>
            </w:r>
            <w:r>
              <w:rPr>
                <w:rFonts w:hint="eastAsia" w:cs="Times New Roman"/>
                <w:color w:val="auto"/>
                <w:sz w:val="24"/>
                <w:szCs w:val="28"/>
                <w:lang w:val="en-US" w:eastAsia="zh-CN"/>
              </w:rPr>
              <w:t>钨粉、铜粉、镍粉、石蜡、</w:t>
            </w:r>
            <w:r>
              <w:rPr>
                <w:rFonts w:hint="default" w:ascii="Times New Roman" w:hAnsi="Times New Roman" w:cs="Times New Roman"/>
                <w:color w:val="auto"/>
                <w:sz w:val="24"/>
                <w:szCs w:val="28"/>
                <w:lang w:val="en-US" w:eastAsia="zh-CN"/>
              </w:rPr>
              <w:t>高密度聚乙烯、</w:t>
            </w:r>
            <w:r>
              <w:rPr>
                <w:rFonts w:hint="eastAsia" w:cs="Times New Roman"/>
                <w:color w:val="auto"/>
                <w:sz w:val="24"/>
                <w:szCs w:val="28"/>
                <w:lang w:val="en-US" w:eastAsia="zh-CN"/>
              </w:rPr>
              <w:t>塑粉</w:t>
            </w:r>
            <w:r>
              <w:rPr>
                <w:rFonts w:hint="eastAsia" w:ascii="Times New Roman" w:hAnsi="Times New Roman" w:cs="Times New Roman"/>
                <w:color w:val="auto"/>
                <w:sz w:val="24"/>
                <w:szCs w:val="28"/>
                <w:lang w:val="en-US" w:eastAsia="zh-CN"/>
              </w:rPr>
              <w:t>等</w:t>
            </w:r>
            <w:r>
              <w:rPr>
                <w:rFonts w:hint="default" w:ascii="Times New Roman" w:hAnsi="Times New Roman" w:cs="Times New Roman"/>
                <w:color w:val="auto"/>
                <w:sz w:val="24"/>
                <w:szCs w:val="28"/>
                <w:lang w:val="en-US" w:eastAsia="zh-CN"/>
              </w:rPr>
              <w:t>为原材</w:t>
            </w:r>
            <w:r>
              <w:rPr>
                <w:rFonts w:hint="eastAsia" w:ascii="Times New Roman" w:hAnsi="Times New Roman" w:cs="Times New Roman"/>
                <w:color w:val="auto"/>
                <w:sz w:val="24"/>
                <w:szCs w:val="28"/>
                <w:lang w:val="en-US" w:eastAsia="zh-CN"/>
              </w:rPr>
              <w:t>料</w:t>
            </w:r>
            <w:r>
              <w:rPr>
                <w:rFonts w:hint="default" w:ascii="Times New Roman" w:hAnsi="Times New Roman" w:cs="Times New Roman"/>
                <w:color w:val="auto"/>
                <w:sz w:val="24"/>
                <w:szCs w:val="28"/>
                <w:lang w:val="en-US" w:eastAsia="zh-CN"/>
              </w:rPr>
              <w:t>，经</w:t>
            </w:r>
            <w:r>
              <w:rPr>
                <w:rFonts w:hint="eastAsia"/>
                <w:color w:val="auto"/>
                <w:sz w:val="24"/>
                <w:lang w:eastAsia="zh-CN"/>
              </w:rPr>
              <w:t>混合、加热混炼、注塑成型、</w:t>
            </w:r>
            <w:r>
              <w:rPr>
                <w:rFonts w:hint="eastAsia" w:cs="Times New Roman"/>
                <w:color w:val="auto"/>
                <w:kern w:val="0"/>
                <w:sz w:val="24"/>
                <w:lang w:eastAsia="zh-CN" w:bidi="ar"/>
              </w:rPr>
              <w:t>脱除粘结剂、烧结致密、</w:t>
            </w:r>
            <w:r>
              <w:rPr>
                <w:rFonts w:hint="eastAsia"/>
                <w:color w:val="auto"/>
                <w:sz w:val="24"/>
                <w:lang w:val="en-US" w:eastAsia="zh-CN"/>
              </w:rPr>
              <w:t>钻孔、</w:t>
            </w:r>
            <w:r>
              <w:rPr>
                <w:rFonts w:hint="eastAsia" w:cs="Times New Roman"/>
                <w:color w:val="auto"/>
                <w:kern w:val="0"/>
                <w:sz w:val="24"/>
                <w:lang w:eastAsia="zh-CN" w:bidi="ar"/>
              </w:rPr>
              <w:t>研磨、喷塑、固化</w:t>
            </w:r>
            <w:r>
              <w:rPr>
                <w:rFonts w:hint="default" w:ascii="Times New Roman" w:hAnsi="Times New Roman" w:cs="Times New Roman"/>
                <w:color w:val="auto"/>
                <w:sz w:val="24"/>
                <w:szCs w:val="28"/>
                <w:lang w:val="en-US" w:eastAsia="zh-CN"/>
              </w:rPr>
              <w:t>工序生产</w:t>
            </w:r>
            <w:r>
              <w:rPr>
                <w:rFonts w:hint="eastAsia" w:eastAsia="宋体" w:cs="Times New Roman"/>
                <w:color w:val="auto"/>
                <w:sz w:val="24"/>
                <w:szCs w:val="24"/>
                <w:lang w:eastAsia="zh-CN"/>
              </w:rPr>
              <w:t>钨合金渔坠</w:t>
            </w:r>
            <w:r>
              <w:rPr>
                <w:rFonts w:hint="default" w:ascii="Times New Roman" w:hAnsi="Times New Roman" w:cs="Times New Roman"/>
                <w:color w:val="auto"/>
                <w:sz w:val="24"/>
                <w:szCs w:val="28"/>
                <w:lang w:val="en-US" w:eastAsia="zh-CN"/>
              </w:rPr>
              <w:t>。</w:t>
            </w:r>
            <w:r>
              <w:rPr>
                <w:rFonts w:hint="eastAsia" w:ascii="Times New Roman" w:hAnsi="Times New Roman" w:cs="Times New Roman"/>
                <w:color w:val="auto"/>
                <w:sz w:val="24"/>
                <w:szCs w:val="28"/>
                <w:lang w:val="en-US" w:eastAsia="zh-CN"/>
              </w:rPr>
              <w:t>工艺相同</w:t>
            </w:r>
            <w:r>
              <w:rPr>
                <w:rFonts w:hint="default" w:ascii="Times New Roman" w:hAnsi="Times New Roman" w:cs="Times New Roman"/>
                <w:color w:val="auto"/>
                <w:sz w:val="24"/>
                <w:szCs w:val="28"/>
                <w:lang w:val="en-US" w:eastAsia="zh-CN"/>
              </w:rPr>
              <w:t>，因此均有可类比性。</w:t>
            </w:r>
          </w:p>
          <w:p w14:paraId="17F2CE3B">
            <w:pPr>
              <w:adjustRightInd w:val="0"/>
              <w:snapToGrid w:val="0"/>
              <w:spacing w:line="348" w:lineRule="auto"/>
              <w:ind w:firstLine="480" w:firstLineChars="200"/>
              <w:rPr>
                <w:rFonts w:hint="eastAsia"/>
                <w:color w:val="auto"/>
                <w:sz w:val="24"/>
                <w:lang w:eastAsia="zh-CN"/>
              </w:rPr>
            </w:pPr>
            <w:r>
              <w:rPr>
                <w:rFonts w:hint="eastAsia"/>
                <w:color w:val="auto"/>
                <w:sz w:val="24"/>
                <w:lang w:eastAsia="zh-CN"/>
              </w:rPr>
              <w:t>同时根据</w:t>
            </w:r>
            <w:r>
              <w:rPr>
                <w:rFonts w:hint="default" w:ascii="Times New Roman" w:hAnsi="Times New Roman" w:eastAsia="宋体" w:cs="Times New Roman"/>
                <w:color w:val="auto"/>
                <w:sz w:val="24"/>
                <w:szCs w:val="24"/>
                <w:lang w:val="en-US" w:eastAsia="zh-CN"/>
              </w:rPr>
              <w:t>《</w:t>
            </w:r>
            <w:r>
              <w:rPr>
                <w:rFonts w:hint="eastAsia" w:eastAsia="宋体" w:cs="Times New Roman"/>
                <w:color w:val="auto"/>
                <w:sz w:val="24"/>
                <w:szCs w:val="24"/>
                <w:lang w:eastAsia="zh-CN"/>
              </w:rPr>
              <w:t>灵璧县威科钓具有限公司</w:t>
            </w:r>
            <w:r>
              <w:rPr>
                <w:rFonts w:hint="eastAsia" w:eastAsia="宋体" w:cs="Times New Roman"/>
                <w:color w:val="auto"/>
                <w:sz w:val="24"/>
                <w:szCs w:val="24"/>
                <w:lang w:val="en-US" w:eastAsia="zh-CN"/>
              </w:rPr>
              <w:t>废气、噪声监测</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 xml:space="preserve"> </w:t>
            </w:r>
            <w:r>
              <w:rPr>
                <w:rFonts w:hint="eastAsia"/>
                <w:color w:val="auto"/>
                <w:sz w:val="24"/>
                <w:szCs w:val="24"/>
                <w:highlight w:val="none"/>
                <w:lang w:eastAsia="zh-CN"/>
              </w:rPr>
              <w:t>（报告编号：</w:t>
            </w:r>
            <w:r>
              <w:rPr>
                <w:rFonts w:hint="default" w:ascii="Times New Roman" w:hAnsi="Times New Roman" w:cs="Times New Roman"/>
                <w:color w:val="auto"/>
                <w:sz w:val="24"/>
                <w:szCs w:val="24"/>
                <w:highlight w:val="none"/>
                <w:lang w:val="en-US" w:eastAsia="zh-CN"/>
              </w:rPr>
              <w:t>JJ2025197，2025年6月17日</w:t>
            </w:r>
            <w:r>
              <w:rPr>
                <w:rFonts w:hint="eastAsia"/>
                <w:color w:val="auto"/>
                <w:sz w:val="24"/>
                <w:szCs w:val="24"/>
                <w:highlight w:val="none"/>
                <w:lang w:eastAsia="zh-CN"/>
              </w:rPr>
              <w:t>）</w:t>
            </w:r>
            <w:r>
              <w:rPr>
                <w:rFonts w:hint="eastAsia" w:ascii="Times New Roman" w:hAnsi="Times New Roman" w:eastAsia="宋体" w:cs="Times New Roman"/>
                <w:color w:val="auto"/>
                <w:sz w:val="24"/>
                <w:szCs w:val="24"/>
                <w:lang w:val="en-US" w:eastAsia="zh-CN"/>
              </w:rPr>
              <w:t>中监测报告数据如下：</w:t>
            </w:r>
          </w:p>
          <w:p w14:paraId="068D699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b/>
                <w:bCs/>
                <w:color w:val="auto"/>
                <w:sz w:val="24"/>
                <w:szCs w:val="24"/>
              </w:rPr>
              <w:t>表</w:t>
            </w:r>
            <w:r>
              <w:rPr>
                <w:rFonts w:hint="eastAsia" w:cs="Times New Roman"/>
                <w:b/>
                <w:bCs/>
                <w:color w:val="auto"/>
                <w:sz w:val="24"/>
                <w:szCs w:val="24"/>
                <w:lang w:val="en-US" w:eastAsia="zh-CN"/>
              </w:rPr>
              <w:t>4.1</w:t>
            </w:r>
            <w:r>
              <w:rPr>
                <w:rFonts w:hint="default" w:ascii="Times New Roman" w:hAnsi="Times New Roman" w:cs="Times New Roman"/>
                <w:b/>
                <w:bCs/>
                <w:color w:val="auto"/>
                <w:sz w:val="24"/>
                <w:szCs w:val="24"/>
              </w:rPr>
              <w:t xml:space="preserve">  </w:t>
            </w:r>
            <w:r>
              <w:rPr>
                <w:rFonts w:hint="eastAsia" w:cs="Times New Roman"/>
                <w:b/>
                <w:bCs/>
                <w:color w:val="auto"/>
                <w:sz w:val="24"/>
                <w:szCs w:val="24"/>
                <w:lang w:eastAsia="zh-CN"/>
              </w:rPr>
              <w:t>混合、加热工序</w:t>
            </w:r>
            <w:r>
              <w:rPr>
                <w:rFonts w:hint="eastAsia" w:cs="Times New Roman"/>
                <w:b/>
                <w:bCs/>
                <w:color w:val="auto"/>
                <w:sz w:val="24"/>
                <w:szCs w:val="24"/>
                <w:lang w:val="en-US" w:eastAsia="zh-CN"/>
              </w:rPr>
              <w:t>1#布袋处理设施进出口</w:t>
            </w:r>
            <w:r>
              <w:rPr>
                <w:rFonts w:hint="default" w:ascii="Times New Roman" w:hAnsi="Times New Roman" w:cs="Times New Roman"/>
                <w:b/>
                <w:bCs/>
                <w:color w:val="auto"/>
                <w:sz w:val="24"/>
                <w:szCs w:val="24"/>
                <w:lang w:eastAsia="zh-CN"/>
              </w:rPr>
              <w:t>（</w:t>
            </w:r>
            <w:r>
              <w:rPr>
                <w:rFonts w:hint="eastAsia" w:ascii="Times New Roman" w:hAnsi="Times New Roman" w:cs="Times New Roman"/>
                <w:b/>
                <w:bCs/>
                <w:color w:val="auto"/>
                <w:sz w:val="24"/>
                <w:szCs w:val="24"/>
                <w:lang w:val="en-US" w:eastAsia="zh-CN"/>
              </w:rPr>
              <w:t>20</w:t>
            </w:r>
            <w:r>
              <w:rPr>
                <w:rFonts w:hint="eastAsia" w:cs="Times New Roman"/>
                <w:b/>
                <w:bCs/>
                <w:color w:val="auto"/>
                <w:sz w:val="24"/>
                <w:szCs w:val="24"/>
                <w:lang w:val="en-US" w:eastAsia="zh-CN"/>
              </w:rPr>
              <w:t>25</w:t>
            </w:r>
            <w:r>
              <w:rPr>
                <w:rFonts w:hint="eastAsia" w:ascii="Times New Roman" w:hAnsi="Times New Roman" w:cs="Times New Roman"/>
                <w:b/>
                <w:bCs/>
                <w:color w:val="auto"/>
                <w:sz w:val="24"/>
                <w:szCs w:val="24"/>
                <w:lang w:val="en-US" w:eastAsia="zh-CN"/>
              </w:rPr>
              <w:t>年</w:t>
            </w:r>
            <w:r>
              <w:rPr>
                <w:rFonts w:hint="eastAsia" w:cs="Times New Roman"/>
                <w:b/>
                <w:bCs/>
                <w:color w:val="auto"/>
                <w:sz w:val="24"/>
                <w:szCs w:val="24"/>
                <w:lang w:val="en-US" w:eastAsia="zh-CN"/>
              </w:rPr>
              <w:t>5</w:t>
            </w:r>
            <w:r>
              <w:rPr>
                <w:rFonts w:hint="default" w:ascii="Times New Roman" w:hAnsi="Times New Roman" w:cs="Times New Roman"/>
                <w:b/>
                <w:bCs/>
                <w:color w:val="auto"/>
                <w:sz w:val="24"/>
                <w:szCs w:val="24"/>
                <w:lang w:val="en-US" w:eastAsia="zh-CN"/>
              </w:rPr>
              <w:t>月</w:t>
            </w:r>
            <w:r>
              <w:rPr>
                <w:rFonts w:hint="eastAsia" w:cs="Times New Roman"/>
                <w:b/>
                <w:bCs/>
                <w:color w:val="auto"/>
                <w:sz w:val="24"/>
                <w:szCs w:val="24"/>
                <w:lang w:val="en-US" w:eastAsia="zh-CN"/>
              </w:rPr>
              <w:t>29</w:t>
            </w:r>
            <w:r>
              <w:rPr>
                <w:rFonts w:hint="default" w:ascii="Times New Roman" w:hAnsi="Times New Roman" w:cs="Times New Roman"/>
                <w:b/>
                <w:bCs/>
                <w:color w:val="auto"/>
                <w:sz w:val="24"/>
                <w:szCs w:val="24"/>
                <w:lang w:val="en-US" w:eastAsia="zh-CN"/>
              </w:rPr>
              <w:t>日</w:t>
            </w:r>
            <w:r>
              <w:rPr>
                <w:rFonts w:hint="default" w:ascii="Times New Roman" w:hAnsi="Times New Roman" w:cs="Times New Roman"/>
                <w:b/>
                <w:bCs/>
                <w:color w:val="auto"/>
                <w:sz w:val="24"/>
                <w:szCs w:val="24"/>
                <w:lang w:eastAsia="zh-CN"/>
              </w:rPr>
              <w:t>）</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062"/>
              <w:gridCol w:w="1065"/>
              <w:gridCol w:w="1065"/>
              <w:gridCol w:w="1065"/>
              <w:gridCol w:w="1065"/>
              <w:gridCol w:w="1065"/>
              <w:gridCol w:w="1066"/>
            </w:tblGrid>
            <w:tr w14:paraId="2E34A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40" w:type="dxa"/>
                  <w:gridSpan w:val="2"/>
                  <w:noWrap w:val="0"/>
                  <w:vAlign w:val="center"/>
                </w:tcPr>
                <w:p w14:paraId="4B5ADA80">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eastAsia" w:eastAsia="宋体" w:cs="Times New Roman"/>
                      <w:b w:val="0"/>
                      <w:bCs w:val="0"/>
                      <w:color w:val="auto"/>
                      <w:sz w:val="21"/>
                      <w:szCs w:val="21"/>
                      <w:lang w:eastAsia="zh-CN"/>
                    </w:rPr>
                    <w:t>项目名称</w:t>
                  </w:r>
                </w:p>
              </w:tc>
              <w:tc>
                <w:tcPr>
                  <w:tcW w:w="1134" w:type="dxa"/>
                  <w:gridSpan w:val="3"/>
                  <w:noWrap w:val="0"/>
                  <w:vAlign w:val="center"/>
                </w:tcPr>
                <w:p w14:paraId="68A14A3F">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废气处理设施进口</w:t>
                  </w:r>
                </w:p>
              </w:tc>
              <w:tc>
                <w:tcPr>
                  <w:tcW w:w="1134" w:type="dxa"/>
                  <w:gridSpan w:val="3"/>
                  <w:noWrap w:val="0"/>
                  <w:vAlign w:val="center"/>
                </w:tcPr>
                <w:p w14:paraId="33B16718">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废气排放口</w:t>
                  </w:r>
                </w:p>
              </w:tc>
            </w:tr>
            <w:tr w14:paraId="4F17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40" w:type="dxa"/>
                  <w:gridSpan w:val="2"/>
                  <w:noWrap w:val="0"/>
                  <w:vAlign w:val="center"/>
                </w:tcPr>
                <w:p w14:paraId="430F832C">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eastAsia="宋体" w:cs="Times New Roman"/>
                      <w:b w:val="0"/>
                      <w:bCs w:val="0"/>
                      <w:color w:val="auto"/>
                      <w:sz w:val="21"/>
                      <w:szCs w:val="21"/>
                      <w:lang w:val="en-US" w:eastAsia="zh-CN"/>
                    </w:rPr>
                  </w:pPr>
                  <w:r>
                    <w:rPr>
                      <w:rFonts w:hint="eastAsia" w:eastAsia="宋体" w:cs="Times New Roman"/>
                      <w:b w:val="0"/>
                      <w:bCs w:val="0"/>
                      <w:color w:val="auto"/>
                      <w:sz w:val="21"/>
                      <w:szCs w:val="21"/>
                      <w:lang w:eastAsia="zh-CN"/>
                    </w:rPr>
                    <w:t>排气筒高度</w:t>
                  </w:r>
                  <w:r>
                    <w:rPr>
                      <w:rFonts w:hint="eastAsia" w:eastAsia="宋体" w:cs="Times New Roman"/>
                      <w:b w:val="0"/>
                      <w:bCs w:val="0"/>
                      <w:color w:val="auto"/>
                      <w:sz w:val="21"/>
                      <w:szCs w:val="21"/>
                      <w:lang w:val="en-US" w:eastAsia="zh-CN"/>
                    </w:rPr>
                    <w:t>m</w:t>
                  </w:r>
                </w:p>
              </w:tc>
              <w:tc>
                <w:tcPr>
                  <w:tcW w:w="1134" w:type="dxa"/>
                  <w:gridSpan w:val="6"/>
                  <w:noWrap w:val="0"/>
                  <w:vAlign w:val="center"/>
                </w:tcPr>
                <w:p w14:paraId="11CA3D91">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15</w:t>
                  </w:r>
                </w:p>
              </w:tc>
            </w:tr>
            <w:tr w14:paraId="6DBC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0" w:type="dxa"/>
                  <w:gridSpan w:val="2"/>
                  <w:noWrap w:val="0"/>
                  <w:vAlign w:val="center"/>
                </w:tcPr>
                <w:p w14:paraId="01F7EEF7">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color w:val="auto"/>
                      <w:kern w:val="2"/>
                      <w:sz w:val="21"/>
                      <w:szCs w:val="21"/>
                      <w:lang w:val="en-US" w:eastAsia="zh-CN" w:bidi="ar-SA"/>
                    </w:rPr>
                  </w:pPr>
                  <w:r>
                    <w:rPr>
                      <w:rFonts w:hint="eastAsia" w:eastAsia="宋体" w:cs="Times New Roman"/>
                      <w:b w:val="0"/>
                      <w:bCs w:val="0"/>
                      <w:color w:val="auto"/>
                      <w:sz w:val="21"/>
                      <w:szCs w:val="21"/>
                      <w:lang w:eastAsia="zh-CN"/>
                    </w:rPr>
                    <w:t>标干流量</w:t>
                  </w:r>
                  <w:r>
                    <w:rPr>
                      <w:rFonts w:hint="eastAsia" w:eastAsia="宋体" w:cs="Times New Roman"/>
                      <w:b w:val="0"/>
                      <w:bCs w:val="0"/>
                      <w:color w:val="auto"/>
                      <w:sz w:val="21"/>
                      <w:szCs w:val="21"/>
                      <w:lang w:val="en-US" w:eastAsia="zh-CN"/>
                    </w:rPr>
                    <w:t>m</w:t>
                  </w:r>
                  <w:r>
                    <w:rPr>
                      <w:rFonts w:hint="eastAsia" w:eastAsia="宋体" w:cs="Times New Roman"/>
                      <w:b w:val="0"/>
                      <w:bCs w:val="0"/>
                      <w:color w:val="auto"/>
                      <w:sz w:val="21"/>
                      <w:szCs w:val="21"/>
                      <w:vertAlign w:val="superscript"/>
                      <w:lang w:val="en-US" w:eastAsia="zh-CN"/>
                    </w:rPr>
                    <w:t>3</w:t>
                  </w:r>
                  <w:r>
                    <w:rPr>
                      <w:rFonts w:hint="eastAsia" w:eastAsia="宋体" w:cs="Times New Roman"/>
                      <w:b w:val="0"/>
                      <w:bCs w:val="0"/>
                      <w:color w:val="auto"/>
                      <w:sz w:val="21"/>
                      <w:szCs w:val="21"/>
                      <w:lang w:val="en-US" w:eastAsia="zh-CN"/>
                    </w:rPr>
                    <w:t>/h</w:t>
                  </w:r>
                </w:p>
              </w:tc>
              <w:tc>
                <w:tcPr>
                  <w:tcW w:w="1134" w:type="dxa"/>
                  <w:noWrap w:val="0"/>
                  <w:vAlign w:val="center"/>
                </w:tcPr>
                <w:p w14:paraId="1B4FC0D6">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2171</w:t>
                  </w:r>
                </w:p>
              </w:tc>
              <w:tc>
                <w:tcPr>
                  <w:tcW w:w="1134" w:type="dxa"/>
                  <w:noWrap w:val="0"/>
                  <w:vAlign w:val="center"/>
                </w:tcPr>
                <w:p w14:paraId="5ACD170E">
                  <w:pPr>
                    <w:pStyle w:val="43"/>
                    <w:keepNext w:val="0"/>
                    <w:keepLines w:val="0"/>
                    <w:pageBreakBefore w:val="0"/>
                    <w:widowControl w:val="0"/>
                    <w:kinsoku/>
                    <w:wordWrap/>
                    <w:overflowPunct/>
                    <w:topLinePunct w:val="0"/>
                    <w:autoSpaceDE/>
                    <w:autoSpaceDN/>
                    <w:bidi w:val="0"/>
                    <w:adjustRightInd/>
                    <w:snapToGrid w:val="0"/>
                    <w:ind w:left="86" w:leftChars="0" w:right="80" w:rightChars="0"/>
                    <w:jc w:val="center"/>
                    <w:textAlignment w:val="auto"/>
                    <w:rPr>
                      <w:rFonts w:hint="default" w:ascii="Times New Roman" w:hAnsi="Times New Roman" w:eastAsia="宋体"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2211</w:t>
                  </w:r>
                </w:p>
              </w:tc>
              <w:tc>
                <w:tcPr>
                  <w:tcW w:w="1134" w:type="dxa"/>
                  <w:noWrap w:val="0"/>
                  <w:vAlign w:val="center"/>
                </w:tcPr>
                <w:p w14:paraId="30151CB4">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2231</w:t>
                  </w:r>
                </w:p>
              </w:tc>
              <w:tc>
                <w:tcPr>
                  <w:tcW w:w="1134" w:type="dxa"/>
                  <w:noWrap w:val="0"/>
                  <w:vAlign w:val="center"/>
                </w:tcPr>
                <w:p w14:paraId="6C3DC315">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2471</w:t>
                  </w:r>
                </w:p>
              </w:tc>
              <w:tc>
                <w:tcPr>
                  <w:tcW w:w="1134" w:type="dxa"/>
                  <w:noWrap w:val="0"/>
                  <w:vAlign w:val="center"/>
                </w:tcPr>
                <w:p w14:paraId="4F3D1253">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2428</w:t>
                  </w:r>
                </w:p>
              </w:tc>
              <w:tc>
                <w:tcPr>
                  <w:tcW w:w="1134" w:type="dxa"/>
                  <w:noWrap w:val="0"/>
                  <w:vAlign w:val="center"/>
                </w:tcPr>
                <w:p w14:paraId="1F742153">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2486</w:t>
                  </w:r>
                </w:p>
              </w:tc>
            </w:tr>
            <w:tr w14:paraId="619F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vMerge w:val="restart"/>
                  <w:noWrap w:val="0"/>
                  <w:vAlign w:val="center"/>
                </w:tcPr>
                <w:p w14:paraId="14FDF2E6">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eastAsia="zh-CN"/>
                    </w:rPr>
                    <w:t>颗粒物</w:t>
                  </w:r>
                </w:p>
              </w:tc>
              <w:tc>
                <w:tcPr>
                  <w:tcW w:w="1130" w:type="dxa"/>
                  <w:noWrap w:val="0"/>
                  <w:vAlign w:val="center"/>
                </w:tcPr>
                <w:p w14:paraId="542FE840">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实测浓度mg/m</w:t>
                  </w:r>
                  <w:r>
                    <w:rPr>
                      <w:rFonts w:hint="eastAsia" w:cs="Times New Roman"/>
                      <w:color w:val="auto"/>
                      <w:kern w:val="2"/>
                      <w:sz w:val="21"/>
                      <w:szCs w:val="21"/>
                      <w:vertAlign w:val="superscript"/>
                      <w:lang w:val="en-US" w:eastAsia="zh-CN" w:bidi="ar-SA"/>
                    </w:rPr>
                    <w:t>3</w:t>
                  </w:r>
                </w:p>
              </w:tc>
              <w:tc>
                <w:tcPr>
                  <w:tcW w:w="1134" w:type="dxa"/>
                  <w:noWrap w:val="0"/>
                  <w:vAlign w:val="center"/>
                </w:tcPr>
                <w:p w14:paraId="1DE06AEE">
                  <w:pPr>
                    <w:keepNext w:val="0"/>
                    <w:keepLines w:val="0"/>
                    <w:pageBreakBefore w:val="0"/>
                    <w:widowControl w:val="0"/>
                    <w:kinsoku/>
                    <w:wordWrap/>
                    <w:overflowPunct/>
                    <w:topLinePunct w:val="0"/>
                    <w:bidi w:val="0"/>
                    <w:adjustRightInd w:val="0"/>
                    <w:snapToGrid w:val="0"/>
                    <w:spacing w:line="240" w:lineRule="auto"/>
                    <w:ind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color w:val="auto"/>
                      <w:kern w:val="2"/>
                      <w:sz w:val="21"/>
                      <w:szCs w:val="21"/>
                      <w:lang w:val="en-US" w:eastAsia="zh-CN" w:bidi="ar-SA"/>
                    </w:rPr>
                    <w:t>˂20</w:t>
                  </w:r>
                </w:p>
              </w:tc>
              <w:tc>
                <w:tcPr>
                  <w:tcW w:w="1134" w:type="dxa"/>
                  <w:noWrap w:val="0"/>
                  <w:vAlign w:val="center"/>
                </w:tcPr>
                <w:p w14:paraId="69C69578">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eastAsia="宋体" w:cs="Times New Roman"/>
                      <w:color w:val="auto"/>
                      <w:kern w:val="2"/>
                      <w:sz w:val="21"/>
                      <w:szCs w:val="21"/>
                      <w:lang w:val="en-US" w:eastAsia="zh-CN" w:bidi="zh-CN"/>
                    </w:rPr>
                  </w:pPr>
                  <w:r>
                    <w:rPr>
                      <w:rFonts w:hint="default" w:ascii="Times New Roman" w:hAnsi="Times New Roman" w:cs="Times New Roman"/>
                      <w:color w:val="auto"/>
                      <w:kern w:val="2"/>
                      <w:sz w:val="21"/>
                      <w:szCs w:val="21"/>
                      <w:lang w:val="en-US" w:eastAsia="zh-CN" w:bidi="ar-SA"/>
                    </w:rPr>
                    <w:t>˂20</w:t>
                  </w:r>
                </w:p>
              </w:tc>
              <w:tc>
                <w:tcPr>
                  <w:tcW w:w="1134" w:type="dxa"/>
                  <w:noWrap w:val="0"/>
                  <w:vAlign w:val="center"/>
                </w:tcPr>
                <w:p w14:paraId="0D610B78">
                  <w:pPr>
                    <w:autoSpaceDE w:val="0"/>
                    <w:autoSpaceDN w:val="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˂20</w:t>
                  </w:r>
                </w:p>
              </w:tc>
              <w:tc>
                <w:tcPr>
                  <w:tcW w:w="1134" w:type="dxa"/>
                  <w:noWrap w:val="0"/>
                  <w:vAlign w:val="center"/>
                </w:tcPr>
                <w:p w14:paraId="50C2CD7B">
                  <w:pPr>
                    <w:autoSpaceDE w:val="0"/>
                    <w:autoSpaceDN w:val="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1.5</w:t>
                  </w:r>
                </w:p>
              </w:tc>
              <w:tc>
                <w:tcPr>
                  <w:tcW w:w="1134" w:type="dxa"/>
                  <w:noWrap w:val="0"/>
                  <w:vAlign w:val="center"/>
                </w:tcPr>
                <w:p w14:paraId="56DD5DB0">
                  <w:pPr>
                    <w:autoSpaceDE w:val="0"/>
                    <w:autoSpaceDN w:val="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1.6</w:t>
                  </w:r>
                </w:p>
              </w:tc>
              <w:tc>
                <w:tcPr>
                  <w:tcW w:w="1134" w:type="dxa"/>
                  <w:noWrap w:val="0"/>
                  <w:vAlign w:val="center"/>
                </w:tcPr>
                <w:p w14:paraId="6ED821EA">
                  <w:pPr>
                    <w:autoSpaceDE w:val="0"/>
                    <w:autoSpaceDN w:val="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1.2</w:t>
                  </w:r>
                </w:p>
              </w:tc>
            </w:tr>
            <w:tr w14:paraId="07FC2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vMerge w:val="continue"/>
                  <w:noWrap w:val="0"/>
                  <w:vAlign w:val="center"/>
                </w:tcPr>
                <w:p w14:paraId="1FC3CAB5">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color w:val="auto"/>
                      <w:kern w:val="2"/>
                      <w:sz w:val="21"/>
                      <w:szCs w:val="21"/>
                      <w:lang w:val="en-US" w:eastAsia="zh-CN" w:bidi="ar-SA"/>
                    </w:rPr>
                  </w:pPr>
                </w:p>
              </w:tc>
              <w:tc>
                <w:tcPr>
                  <w:tcW w:w="1130" w:type="dxa"/>
                  <w:noWrap w:val="0"/>
                  <w:vAlign w:val="center"/>
                </w:tcPr>
                <w:p w14:paraId="12579640">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排放速率kg/h</w:t>
                  </w:r>
                </w:p>
              </w:tc>
              <w:tc>
                <w:tcPr>
                  <w:tcW w:w="1134" w:type="dxa"/>
                  <w:noWrap w:val="0"/>
                  <w:vAlign w:val="center"/>
                </w:tcPr>
                <w:p w14:paraId="508F5398">
                  <w:pPr>
                    <w:keepNext w:val="0"/>
                    <w:keepLines w:val="0"/>
                    <w:pageBreakBefore w:val="0"/>
                    <w:widowControl w:val="0"/>
                    <w:kinsoku/>
                    <w:wordWrap/>
                    <w:overflowPunct/>
                    <w:topLinePunct w:val="0"/>
                    <w:bidi w:val="0"/>
                    <w:adjustRightInd w:val="0"/>
                    <w:snapToGrid w:val="0"/>
                    <w:spacing w:line="240" w:lineRule="auto"/>
                    <w:ind w:right="0"/>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w:t>
                  </w:r>
                </w:p>
              </w:tc>
              <w:tc>
                <w:tcPr>
                  <w:tcW w:w="1134" w:type="dxa"/>
                  <w:noWrap w:val="0"/>
                  <w:vAlign w:val="center"/>
                </w:tcPr>
                <w:p w14:paraId="1188EF26">
                  <w:pPr>
                    <w:keepNext w:val="0"/>
                    <w:keepLines w:val="0"/>
                    <w:pageBreakBefore w:val="0"/>
                    <w:widowControl w:val="0"/>
                    <w:kinsoku/>
                    <w:wordWrap/>
                    <w:overflowPunct/>
                    <w:topLinePunct w:val="0"/>
                    <w:autoSpaceDE/>
                    <w:autoSpaceDN/>
                    <w:bidi w:val="0"/>
                    <w:adjustRightInd/>
                    <w:snapToGrid w:val="0"/>
                    <w:ind w:left="87" w:leftChars="0" w:right="80" w:rightChars="0"/>
                    <w:jc w:val="center"/>
                    <w:textAlignment w:val="auto"/>
                    <w:rPr>
                      <w:rFonts w:hint="default" w:ascii="Times New Roman" w:hAnsi="Times New Roman" w:eastAsia="宋体" w:cs="Times New Roman"/>
                      <w:color w:val="auto"/>
                      <w:kern w:val="2"/>
                      <w:sz w:val="21"/>
                      <w:szCs w:val="21"/>
                      <w:lang w:val="en-US" w:eastAsia="zh-CN" w:bidi="zh-CN"/>
                    </w:rPr>
                  </w:pPr>
                  <w:r>
                    <w:rPr>
                      <w:rFonts w:hint="eastAsia" w:cs="Times New Roman"/>
                      <w:color w:val="auto"/>
                      <w:kern w:val="2"/>
                      <w:sz w:val="21"/>
                      <w:szCs w:val="21"/>
                      <w:lang w:val="en-US" w:eastAsia="zh-CN" w:bidi="zh-CN"/>
                    </w:rPr>
                    <w:t>/</w:t>
                  </w:r>
                </w:p>
              </w:tc>
              <w:tc>
                <w:tcPr>
                  <w:tcW w:w="1134" w:type="dxa"/>
                  <w:noWrap w:val="0"/>
                  <w:vAlign w:val="center"/>
                </w:tcPr>
                <w:p w14:paraId="08E1D974">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1134" w:type="dxa"/>
                  <w:noWrap w:val="0"/>
                  <w:vAlign w:val="center"/>
                </w:tcPr>
                <w:p w14:paraId="785FF3F0">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3.71</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w:t>
                  </w:r>
                  <w:r>
                    <w:rPr>
                      <w:rFonts w:hint="eastAsia" w:cs="Times New Roman"/>
                      <w:b w:val="0"/>
                      <w:bCs w:val="0"/>
                      <w:color w:val="auto"/>
                      <w:sz w:val="21"/>
                      <w:szCs w:val="21"/>
                      <w:vertAlign w:val="superscript"/>
                      <w:lang w:val="en-US" w:eastAsia="zh-CN"/>
                    </w:rPr>
                    <w:t>3</w:t>
                  </w:r>
                </w:p>
              </w:tc>
              <w:tc>
                <w:tcPr>
                  <w:tcW w:w="1134" w:type="dxa"/>
                  <w:noWrap w:val="0"/>
                  <w:vAlign w:val="center"/>
                </w:tcPr>
                <w:p w14:paraId="412C6BD6">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3.88</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w:t>
                  </w:r>
                  <w:r>
                    <w:rPr>
                      <w:rFonts w:hint="eastAsia" w:cs="Times New Roman"/>
                      <w:b w:val="0"/>
                      <w:bCs w:val="0"/>
                      <w:color w:val="auto"/>
                      <w:sz w:val="21"/>
                      <w:szCs w:val="21"/>
                      <w:vertAlign w:val="superscript"/>
                      <w:lang w:val="en-US" w:eastAsia="zh-CN"/>
                    </w:rPr>
                    <w:t>3</w:t>
                  </w:r>
                </w:p>
              </w:tc>
              <w:tc>
                <w:tcPr>
                  <w:tcW w:w="1134" w:type="dxa"/>
                  <w:noWrap w:val="0"/>
                  <w:vAlign w:val="center"/>
                </w:tcPr>
                <w:p w14:paraId="06AA4FC1">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2.98</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cs="Times New Roman"/>
                      <w:b w:val="0"/>
                      <w:bCs w:val="0"/>
                      <w:color w:val="auto"/>
                      <w:sz w:val="21"/>
                      <w:szCs w:val="21"/>
                      <w:vertAlign w:val="superscript"/>
                      <w:lang w:val="en-US" w:eastAsia="zh-CN"/>
                    </w:rPr>
                    <w:t>-3</w:t>
                  </w:r>
                </w:p>
              </w:tc>
            </w:tr>
          </w:tbl>
          <w:p w14:paraId="02C3714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center"/>
              <w:textAlignment w:val="auto"/>
              <w:rPr>
                <w:rFonts w:hint="eastAsia" w:ascii="Times New Roman" w:hAnsi="Times New Roman" w:eastAsia="宋体" w:cs="Times New Roman"/>
                <w:color w:val="auto"/>
                <w:sz w:val="24"/>
                <w:szCs w:val="24"/>
                <w:lang w:eastAsia="zh-CN"/>
              </w:rPr>
            </w:pPr>
            <w:r>
              <w:rPr>
                <w:rFonts w:hint="default" w:ascii="Times New Roman" w:hAnsi="Times New Roman" w:cs="Times New Roman"/>
                <w:b/>
                <w:bCs/>
                <w:color w:val="auto"/>
                <w:sz w:val="24"/>
                <w:szCs w:val="24"/>
              </w:rPr>
              <w:t>表</w:t>
            </w:r>
            <w:r>
              <w:rPr>
                <w:rFonts w:hint="eastAsia" w:cs="Times New Roman"/>
                <w:b/>
                <w:bCs/>
                <w:color w:val="auto"/>
                <w:sz w:val="24"/>
                <w:szCs w:val="24"/>
                <w:lang w:val="en-US" w:eastAsia="zh-CN"/>
              </w:rPr>
              <w:t>4.2</w:t>
            </w:r>
            <w:r>
              <w:rPr>
                <w:rFonts w:hint="default" w:ascii="Times New Roman" w:hAnsi="Times New Roman" w:cs="Times New Roman"/>
                <w:b/>
                <w:bCs/>
                <w:color w:val="auto"/>
                <w:sz w:val="24"/>
                <w:szCs w:val="24"/>
              </w:rPr>
              <w:t xml:space="preserve"> </w:t>
            </w:r>
            <w:r>
              <w:rPr>
                <w:rFonts w:hint="eastAsia" w:cs="Times New Roman"/>
                <w:b/>
                <w:bCs/>
                <w:color w:val="auto"/>
                <w:sz w:val="24"/>
                <w:szCs w:val="24"/>
                <w:lang w:eastAsia="zh-CN"/>
              </w:rPr>
              <w:t>混合、加热工序</w:t>
            </w:r>
            <w:r>
              <w:rPr>
                <w:rFonts w:hint="eastAsia" w:cs="Times New Roman"/>
                <w:b/>
                <w:bCs/>
                <w:color w:val="auto"/>
                <w:sz w:val="24"/>
                <w:szCs w:val="24"/>
                <w:lang w:val="en-US" w:eastAsia="zh-CN"/>
              </w:rPr>
              <w:t>2#UV光解+活性炭处理设施进出口</w:t>
            </w:r>
            <w:r>
              <w:rPr>
                <w:rFonts w:hint="default" w:ascii="Times New Roman" w:hAnsi="Times New Roman" w:cs="Times New Roman"/>
                <w:b/>
                <w:bCs/>
                <w:color w:val="auto"/>
                <w:sz w:val="24"/>
                <w:szCs w:val="24"/>
                <w:lang w:eastAsia="zh-CN"/>
              </w:rPr>
              <w:t>（</w:t>
            </w:r>
            <w:r>
              <w:rPr>
                <w:rFonts w:hint="eastAsia" w:ascii="Times New Roman" w:hAnsi="Times New Roman" w:cs="Times New Roman"/>
                <w:b/>
                <w:bCs/>
                <w:color w:val="auto"/>
                <w:sz w:val="24"/>
                <w:szCs w:val="24"/>
                <w:lang w:val="en-US" w:eastAsia="zh-CN"/>
              </w:rPr>
              <w:t>20</w:t>
            </w:r>
            <w:r>
              <w:rPr>
                <w:rFonts w:hint="eastAsia" w:cs="Times New Roman"/>
                <w:b/>
                <w:bCs/>
                <w:color w:val="auto"/>
                <w:sz w:val="24"/>
                <w:szCs w:val="24"/>
                <w:lang w:val="en-US" w:eastAsia="zh-CN"/>
              </w:rPr>
              <w:t>25</w:t>
            </w:r>
            <w:r>
              <w:rPr>
                <w:rFonts w:hint="eastAsia" w:ascii="Times New Roman" w:hAnsi="Times New Roman" w:cs="Times New Roman"/>
                <w:b/>
                <w:bCs/>
                <w:color w:val="auto"/>
                <w:sz w:val="24"/>
                <w:szCs w:val="24"/>
                <w:lang w:val="en-US" w:eastAsia="zh-CN"/>
              </w:rPr>
              <w:t>年</w:t>
            </w:r>
            <w:r>
              <w:rPr>
                <w:rFonts w:hint="eastAsia" w:cs="Times New Roman"/>
                <w:b/>
                <w:bCs/>
                <w:color w:val="auto"/>
                <w:sz w:val="24"/>
                <w:szCs w:val="24"/>
                <w:lang w:val="en-US" w:eastAsia="zh-CN"/>
              </w:rPr>
              <w:t>5</w:t>
            </w:r>
            <w:r>
              <w:rPr>
                <w:rFonts w:hint="default" w:ascii="Times New Roman" w:hAnsi="Times New Roman" w:cs="Times New Roman"/>
                <w:b/>
                <w:bCs/>
                <w:color w:val="auto"/>
                <w:sz w:val="24"/>
                <w:szCs w:val="24"/>
                <w:lang w:val="en-US" w:eastAsia="zh-CN"/>
              </w:rPr>
              <w:t>月</w:t>
            </w:r>
            <w:r>
              <w:rPr>
                <w:rFonts w:hint="eastAsia" w:cs="Times New Roman"/>
                <w:b/>
                <w:bCs/>
                <w:color w:val="auto"/>
                <w:sz w:val="24"/>
                <w:szCs w:val="24"/>
                <w:lang w:val="en-US" w:eastAsia="zh-CN"/>
              </w:rPr>
              <w:t>29</w:t>
            </w:r>
            <w:r>
              <w:rPr>
                <w:rFonts w:hint="default" w:ascii="Times New Roman" w:hAnsi="Times New Roman" w:cs="Times New Roman"/>
                <w:b/>
                <w:bCs/>
                <w:color w:val="auto"/>
                <w:sz w:val="24"/>
                <w:szCs w:val="24"/>
                <w:lang w:val="en-US" w:eastAsia="zh-CN"/>
              </w:rPr>
              <w:t>日</w:t>
            </w:r>
            <w:r>
              <w:rPr>
                <w:rFonts w:hint="default" w:ascii="Times New Roman" w:hAnsi="Times New Roman" w:cs="Times New Roman"/>
                <w:b/>
                <w:bCs/>
                <w:color w:val="auto"/>
                <w:sz w:val="24"/>
                <w:szCs w:val="24"/>
                <w:lang w:eastAsia="zh-CN"/>
              </w:rPr>
              <w:t>）</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062"/>
              <w:gridCol w:w="1065"/>
              <w:gridCol w:w="1065"/>
              <w:gridCol w:w="1065"/>
              <w:gridCol w:w="1065"/>
              <w:gridCol w:w="1065"/>
              <w:gridCol w:w="1066"/>
            </w:tblGrid>
            <w:tr w14:paraId="4A30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41" w:type="dxa"/>
                  <w:gridSpan w:val="2"/>
                  <w:noWrap w:val="0"/>
                  <w:vAlign w:val="center"/>
                </w:tcPr>
                <w:p w14:paraId="265E7320">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eastAsia" w:eastAsia="宋体" w:cs="Times New Roman"/>
                      <w:b w:val="0"/>
                      <w:bCs w:val="0"/>
                      <w:color w:val="auto"/>
                      <w:sz w:val="21"/>
                      <w:szCs w:val="21"/>
                      <w:lang w:eastAsia="zh-CN"/>
                    </w:rPr>
                    <w:t>项目名称</w:t>
                  </w:r>
                </w:p>
              </w:tc>
              <w:tc>
                <w:tcPr>
                  <w:tcW w:w="3219" w:type="dxa"/>
                  <w:gridSpan w:val="3"/>
                  <w:shd w:val="clear" w:color="auto" w:fill="auto"/>
                  <w:noWrap w:val="0"/>
                  <w:vAlign w:val="center"/>
                </w:tcPr>
                <w:p w14:paraId="728A001A">
                  <w:pPr>
                    <w:autoSpaceDE w:val="0"/>
                    <w:autoSpaceDN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废气处理设施进口</w:t>
                  </w:r>
                </w:p>
              </w:tc>
              <w:tc>
                <w:tcPr>
                  <w:tcW w:w="3220" w:type="dxa"/>
                  <w:gridSpan w:val="3"/>
                  <w:shd w:val="clear" w:color="auto" w:fill="auto"/>
                  <w:noWrap w:val="0"/>
                  <w:vAlign w:val="center"/>
                </w:tcPr>
                <w:p w14:paraId="231D1351">
                  <w:pPr>
                    <w:autoSpaceDE w:val="0"/>
                    <w:autoSpaceDN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废气排放口</w:t>
                  </w:r>
                </w:p>
              </w:tc>
            </w:tr>
            <w:tr w14:paraId="2CA9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41" w:type="dxa"/>
                  <w:gridSpan w:val="2"/>
                  <w:noWrap w:val="0"/>
                  <w:vAlign w:val="center"/>
                </w:tcPr>
                <w:p w14:paraId="72A9D7CF">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eastAsia="宋体" w:cs="Times New Roman"/>
                      <w:b w:val="0"/>
                      <w:bCs w:val="0"/>
                      <w:color w:val="auto"/>
                      <w:sz w:val="21"/>
                      <w:szCs w:val="21"/>
                      <w:lang w:val="en-US" w:eastAsia="zh-CN"/>
                    </w:rPr>
                  </w:pPr>
                  <w:r>
                    <w:rPr>
                      <w:rFonts w:hint="eastAsia" w:eastAsia="宋体" w:cs="Times New Roman"/>
                      <w:b w:val="0"/>
                      <w:bCs w:val="0"/>
                      <w:color w:val="auto"/>
                      <w:sz w:val="21"/>
                      <w:szCs w:val="21"/>
                      <w:lang w:eastAsia="zh-CN"/>
                    </w:rPr>
                    <w:t>排气筒高度</w:t>
                  </w:r>
                  <w:r>
                    <w:rPr>
                      <w:rFonts w:hint="eastAsia" w:eastAsia="宋体" w:cs="Times New Roman"/>
                      <w:b w:val="0"/>
                      <w:bCs w:val="0"/>
                      <w:color w:val="auto"/>
                      <w:sz w:val="21"/>
                      <w:szCs w:val="21"/>
                      <w:lang w:val="en-US" w:eastAsia="zh-CN"/>
                    </w:rPr>
                    <w:t>m</w:t>
                  </w:r>
                </w:p>
              </w:tc>
              <w:tc>
                <w:tcPr>
                  <w:tcW w:w="6439" w:type="dxa"/>
                  <w:gridSpan w:val="6"/>
                  <w:noWrap w:val="0"/>
                  <w:vAlign w:val="center"/>
                </w:tcPr>
                <w:p w14:paraId="46726163">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15</w:t>
                  </w:r>
                </w:p>
              </w:tc>
            </w:tr>
            <w:tr w14:paraId="40F5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1" w:type="dxa"/>
                  <w:gridSpan w:val="2"/>
                  <w:noWrap w:val="0"/>
                  <w:vAlign w:val="center"/>
                </w:tcPr>
                <w:p w14:paraId="4DD7EBF2">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color w:val="auto"/>
                      <w:kern w:val="2"/>
                      <w:sz w:val="21"/>
                      <w:szCs w:val="21"/>
                      <w:lang w:val="en-US" w:eastAsia="zh-CN" w:bidi="ar-SA"/>
                    </w:rPr>
                  </w:pPr>
                  <w:r>
                    <w:rPr>
                      <w:rFonts w:hint="eastAsia" w:eastAsia="宋体" w:cs="Times New Roman"/>
                      <w:b w:val="0"/>
                      <w:bCs w:val="0"/>
                      <w:color w:val="auto"/>
                      <w:sz w:val="21"/>
                      <w:szCs w:val="21"/>
                      <w:lang w:eastAsia="zh-CN"/>
                    </w:rPr>
                    <w:t>标干流量</w:t>
                  </w:r>
                  <w:r>
                    <w:rPr>
                      <w:rFonts w:hint="eastAsia" w:eastAsia="宋体" w:cs="Times New Roman"/>
                      <w:b w:val="0"/>
                      <w:bCs w:val="0"/>
                      <w:color w:val="auto"/>
                      <w:sz w:val="21"/>
                      <w:szCs w:val="21"/>
                      <w:lang w:val="en-US" w:eastAsia="zh-CN"/>
                    </w:rPr>
                    <w:t>m</w:t>
                  </w:r>
                  <w:r>
                    <w:rPr>
                      <w:rFonts w:hint="eastAsia" w:eastAsia="宋体" w:cs="Times New Roman"/>
                      <w:b w:val="0"/>
                      <w:bCs w:val="0"/>
                      <w:color w:val="auto"/>
                      <w:sz w:val="21"/>
                      <w:szCs w:val="21"/>
                      <w:vertAlign w:val="superscript"/>
                      <w:lang w:val="en-US" w:eastAsia="zh-CN"/>
                    </w:rPr>
                    <w:t>3</w:t>
                  </w:r>
                  <w:r>
                    <w:rPr>
                      <w:rFonts w:hint="eastAsia" w:eastAsia="宋体" w:cs="Times New Roman"/>
                      <w:b w:val="0"/>
                      <w:bCs w:val="0"/>
                      <w:color w:val="auto"/>
                      <w:sz w:val="21"/>
                      <w:szCs w:val="21"/>
                      <w:lang w:val="en-US" w:eastAsia="zh-CN"/>
                    </w:rPr>
                    <w:t>/h</w:t>
                  </w:r>
                </w:p>
              </w:tc>
              <w:tc>
                <w:tcPr>
                  <w:tcW w:w="1073" w:type="dxa"/>
                  <w:noWrap w:val="0"/>
                  <w:vAlign w:val="center"/>
                </w:tcPr>
                <w:p w14:paraId="259869D5">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838</w:t>
                  </w:r>
                </w:p>
              </w:tc>
              <w:tc>
                <w:tcPr>
                  <w:tcW w:w="1073" w:type="dxa"/>
                  <w:noWrap w:val="0"/>
                  <w:vAlign w:val="center"/>
                </w:tcPr>
                <w:p w14:paraId="31EEFB03">
                  <w:pPr>
                    <w:pStyle w:val="43"/>
                    <w:keepNext w:val="0"/>
                    <w:keepLines w:val="0"/>
                    <w:pageBreakBefore w:val="0"/>
                    <w:widowControl w:val="0"/>
                    <w:kinsoku/>
                    <w:wordWrap/>
                    <w:overflowPunct/>
                    <w:topLinePunct w:val="0"/>
                    <w:autoSpaceDE/>
                    <w:autoSpaceDN/>
                    <w:bidi w:val="0"/>
                    <w:adjustRightInd/>
                    <w:snapToGrid w:val="0"/>
                    <w:ind w:left="86" w:leftChars="0" w:right="80" w:rightChars="0"/>
                    <w:jc w:val="center"/>
                    <w:textAlignment w:val="auto"/>
                    <w:rPr>
                      <w:rFonts w:hint="default" w:ascii="Times New Roman" w:hAnsi="Times New Roman" w:eastAsia="宋体"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750</w:t>
                  </w:r>
                </w:p>
              </w:tc>
              <w:tc>
                <w:tcPr>
                  <w:tcW w:w="1073" w:type="dxa"/>
                  <w:noWrap w:val="0"/>
                  <w:vAlign w:val="center"/>
                </w:tcPr>
                <w:p w14:paraId="7FB013F3">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794</w:t>
                  </w:r>
                </w:p>
              </w:tc>
              <w:tc>
                <w:tcPr>
                  <w:tcW w:w="1073" w:type="dxa"/>
                  <w:noWrap w:val="0"/>
                  <w:vAlign w:val="center"/>
                </w:tcPr>
                <w:p w14:paraId="7C7286FC">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900</w:t>
                  </w:r>
                </w:p>
              </w:tc>
              <w:tc>
                <w:tcPr>
                  <w:tcW w:w="1073" w:type="dxa"/>
                  <w:noWrap w:val="0"/>
                  <w:vAlign w:val="center"/>
                </w:tcPr>
                <w:p w14:paraId="0E06E862">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898</w:t>
                  </w:r>
                </w:p>
              </w:tc>
              <w:tc>
                <w:tcPr>
                  <w:tcW w:w="1074" w:type="dxa"/>
                  <w:noWrap w:val="0"/>
                  <w:vAlign w:val="center"/>
                </w:tcPr>
                <w:p w14:paraId="0ADAE77B">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945</w:t>
                  </w:r>
                </w:p>
              </w:tc>
            </w:tr>
            <w:tr w14:paraId="1D3F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1" w:type="dxa"/>
                  <w:vMerge w:val="restart"/>
                  <w:noWrap w:val="0"/>
                  <w:vAlign w:val="center"/>
                </w:tcPr>
                <w:p w14:paraId="508CF322">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sz w:val="21"/>
                      <w:szCs w:val="21"/>
                      <w:lang w:eastAsia="zh-CN"/>
                    </w:rPr>
                    <w:t>挥发性有机物</w:t>
                  </w:r>
                </w:p>
              </w:tc>
              <w:tc>
                <w:tcPr>
                  <w:tcW w:w="1070" w:type="dxa"/>
                  <w:noWrap w:val="0"/>
                  <w:vAlign w:val="center"/>
                </w:tcPr>
                <w:p w14:paraId="43A90101">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实测浓度mg/m</w:t>
                  </w:r>
                  <w:r>
                    <w:rPr>
                      <w:rFonts w:hint="eastAsia" w:cs="Times New Roman"/>
                      <w:color w:val="auto"/>
                      <w:kern w:val="2"/>
                      <w:sz w:val="21"/>
                      <w:szCs w:val="21"/>
                      <w:vertAlign w:val="superscript"/>
                      <w:lang w:val="en-US" w:eastAsia="zh-CN" w:bidi="ar-SA"/>
                    </w:rPr>
                    <w:t>3</w:t>
                  </w:r>
                </w:p>
              </w:tc>
              <w:tc>
                <w:tcPr>
                  <w:tcW w:w="1073" w:type="dxa"/>
                  <w:noWrap w:val="0"/>
                  <w:vAlign w:val="center"/>
                </w:tcPr>
                <w:p w14:paraId="4CD98EFE">
                  <w:pPr>
                    <w:keepNext w:val="0"/>
                    <w:keepLines w:val="0"/>
                    <w:pageBreakBefore w:val="0"/>
                    <w:widowControl w:val="0"/>
                    <w:kinsoku/>
                    <w:wordWrap/>
                    <w:overflowPunct/>
                    <w:topLinePunct w:val="0"/>
                    <w:bidi w:val="0"/>
                    <w:adjustRightInd w:val="0"/>
                    <w:snapToGrid w:val="0"/>
                    <w:spacing w:line="240" w:lineRule="auto"/>
                    <w:ind w:right="0"/>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4.6</w:t>
                  </w:r>
                </w:p>
              </w:tc>
              <w:tc>
                <w:tcPr>
                  <w:tcW w:w="1073" w:type="dxa"/>
                  <w:noWrap w:val="0"/>
                  <w:vAlign w:val="center"/>
                </w:tcPr>
                <w:p w14:paraId="718DE075">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eastAsia="宋体"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4.31</w:t>
                  </w:r>
                </w:p>
              </w:tc>
              <w:tc>
                <w:tcPr>
                  <w:tcW w:w="1073" w:type="dxa"/>
                  <w:noWrap w:val="0"/>
                  <w:vAlign w:val="center"/>
                </w:tcPr>
                <w:p w14:paraId="199A1B18">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2.47</w:t>
                  </w:r>
                </w:p>
              </w:tc>
              <w:tc>
                <w:tcPr>
                  <w:tcW w:w="1073" w:type="dxa"/>
                  <w:noWrap w:val="0"/>
                  <w:vAlign w:val="center"/>
                </w:tcPr>
                <w:p w14:paraId="779497EA">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0.859</w:t>
                  </w:r>
                </w:p>
              </w:tc>
              <w:tc>
                <w:tcPr>
                  <w:tcW w:w="1073" w:type="dxa"/>
                  <w:noWrap w:val="0"/>
                  <w:vAlign w:val="center"/>
                </w:tcPr>
                <w:p w14:paraId="4D0D46D3">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1.45</w:t>
                  </w:r>
                </w:p>
              </w:tc>
              <w:tc>
                <w:tcPr>
                  <w:tcW w:w="1074" w:type="dxa"/>
                  <w:noWrap w:val="0"/>
                  <w:vAlign w:val="center"/>
                </w:tcPr>
                <w:p w14:paraId="3C4933C4">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1.33</w:t>
                  </w:r>
                </w:p>
              </w:tc>
            </w:tr>
            <w:tr w14:paraId="56E9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1" w:type="dxa"/>
                  <w:vMerge w:val="continue"/>
                  <w:noWrap w:val="0"/>
                  <w:vAlign w:val="center"/>
                </w:tcPr>
                <w:p w14:paraId="350EC890">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color w:val="auto"/>
                      <w:kern w:val="2"/>
                      <w:sz w:val="21"/>
                      <w:szCs w:val="21"/>
                      <w:lang w:val="en-US" w:eastAsia="zh-CN" w:bidi="ar-SA"/>
                    </w:rPr>
                  </w:pPr>
                </w:p>
              </w:tc>
              <w:tc>
                <w:tcPr>
                  <w:tcW w:w="1070" w:type="dxa"/>
                  <w:noWrap w:val="0"/>
                  <w:vAlign w:val="center"/>
                </w:tcPr>
                <w:p w14:paraId="04DBBCEC">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排放速率kg/h</w:t>
                  </w:r>
                </w:p>
              </w:tc>
              <w:tc>
                <w:tcPr>
                  <w:tcW w:w="1073" w:type="dxa"/>
                  <w:noWrap w:val="0"/>
                  <w:vAlign w:val="center"/>
                </w:tcPr>
                <w:p w14:paraId="5FE6D986">
                  <w:pPr>
                    <w:keepNext w:val="0"/>
                    <w:keepLines w:val="0"/>
                    <w:pageBreakBefore w:val="0"/>
                    <w:widowControl w:val="0"/>
                    <w:kinsoku/>
                    <w:wordWrap/>
                    <w:overflowPunct/>
                    <w:topLinePunct w:val="0"/>
                    <w:bidi w:val="0"/>
                    <w:adjustRightInd w:val="0"/>
                    <w:snapToGrid w:val="0"/>
                    <w:spacing w:line="240" w:lineRule="auto"/>
                    <w:ind w:right="0"/>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3.85</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w:t>
                  </w:r>
                  <w:r>
                    <w:rPr>
                      <w:rFonts w:hint="eastAsia" w:cs="Times New Roman"/>
                      <w:b w:val="0"/>
                      <w:bCs w:val="0"/>
                      <w:color w:val="auto"/>
                      <w:sz w:val="21"/>
                      <w:szCs w:val="21"/>
                      <w:vertAlign w:val="superscript"/>
                      <w:lang w:val="en-US" w:eastAsia="zh-CN"/>
                    </w:rPr>
                    <w:t>3</w:t>
                  </w:r>
                </w:p>
              </w:tc>
              <w:tc>
                <w:tcPr>
                  <w:tcW w:w="1073" w:type="dxa"/>
                  <w:noWrap w:val="0"/>
                  <w:vAlign w:val="center"/>
                </w:tcPr>
                <w:p w14:paraId="387D2D27">
                  <w:pPr>
                    <w:keepNext w:val="0"/>
                    <w:keepLines w:val="0"/>
                    <w:pageBreakBefore w:val="0"/>
                    <w:widowControl w:val="0"/>
                    <w:kinsoku/>
                    <w:wordWrap/>
                    <w:overflowPunct/>
                    <w:topLinePunct w:val="0"/>
                    <w:autoSpaceDE/>
                    <w:autoSpaceDN/>
                    <w:bidi w:val="0"/>
                    <w:adjustRightInd/>
                    <w:snapToGrid w:val="0"/>
                    <w:ind w:left="87" w:leftChars="0" w:right="80" w:rightChars="0"/>
                    <w:jc w:val="center"/>
                    <w:textAlignment w:val="auto"/>
                    <w:rPr>
                      <w:rFonts w:hint="default" w:ascii="Times New Roman" w:hAnsi="Times New Roman" w:eastAsia="宋体" w:cs="Times New Roman"/>
                      <w:color w:val="auto"/>
                      <w:kern w:val="2"/>
                      <w:sz w:val="21"/>
                      <w:szCs w:val="21"/>
                      <w:lang w:val="en-US" w:eastAsia="zh-CN" w:bidi="zh-CN"/>
                    </w:rPr>
                  </w:pPr>
                  <w:r>
                    <w:rPr>
                      <w:rFonts w:hint="eastAsia" w:cs="Times New Roman"/>
                      <w:b w:val="0"/>
                      <w:bCs w:val="0"/>
                      <w:color w:val="auto"/>
                      <w:sz w:val="21"/>
                      <w:szCs w:val="21"/>
                      <w:lang w:val="en-US" w:eastAsia="zh-CN"/>
                    </w:rPr>
                    <w:t>3.23</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w:t>
                  </w:r>
                  <w:r>
                    <w:rPr>
                      <w:rFonts w:hint="eastAsia" w:cs="Times New Roman"/>
                      <w:b w:val="0"/>
                      <w:bCs w:val="0"/>
                      <w:color w:val="auto"/>
                      <w:sz w:val="21"/>
                      <w:szCs w:val="21"/>
                      <w:vertAlign w:val="superscript"/>
                      <w:lang w:val="en-US" w:eastAsia="zh-CN"/>
                    </w:rPr>
                    <w:t>3</w:t>
                  </w:r>
                </w:p>
              </w:tc>
              <w:tc>
                <w:tcPr>
                  <w:tcW w:w="1073" w:type="dxa"/>
                  <w:noWrap w:val="0"/>
                  <w:vAlign w:val="center"/>
                </w:tcPr>
                <w:p w14:paraId="5C26C756">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b w:val="0"/>
                      <w:bCs w:val="0"/>
                      <w:color w:val="auto"/>
                      <w:sz w:val="21"/>
                      <w:szCs w:val="21"/>
                      <w:lang w:val="en-US" w:eastAsia="zh-CN"/>
                    </w:rPr>
                    <w:t>1.96</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w:t>
                  </w:r>
                  <w:r>
                    <w:rPr>
                      <w:rFonts w:hint="eastAsia" w:cs="Times New Roman"/>
                      <w:b w:val="0"/>
                      <w:bCs w:val="0"/>
                      <w:color w:val="auto"/>
                      <w:sz w:val="21"/>
                      <w:szCs w:val="21"/>
                      <w:vertAlign w:val="superscript"/>
                      <w:lang w:val="en-US" w:eastAsia="zh-CN"/>
                    </w:rPr>
                    <w:t>3</w:t>
                  </w:r>
                </w:p>
              </w:tc>
              <w:tc>
                <w:tcPr>
                  <w:tcW w:w="1073" w:type="dxa"/>
                  <w:noWrap w:val="0"/>
                  <w:vAlign w:val="center"/>
                </w:tcPr>
                <w:p w14:paraId="13589CEA">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7.73</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-4</w:t>
                  </w:r>
                </w:p>
              </w:tc>
              <w:tc>
                <w:tcPr>
                  <w:tcW w:w="1073" w:type="dxa"/>
                  <w:noWrap w:val="0"/>
                  <w:vAlign w:val="center"/>
                </w:tcPr>
                <w:p w14:paraId="0DF52B78">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1.30</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w:t>
                  </w:r>
                  <w:r>
                    <w:rPr>
                      <w:rFonts w:hint="eastAsia" w:cs="Times New Roman"/>
                      <w:b w:val="0"/>
                      <w:bCs w:val="0"/>
                      <w:color w:val="auto"/>
                      <w:sz w:val="21"/>
                      <w:szCs w:val="21"/>
                      <w:vertAlign w:val="superscript"/>
                      <w:lang w:val="en-US" w:eastAsia="zh-CN"/>
                    </w:rPr>
                    <w:t>3</w:t>
                  </w:r>
                </w:p>
              </w:tc>
              <w:tc>
                <w:tcPr>
                  <w:tcW w:w="1074" w:type="dxa"/>
                  <w:noWrap w:val="0"/>
                  <w:vAlign w:val="center"/>
                </w:tcPr>
                <w:p w14:paraId="247107B0">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1.26</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w:t>
                  </w:r>
                  <w:r>
                    <w:rPr>
                      <w:rFonts w:hint="eastAsia" w:cs="Times New Roman"/>
                      <w:b w:val="0"/>
                      <w:bCs w:val="0"/>
                      <w:color w:val="auto"/>
                      <w:sz w:val="21"/>
                      <w:szCs w:val="21"/>
                      <w:vertAlign w:val="superscript"/>
                      <w:lang w:val="en-US" w:eastAsia="zh-CN"/>
                    </w:rPr>
                    <w:t>3</w:t>
                  </w:r>
                </w:p>
              </w:tc>
            </w:tr>
          </w:tbl>
          <w:p w14:paraId="419178A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center"/>
              <w:textAlignment w:val="auto"/>
              <w:rPr>
                <w:rFonts w:hint="eastAsia" w:ascii="Times New Roman" w:hAnsi="Times New Roman" w:eastAsia="宋体" w:cs="Times New Roman"/>
                <w:color w:val="auto"/>
                <w:sz w:val="24"/>
                <w:szCs w:val="24"/>
                <w:lang w:eastAsia="zh-CN"/>
              </w:rPr>
            </w:pPr>
            <w:r>
              <w:rPr>
                <w:rFonts w:hint="default" w:ascii="Times New Roman" w:hAnsi="Times New Roman" w:cs="Times New Roman"/>
                <w:b/>
                <w:bCs/>
                <w:color w:val="auto"/>
                <w:sz w:val="24"/>
                <w:szCs w:val="24"/>
              </w:rPr>
              <w:t>表</w:t>
            </w:r>
            <w:r>
              <w:rPr>
                <w:rFonts w:hint="eastAsia" w:cs="Times New Roman"/>
                <w:b/>
                <w:bCs/>
                <w:color w:val="auto"/>
                <w:sz w:val="24"/>
                <w:szCs w:val="24"/>
                <w:lang w:val="en-US" w:eastAsia="zh-CN"/>
              </w:rPr>
              <w:t>4.3</w:t>
            </w:r>
            <w:r>
              <w:rPr>
                <w:rFonts w:hint="default" w:ascii="Times New Roman" w:hAnsi="Times New Roman" w:cs="Times New Roman"/>
                <w:b/>
                <w:bCs/>
                <w:color w:val="auto"/>
                <w:sz w:val="24"/>
                <w:szCs w:val="24"/>
              </w:rPr>
              <w:t xml:space="preserve"> </w:t>
            </w:r>
            <w:r>
              <w:rPr>
                <w:rFonts w:hint="eastAsia" w:cs="Times New Roman"/>
                <w:b/>
                <w:bCs/>
                <w:color w:val="auto"/>
                <w:sz w:val="24"/>
                <w:szCs w:val="24"/>
                <w:lang w:eastAsia="zh-CN"/>
              </w:rPr>
              <w:t>脱胶、注塑工序</w:t>
            </w:r>
            <w:r>
              <w:rPr>
                <w:rFonts w:hint="eastAsia" w:cs="Times New Roman"/>
                <w:b/>
                <w:bCs/>
                <w:color w:val="auto"/>
                <w:sz w:val="24"/>
                <w:szCs w:val="24"/>
                <w:lang w:val="en-US" w:eastAsia="zh-CN"/>
              </w:rPr>
              <w:t>1#UV光解+活性炭处理设施进出口</w:t>
            </w:r>
            <w:r>
              <w:rPr>
                <w:rFonts w:hint="default" w:ascii="Times New Roman" w:hAnsi="Times New Roman" w:cs="Times New Roman"/>
                <w:b/>
                <w:bCs/>
                <w:color w:val="auto"/>
                <w:sz w:val="24"/>
                <w:szCs w:val="24"/>
                <w:lang w:eastAsia="zh-CN"/>
              </w:rPr>
              <w:t>（</w:t>
            </w:r>
            <w:r>
              <w:rPr>
                <w:rFonts w:hint="default" w:ascii="Times New Roman" w:hAnsi="Times New Roman" w:cs="Times New Roman"/>
                <w:b/>
                <w:bCs/>
                <w:color w:val="auto"/>
                <w:sz w:val="24"/>
                <w:szCs w:val="24"/>
                <w:lang w:val="en-US" w:eastAsia="zh-CN"/>
              </w:rPr>
              <w:t>2</w:t>
            </w:r>
            <w:r>
              <w:rPr>
                <w:rFonts w:hint="eastAsia" w:ascii="Times New Roman" w:hAnsi="Times New Roman" w:cs="Times New Roman"/>
                <w:b/>
                <w:bCs/>
                <w:color w:val="auto"/>
                <w:sz w:val="24"/>
                <w:szCs w:val="24"/>
                <w:lang w:val="en-US" w:eastAsia="zh-CN"/>
              </w:rPr>
              <w:t>0</w:t>
            </w:r>
            <w:r>
              <w:rPr>
                <w:rFonts w:hint="eastAsia" w:cs="Times New Roman"/>
                <w:b/>
                <w:bCs/>
                <w:color w:val="auto"/>
                <w:sz w:val="24"/>
                <w:szCs w:val="24"/>
                <w:lang w:val="en-US" w:eastAsia="zh-CN"/>
              </w:rPr>
              <w:t>25</w:t>
            </w:r>
            <w:r>
              <w:rPr>
                <w:rFonts w:hint="eastAsia" w:ascii="Times New Roman" w:hAnsi="Times New Roman" w:cs="Times New Roman"/>
                <w:b/>
                <w:bCs/>
                <w:color w:val="auto"/>
                <w:sz w:val="24"/>
                <w:szCs w:val="24"/>
                <w:lang w:val="en-US" w:eastAsia="zh-CN"/>
              </w:rPr>
              <w:t>年</w:t>
            </w:r>
            <w:r>
              <w:rPr>
                <w:rFonts w:hint="eastAsia" w:cs="Times New Roman"/>
                <w:b/>
                <w:bCs/>
                <w:color w:val="auto"/>
                <w:sz w:val="24"/>
                <w:szCs w:val="24"/>
                <w:lang w:val="en-US" w:eastAsia="zh-CN"/>
              </w:rPr>
              <w:t>5</w:t>
            </w:r>
            <w:r>
              <w:rPr>
                <w:rFonts w:hint="default" w:ascii="Times New Roman" w:hAnsi="Times New Roman" w:cs="Times New Roman"/>
                <w:b/>
                <w:bCs/>
                <w:color w:val="auto"/>
                <w:sz w:val="24"/>
                <w:szCs w:val="24"/>
                <w:lang w:val="en-US" w:eastAsia="zh-CN"/>
              </w:rPr>
              <w:t>月</w:t>
            </w:r>
            <w:r>
              <w:rPr>
                <w:rFonts w:hint="eastAsia" w:cs="Times New Roman"/>
                <w:b/>
                <w:bCs/>
                <w:color w:val="auto"/>
                <w:sz w:val="24"/>
                <w:szCs w:val="24"/>
                <w:lang w:val="en-US" w:eastAsia="zh-CN"/>
              </w:rPr>
              <w:t>29</w:t>
            </w:r>
            <w:r>
              <w:rPr>
                <w:rFonts w:hint="default" w:ascii="Times New Roman" w:hAnsi="Times New Roman" w:cs="Times New Roman"/>
                <w:b/>
                <w:bCs/>
                <w:color w:val="auto"/>
                <w:sz w:val="24"/>
                <w:szCs w:val="24"/>
                <w:lang w:val="en-US" w:eastAsia="zh-CN"/>
              </w:rPr>
              <w:t>日</w:t>
            </w:r>
            <w:r>
              <w:rPr>
                <w:rFonts w:hint="default" w:ascii="Times New Roman" w:hAnsi="Times New Roman" w:cs="Times New Roman"/>
                <w:b/>
                <w:bCs/>
                <w:color w:val="auto"/>
                <w:sz w:val="24"/>
                <w:szCs w:val="24"/>
                <w:lang w:eastAsia="zh-CN"/>
              </w:rPr>
              <w:t>）</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062"/>
              <w:gridCol w:w="1065"/>
              <w:gridCol w:w="1065"/>
              <w:gridCol w:w="1065"/>
              <w:gridCol w:w="1065"/>
              <w:gridCol w:w="1065"/>
              <w:gridCol w:w="1066"/>
            </w:tblGrid>
            <w:tr w14:paraId="2EB4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41" w:type="dxa"/>
                  <w:gridSpan w:val="2"/>
                  <w:noWrap w:val="0"/>
                  <w:vAlign w:val="center"/>
                </w:tcPr>
                <w:p w14:paraId="12691F33">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eastAsia" w:eastAsia="宋体" w:cs="Times New Roman"/>
                      <w:b w:val="0"/>
                      <w:bCs w:val="0"/>
                      <w:color w:val="auto"/>
                      <w:sz w:val="21"/>
                      <w:szCs w:val="21"/>
                      <w:lang w:eastAsia="zh-CN"/>
                    </w:rPr>
                    <w:t>项目名称</w:t>
                  </w:r>
                </w:p>
              </w:tc>
              <w:tc>
                <w:tcPr>
                  <w:tcW w:w="3219" w:type="dxa"/>
                  <w:gridSpan w:val="3"/>
                  <w:noWrap w:val="0"/>
                  <w:vAlign w:val="center"/>
                </w:tcPr>
                <w:p w14:paraId="5F3FFDC7">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废气处理设施进口</w:t>
                  </w:r>
                </w:p>
              </w:tc>
              <w:tc>
                <w:tcPr>
                  <w:tcW w:w="3220" w:type="dxa"/>
                  <w:gridSpan w:val="3"/>
                  <w:noWrap w:val="0"/>
                  <w:vAlign w:val="center"/>
                </w:tcPr>
                <w:p w14:paraId="42277198">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废气排放口</w:t>
                  </w:r>
                </w:p>
              </w:tc>
            </w:tr>
            <w:tr w14:paraId="415A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41" w:type="dxa"/>
                  <w:gridSpan w:val="2"/>
                  <w:noWrap w:val="0"/>
                  <w:vAlign w:val="center"/>
                </w:tcPr>
                <w:p w14:paraId="4324A1B4">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eastAsia="宋体" w:cs="Times New Roman"/>
                      <w:b w:val="0"/>
                      <w:bCs w:val="0"/>
                      <w:color w:val="auto"/>
                      <w:sz w:val="21"/>
                      <w:szCs w:val="21"/>
                      <w:lang w:val="en-US" w:eastAsia="zh-CN"/>
                    </w:rPr>
                  </w:pPr>
                  <w:r>
                    <w:rPr>
                      <w:rFonts w:hint="eastAsia" w:eastAsia="宋体" w:cs="Times New Roman"/>
                      <w:b w:val="0"/>
                      <w:bCs w:val="0"/>
                      <w:color w:val="auto"/>
                      <w:sz w:val="21"/>
                      <w:szCs w:val="21"/>
                      <w:lang w:eastAsia="zh-CN"/>
                    </w:rPr>
                    <w:t>排气筒高度</w:t>
                  </w:r>
                  <w:r>
                    <w:rPr>
                      <w:rFonts w:hint="eastAsia" w:eastAsia="宋体" w:cs="Times New Roman"/>
                      <w:b w:val="0"/>
                      <w:bCs w:val="0"/>
                      <w:color w:val="auto"/>
                      <w:sz w:val="21"/>
                      <w:szCs w:val="21"/>
                      <w:lang w:val="en-US" w:eastAsia="zh-CN"/>
                    </w:rPr>
                    <w:t>m</w:t>
                  </w:r>
                </w:p>
              </w:tc>
              <w:tc>
                <w:tcPr>
                  <w:tcW w:w="6439" w:type="dxa"/>
                  <w:gridSpan w:val="6"/>
                  <w:noWrap w:val="0"/>
                  <w:vAlign w:val="center"/>
                </w:tcPr>
                <w:p w14:paraId="02775860">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15</w:t>
                  </w:r>
                </w:p>
              </w:tc>
            </w:tr>
            <w:tr w14:paraId="5FBF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1" w:type="dxa"/>
                  <w:gridSpan w:val="2"/>
                  <w:noWrap w:val="0"/>
                  <w:vAlign w:val="center"/>
                </w:tcPr>
                <w:p w14:paraId="203A4F9C">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color w:val="auto"/>
                      <w:kern w:val="2"/>
                      <w:sz w:val="21"/>
                      <w:szCs w:val="21"/>
                      <w:lang w:val="en-US" w:eastAsia="zh-CN" w:bidi="ar-SA"/>
                    </w:rPr>
                  </w:pPr>
                  <w:r>
                    <w:rPr>
                      <w:rFonts w:hint="eastAsia" w:eastAsia="宋体" w:cs="Times New Roman"/>
                      <w:b w:val="0"/>
                      <w:bCs w:val="0"/>
                      <w:color w:val="auto"/>
                      <w:sz w:val="21"/>
                      <w:szCs w:val="21"/>
                      <w:lang w:eastAsia="zh-CN"/>
                    </w:rPr>
                    <w:t>标干流量</w:t>
                  </w:r>
                  <w:r>
                    <w:rPr>
                      <w:rFonts w:hint="eastAsia" w:eastAsia="宋体" w:cs="Times New Roman"/>
                      <w:b w:val="0"/>
                      <w:bCs w:val="0"/>
                      <w:color w:val="auto"/>
                      <w:sz w:val="21"/>
                      <w:szCs w:val="21"/>
                      <w:lang w:val="en-US" w:eastAsia="zh-CN"/>
                    </w:rPr>
                    <w:t>m</w:t>
                  </w:r>
                  <w:r>
                    <w:rPr>
                      <w:rFonts w:hint="eastAsia" w:eastAsia="宋体" w:cs="Times New Roman"/>
                      <w:b w:val="0"/>
                      <w:bCs w:val="0"/>
                      <w:color w:val="auto"/>
                      <w:sz w:val="21"/>
                      <w:szCs w:val="21"/>
                      <w:vertAlign w:val="superscript"/>
                      <w:lang w:val="en-US" w:eastAsia="zh-CN"/>
                    </w:rPr>
                    <w:t>3</w:t>
                  </w:r>
                  <w:r>
                    <w:rPr>
                      <w:rFonts w:hint="eastAsia" w:eastAsia="宋体" w:cs="Times New Roman"/>
                      <w:b w:val="0"/>
                      <w:bCs w:val="0"/>
                      <w:color w:val="auto"/>
                      <w:sz w:val="21"/>
                      <w:szCs w:val="21"/>
                      <w:lang w:val="en-US" w:eastAsia="zh-CN"/>
                    </w:rPr>
                    <w:t>/h</w:t>
                  </w:r>
                </w:p>
              </w:tc>
              <w:tc>
                <w:tcPr>
                  <w:tcW w:w="1073" w:type="dxa"/>
                  <w:noWrap w:val="0"/>
                  <w:vAlign w:val="center"/>
                </w:tcPr>
                <w:p w14:paraId="31B3013B">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5414</w:t>
                  </w:r>
                </w:p>
              </w:tc>
              <w:tc>
                <w:tcPr>
                  <w:tcW w:w="1073" w:type="dxa"/>
                  <w:noWrap w:val="0"/>
                  <w:vAlign w:val="center"/>
                </w:tcPr>
                <w:p w14:paraId="1DC2015D">
                  <w:pPr>
                    <w:pStyle w:val="43"/>
                    <w:keepNext w:val="0"/>
                    <w:keepLines w:val="0"/>
                    <w:pageBreakBefore w:val="0"/>
                    <w:widowControl w:val="0"/>
                    <w:kinsoku/>
                    <w:wordWrap/>
                    <w:overflowPunct/>
                    <w:topLinePunct w:val="0"/>
                    <w:autoSpaceDE/>
                    <w:autoSpaceDN/>
                    <w:bidi w:val="0"/>
                    <w:adjustRightInd/>
                    <w:snapToGrid w:val="0"/>
                    <w:ind w:left="86" w:leftChars="0" w:right="80" w:rightChars="0"/>
                    <w:jc w:val="center"/>
                    <w:textAlignment w:val="auto"/>
                    <w:rPr>
                      <w:rFonts w:hint="default" w:ascii="Times New Roman" w:hAnsi="Times New Roman" w:eastAsia="宋体"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5409</w:t>
                  </w:r>
                </w:p>
              </w:tc>
              <w:tc>
                <w:tcPr>
                  <w:tcW w:w="1073" w:type="dxa"/>
                  <w:noWrap w:val="0"/>
                  <w:vAlign w:val="center"/>
                </w:tcPr>
                <w:p w14:paraId="417B3E4C">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5576</w:t>
                  </w:r>
                </w:p>
              </w:tc>
              <w:tc>
                <w:tcPr>
                  <w:tcW w:w="1073" w:type="dxa"/>
                  <w:noWrap w:val="0"/>
                  <w:vAlign w:val="center"/>
                </w:tcPr>
                <w:p w14:paraId="48CA5CC9">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6134</w:t>
                  </w:r>
                </w:p>
              </w:tc>
              <w:tc>
                <w:tcPr>
                  <w:tcW w:w="1073" w:type="dxa"/>
                  <w:noWrap w:val="0"/>
                  <w:vAlign w:val="center"/>
                </w:tcPr>
                <w:p w14:paraId="0C62D996">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6028</w:t>
                  </w:r>
                </w:p>
              </w:tc>
              <w:tc>
                <w:tcPr>
                  <w:tcW w:w="1074" w:type="dxa"/>
                  <w:noWrap w:val="0"/>
                  <w:vAlign w:val="center"/>
                </w:tcPr>
                <w:p w14:paraId="711D6B4A">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5970</w:t>
                  </w:r>
                </w:p>
              </w:tc>
            </w:tr>
            <w:tr w14:paraId="0E99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1" w:type="dxa"/>
                  <w:vMerge w:val="restart"/>
                  <w:noWrap w:val="0"/>
                  <w:vAlign w:val="center"/>
                </w:tcPr>
                <w:p w14:paraId="7B896A7F">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sz w:val="21"/>
                      <w:szCs w:val="21"/>
                      <w:lang w:eastAsia="zh-CN"/>
                    </w:rPr>
                    <w:t>挥发性有机物</w:t>
                  </w:r>
                </w:p>
              </w:tc>
              <w:tc>
                <w:tcPr>
                  <w:tcW w:w="1070" w:type="dxa"/>
                  <w:noWrap w:val="0"/>
                  <w:vAlign w:val="center"/>
                </w:tcPr>
                <w:p w14:paraId="76CCD90E">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实测浓度mg/m</w:t>
                  </w:r>
                  <w:r>
                    <w:rPr>
                      <w:rFonts w:hint="eastAsia" w:cs="Times New Roman"/>
                      <w:color w:val="auto"/>
                      <w:kern w:val="2"/>
                      <w:sz w:val="21"/>
                      <w:szCs w:val="21"/>
                      <w:vertAlign w:val="superscript"/>
                      <w:lang w:val="en-US" w:eastAsia="zh-CN" w:bidi="ar-SA"/>
                    </w:rPr>
                    <w:t>3</w:t>
                  </w:r>
                </w:p>
              </w:tc>
              <w:tc>
                <w:tcPr>
                  <w:tcW w:w="1073" w:type="dxa"/>
                  <w:noWrap w:val="0"/>
                  <w:vAlign w:val="center"/>
                </w:tcPr>
                <w:p w14:paraId="6DA048A1">
                  <w:pPr>
                    <w:keepNext w:val="0"/>
                    <w:keepLines w:val="0"/>
                    <w:pageBreakBefore w:val="0"/>
                    <w:widowControl w:val="0"/>
                    <w:kinsoku/>
                    <w:wordWrap/>
                    <w:overflowPunct/>
                    <w:topLinePunct w:val="0"/>
                    <w:bidi w:val="0"/>
                    <w:adjustRightInd w:val="0"/>
                    <w:snapToGrid w:val="0"/>
                    <w:spacing w:line="240" w:lineRule="auto"/>
                    <w:ind w:right="0"/>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8.54</w:t>
                  </w:r>
                </w:p>
              </w:tc>
              <w:tc>
                <w:tcPr>
                  <w:tcW w:w="1073" w:type="dxa"/>
                  <w:noWrap w:val="0"/>
                  <w:vAlign w:val="center"/>
                </w:tcPr>
                <w:p w14:paraId="614FB140">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eastAsia="宋体"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6.48</w:t>
                  </w:r>
                </w:p>
              </w:tc>
              <w:tc>
                <w:tcPr>
                  <w:tcW w:w="1073" w:type="dxa"/>
                  <w:noWrap w:val="0"/>
                  <w:vAlign w:val="center"/>
                </w:tcPr>
                <w:p w14:paraId="7D895DE8">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5.30</w:t>
                  </w:r>
                </w:p>
              </w:tc>
              <w:tc>
                <w:tcPr>
                  <w:tcW w:w="1073" w:type="dxa"/>
                  <w:noWrap w:val="0"/>
                  <w:vAlign w:val="center"/>
                </w:tcPr>
                <w:p w14:paraId="2471E0CA">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1.24</w:t>
                  </w:r>
                </w:p>
              </w:tc>
              <w:tc>
                <w:tcPr>
                  <w:tcW w:w="1073" w:type="dxa"/>
                  <w:noWrap w:val="0"/>
                  <w:vAlign w:val="center"/>
                </w:tcPr>
                <w:p w14:paraId="41794C82">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0.523</w:t>
                  </w:r>
                </w:p>
              </w:tc>
              <w:tc>
                <w:tcPr>
                  <w:tcW w:w="1074" w:type="dxa"/>
                  <w:noWrap w:val="0"/>
                  <w:vAlign w:val="center"/>
                </w:tcPr>
                <w:p w14:paraId="5AC38D4D">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1.32</w:t>
                  </w:r>
                </w:p>
              </w:tc>
            </w:tr>
            <w:tr w14:paraId="0E35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1" w:type="dxa"/>
                  <w:vMerge w:val="continue"/>
                  <w:noWrap w:val="0"/>
                  <w:vAlign w:val="center"/>
                </w:tcPr>
                <w:p w14:paraId="25DDA43B">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color w:val="auto"/>
                      <w:kern w:val="2"/>
                      <w:sz w:val="21"/>
                      <w:szCs w:val="21"/>
                      <w:lang w:val="en-US" w:eastAsia="zh-CN" w:bidi="ar-SA"/>
                    </w:rPr>
                  </w:pPr>
                </w:p>
              </w:tc>
              <w:tc>
                <w:tcPr>
                  <w:tcW w:w="1070" w:type="dxa"/>
                  <w:noWrap w:val="0"/>
                  <w:vAlign w:val="center"/>
                </w:tcPr>
                <w:p w14:paraId="49A65910">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排放速率kg/h</w:t>
                  </w:r>
                </w:p>
              </w:tc>
              <w:tc>
                <w:tcPr>
                  <w:tcW w:w="1073" w:type="dxa"/>
                  <w:shd w:val="clear" w:color="auto" w:fill="auto"/>
                  <w:noWrap w:val="0"/>
                  <w:vAlign w:val="center"/>
                </w:tcPr>
                <w:p w14:paraId="70E1D260">
                  <w:pPr>
                    <w:autoSpaceDE w:val="0"/>
                    <w:autoSpaceDN w:val="0"/>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b w:val="0"/>
                      <w:bCs w:val="0"/>
                      <w:color w:val="auto"/>
                      <w:sz w:val="21"/>
                      <w:szCs w:val="21"/>
                      <w:lang w:val="en-US" w:eastAsia="zh-CN"/>
                    </w:rPr>
                    <w:t>4.62</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-2</w:t>
                  </w:r>
                </w:p>
              </w:tc>
              <w:tc>
                <w:tcPr>
                  <w:tcW w:w="1073" w:type="dxa"/>
                  <w:shd w:val="clear" w:color="auto" w:fill="auto"/>
                  <w:noWrap w:val="0"/>
                  <w:vAlign w:val="center"/>
                </w:tcPr>
                <w:p w14:paraId="26053F20">
                  <w:pPr>
                    <w:autoSpaceDE w:val="0"/>
                    <w:autoSpaceDN w:val="0"/>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b w:val="0"/>
                      <w:bCs w:val="0"/>
                      <w:color w:val="auto"/>
                      <w:sz w:val="21"/>
                      <w:szCs w:val="21"/>
                      <w:lang w:val="en-US" w:eastAsia="zh-CN"/>
                    </w:rPr>
                    <w:t>3.51</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-2</w:t>
                  </w:r>
                </w:p>
              </w:tc>
              <w:tc>
                <w:tcPr>
                  <w:tcW w:w="1073" w:type="dxa"/>
                  <w:shd w:val="clear" w:color="auto" w:fill="auto"/>
                  <w:noWrap w:val="0"/>
                  <w:vAlign w:val="center"/>
                </w:tcPr>
                <w:p w14:paraId="38182074">
                  <w:pPr>
                    <w:autoSpaceDE w:val="0"/>
                    <w:autoSpaceDN w:val="0"/>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b w:val="0"/>
                      <w:bCs w:val="0"/>
                      <w:color w:val="auto"/>
                      <w:sz w:val="21"/>
                      <w:szCs w:val="21"/>
                      <w:lang w:val="en-US" w:eastAsia="zh-CN"/>
                    </w:rPr>
                    <w:t>2.96</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-2</w:t>
                  </w:r>
                </w:p>
              </w:tc>
              <w:tc>
                <w:tcPr>
                  <w:tcW w:w="1073" w:type="dxa"/>
                  <w:shd w:val="clear" w:color="auto" w:fill="auto"/>
                  <w:noWrap w:val="0"/>
                  <w:vAlign w:val="center"/>
                </w:tcPr>
                <w:p w14:paraId="181D4C5B">
                  <w:pPr>
                    <w:autoSpaceDE w:val="0"/>
                    <w:autoSpaceDN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7.61</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-3</w:t>
                  </w:r>
                </w:p>
              </w:tc>
              <w:tc>
                <w:tcPr>
                  <w:tcW w:w="1073" w:type="dxa"/>
                  <w:shd w:val="clear" w:color="auto" w:fill="auto"/>
                  <w:noWrap w:val="0"/>
                  <w:vAlign w:val="center"/>
                </w:tcPr>
                <w:p w14:paraId="6E4C1AD5">
                  <w:pPr>
                    <w:autoSpaceDE w:val="0"/>
                    <w:autoSpaceDN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3.15</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-3</w:t>
                  </w:r>
                </w:p>
              </w:tc>
              <w:tc>
                <w:tcPr>
                  <w:tcW w:w="1074" w:type="dxa"/>
                  <w:shd w:val="clear" w:color="auto" w:fill="auto"/>
                  <w:noWrap w:val="0"/>
                  <w:vAlign w:val="center"/>
                </w:tcPr>
                <w:p w14:paraId="041A4D42">
                  <w:pPr>
                    <w:autoSpaceDE w:val="0"/>
                    <w:autoSpaceDN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7.88</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-3</w:t>
                  </w:r>
                </w:p>
              </w:tc>
            </w:tr>
          </w:tbl>
          <w:p w14:paraId="41EC8D4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center"/>
              <w:textAlignment w:val="auto"/>
              <w:rPr>
                <w:rFonts w:hint="eastAsia" w:ascii="Times New Roman" w:hAnsi="Times New Roman" w:eastAsia="宋体" w:cs="Times New Roman"/>
                <w:color w:val="auto"/>
                <w:sz w:val="24"/>
                <w:szCs w:val="24"/>
                <w:lang w:eastAsia="zh-CN"/>
              </w:rPr>
            </w:pPr>
            <w:r>
              <w:rPr>
                <w:rFonts w:hint="default" w:ascii="Times New Roman" w:hAnsi="Times New Roman" w:cs="Times New Roman"/>
                <w:b/>
                <w:bCs/>
                <w:color w:val="auto"/>
                <w:sz w:val="24"/>
                <w:szCs w:val="24"/>
              </w:rPr>
              <w:t>表</w:t>
            </w:r>
            <w:r>
              <w:rPr>
                <w:rFonts w:hint="eastAsia" w:cs="Times New Roman"/>
                <w:b/>
                <w:bCs/>
                <w:color w:val="auto"/>
                <w:sz w:val="24"/>
                <w:szCs w:val="24"/>
                <w:lang w:val="en-US" w:eastAsia="zh-CN"/>
              </w:rPr>
              <w:t>4.4</w:t>
            </w:r>
            <w:r>
              <w:rPr>
                <w:rFonts w:hint="default" w:ascii="Times New Roman" w:hAnsi="Times New Roman" w:cs="Times New Roman"/>
                <w:b/>
                <w:bCs/>
                <w:color w:val="auto"/>
                <w:sz w:val="24"/>
                <w:szCs w:val="24"/>
              </w:rPr>
              <w:t xml:space="preserve"> </w:t>
            </w:r>
            <w:r>
              <w:rPr>
                <w:rFonts w:hint="eastAsia" w:cs="Times New Roman"/>
                <w:b/>
                <w:bCs/>
                <w:color w:val="auto"/>
                <w:sz w:val="24"/>
                <w:szCs w:val="24"/>
                <w:lang w:eastAsia="zh-CN"/>
              </w:rPr>
              <w:t>脱胶、注塑工序</w:t>
            </w:r>
            <w:r>
              <w:rPr>
                <w:rFonts w:hint="eastAsia" w:cs="Times New Roman"/>
                <w:b/>
                <w:bCs/>
                <w:color w:val="auto"/>
                <w:sz w:val="24"/>
                <w:szCs w:val="24"/>
                <w:lang w:val="en-US" w:eastAsia="zh-CN"/>
              </w:rPr>
              <w:t>2#UV光解+活性炭处理设施进出口</w:t>
            </w:r>
            <w:r>
              <w:rPr>
                <w:rFonts w:hint="default" w:ascii="Times New Roman" w:hAnsi="Times New Roman" w:cs="Times New Roman"/>
                <w:b/>
                <w:bCs/>
                <w:color w:val="auto"/>
                <w:sz w:val="24"/>
                <w:szCs w:val="24"/>
                <w:lang w:eastAsia="zh-CN"/>
              </w:rPr>
              <w:t>（</w:t>
            </w:r>
            <w:r>
              <w:rPr>
                <w:rFonts w:hint="eastAsia" w:ascii="Times New Roman" w:hAnsi="Times New Roman" w:cs="Times New Roman"/>
                <w:b/>
                <w:bCs/>
                <w:color w:val="auto"/>
                <w:sz w:val="24"/>
                <w:szCs w:val="24"/>
                <w:lang w:val="en-US" w:eastAsia="zh-CN"/>
              </w:rPr>
              <w:t>20</w:t>
            </w:r>
            <w:r>
              <w:rPr>
                <w:rFonts w:hint="eastAsia" w:cs="Times New Roman"/>
                <w:b/>
                <w:bCs/>
                <w:color w:val="auto"/>
                <w:sz w:val="24"/>
                <w:szCs w:val="24"/>
                <w:lang w:val="en-US" w:eastAsia="zh-CN"/>
              </w:rPr>
              <w:t>25</w:t>
            </w:r>
            <w:r>
              <w:rPr>
                <w:rFonts w:hint="eastAsia" w:ascii="Times New Roman" w:hAnsi="Times New Roman" w:cs="Times New Roman"/>
                <w:b/>
                <w:bCs/>
                <w:color w:val="auto"/>
                <w:sz w:val="24"/>
                <w:szCs w:val="24"/>
                <w:lang w:val="en-US" w:eastAsia="zh-CN"/>
              </w:rPr>
              <w:t>年</w:t>
            </w:r>
            <w:r>
              <w:rPr>
                <w:rFonts w:hint="eastAsia" w:cs="Times New Roman"/>
                <w:b/>
                <w:bCs/>
                <w:color w:val="auto"/>
                <w:sz w:val="24"/>
                <w:szCs w:val="24"/>
                <w:lang w:val="en-US" w:eastAsia="zh-CN"/>
              </w:rPr>
              <w:t>5</w:t>
            </w:r>
            <w:r>
              <w:rPr>
                <w:rFonts w:hint="default" w:ascii="Times New Roman" w:hAnsi="Times New Roman" w:cs="Times New Roman"/>
                <w:b/>
                <w:bCs/>
                <w:color w:val="auto"/>
                <w:sz w:val="24"/>
                <w:szCs w:val="24"/>
                <w:lang w:val="en-US" w:eastAsia="zh-CN"/>
              </w:rPr>
              <w:t>月</w:t>
            </w:r>
            <w:r>
              <w:rPr>
                <w:rFonts w:hint="eastAsia" w:cs="Times New Roman"/>
                <w:b/>
                <w:bCs/>
                <w:color w:val="auto"/>
                <w:sz w:val="24"/>
                <w:szCs w:val="24"/>
                <w:lang w:val="en-US" w:eastAsia="zh-CN"/>
              </w:rPr>
              <w:t>29</w:t>
            </w:r>
            <w:r>
              <w:rPr>
                <w:rFonts w:hint="default" w:ascii="Times New Roman" w:hAnsi="Times New Roman" w:cs="Times New Roman"/>
                <w:b/>
                <w:bCs/>
                <w:color w:val="auto"/>
                <w:sz w:val="24"/>
                <w:szCs w:val="24"/>
                <w:lang w:val="en-US" w:eastAsia="zh-CN"/>
              </w:rPr>
              <w:t>日</w:t>
            </w:r>
            <w:r>
              <w:rPr>
                <w:rFonts w:hint="default" w:ascii="Times New Roman" w:hAnsi="Times New Roman" w:cs="Times New Roman"/>
                <w:b/>
                <w:bCs/>
                <w:color w:val="auto"/>
                <w:sz w:val="24"/>
                <w:szCs w:val="24"/>
                <w:lang w:eastAsia="zh-CN"/>
              </w:rPr>
              <w:t>）</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062"/>
              <w:gridCol w:w="1065"/>
              <w:gridCol w:w="1065"/>
              <w:gridCol w:w="1065"/>
              <w:gridCol w:w="1065"/>
              <w:gridCol w:w="1065"/>
              <w:gridCol w:w="1066"/>
            </w:tblGrid>
            <w:tr w14:paraId="3851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41" w:type="dxa"/>
                  <w:gridSpan w:val="2"/>
                  <w:noWrap w:val="0"/>
                  <w:vAlign w:val="center"/>
                </w:tcPr>
                <w:p w14:paraId="11ECCAC3">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eastAsia" w:eastAsia="宋体" w:cs="Times New Roman"/>
                      <w:b w:val="0"/>
                      <w:bCs w:val="0"/>
                      <w:color w:val="auto"/>
                      <w:sz w:val="21"/>
                      <w:szCs w:val="21"/>
                      <w:lang w:eastAsia="zh-CN"/>
                    </w:rPr>
                    <w:t>项目名称</w:t>
                  </w:r>
                </w:p>
              </w:tc>
              <w:tc>
                <w:tcPr>
                  <w:tcW w:w="3219" w:type="dxa"/>
                  <w:gridSpan w:val="3"/>
                  <w:noWrap w:val="0"/>
                  <w:vAlign w:val="center"/>
                </w:tcPr>
                <w:p w14:paraId="19B6F3A4">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废气处理设施进口</w:t>
                  </w:r>
                </w:p>
              </w:tc>
              <w:tc>
                <w:tcPr>
                  <w:tcW w:w="3220" w:type="dxa"/>
                  <w:gridSpan w:val="3"/>
                  <w:noWrap w:val="0"/>
                  <w:vAlign w:val="center"/>
                </w:tcPr>
                <w:p w14:paraId="04D94A2E">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废气排放口</w:t>
                  </w:r>
                </w:p>
              </w:tc>
            </w:tr>
            <w:tr w14:paraId="72F5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41" w:type="dxa"/>
                  <w:gridSpan w:val="2"/>
                  <w:noWrap w:val="0"/>
                  <w:vAlign w:val="center"/>
                </w:tcPr>
                <w:p w14:paraId="30A821E7">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eastAsia="宋体" w:cs="Times New Roman"/>
                      <w:b w:val="0"/>
                      <w:bCs w:val="0"/>
                      <w:color w:val="auto"/>
                      <w:sz w:val="21"/>
                      <w:szCs w:val="21"/>
                      <w:lang w:val="en-US" w:eastAsia="zh-CN"/>
                    </w:rPr>
                  </w:pPr>
                  <w:r>
                    <w:rPr>
                      <w:rFonts w:hint="eastAsia" w:eastAsia="宋体" w:cs="Times New Roman"/>
                      <w:b w:val="0"/>
                      <w:bCs w:val="0"/>
                      <w:color w:val="auto"/>
                      <w:sz w:val="21"/>
                      <w:szCs w:val="21"/>
                      <w:lang w:eastAsia="zh-CN"/>
                    </w:rPr>
                    <w:t>排气筒高度</w:t>
                  </w:r>
                  <w:r>
                    <w:rPr>
                      <w:rFonts w:hint="eastAsia" w:eastAsia="宋体" w:cs="Times New Roman"/>
                      <w:b w:val="0"/>
                      <w:bCs w:val="0"/>
                      <w:color w:val="auto"/>
                      <w:sz w:val="21"/>
                      <w:szCs w:val="21"/>
                      <w:lang w:val="en-US" w:eastAsia="zh-CN"/>
                    </w:rPr>
                    <w:t>m</w:t>
                  </w:r>
                </w:p>
              </w:tc>
              <w:tc>
                <w:tcPr>
                  <w:tcW w:w="6439" w:type="dxa"/>
                  <w:gridSpan w:val="6"/>
                  <w:noWrap w:val="0"/>
                  <w:vAlign w:val="center"/>
                </w:tcPr>
                <w:p w14:paraId="052243F7">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15</w:t>
                  </w:r>
                </w:p>
              </w:tc>
            </w:tr>
            <w:tr w14:paraId="615C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1" w:type="dxa"/>
                  <w:gridSpan w:val="2"/>
                  <w:noWrap w:val="0"/>
                  <w:vAlign w:val="center"/>
                </w:tcPr>
                <w:p w14:paraId="5CB90D76">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color w:val="auto"/>
                      <w:kern w:val="2"/>
                      <w:sz w:val="21"/>
                      <w:szCs w:val="21"/>
                      <w:lang w:val="en-US" w:eastAsia="zh-CN" w:bidi="ar-SA"/>
                    </w:rPr>
                  </w:pPr>
                  <w:r>
                    <w:rPr>
                      <w:rFonts w:hint="eastAsia" w:eastAsia="宋体" w:cs="Times New Roman"/>
                      <w:b w:val="0"/>
                      <w:bCs w:val="0"/>
                      <w:color w:val="auto"/>
                      <w:sz w:val="21"/>
                      <w:szCs w:val="21"/>
                      <w:lang w:eastAsia="zh-CN"/>
                    </w:rPr>
                    <w:t>标干流量</w:t>
                  </w:r>
                  <w:r>
                    <w:rPr>
                      <w:rFonts w:hint="eastAsia" w:eastAsia="宋体" w:cs="Times New Roman"/>
                      <w:b w:val="0"/>
                      <w:bCs w:val="0"/>
                      <w:color w:val="auto"/>
                      <w:sz w:val="21"/>
                      <w:szCs w:val="21"/>
                      <w:lang w:val="en-US" w:eastAsia="zh-CN"/>
                    </w:rPr>
                    <w:t>m</w:t>
                  </w:r>
                  <w:r>
                    <w:rPr>
                      <w:rFonts w:hint="eastAsia" w:eastAsia="宋体" w:cs="Times New Roman"/>
                      <w:b w:val="0"/>
                      <w:bCs w:val="0"/>
                      <w:color w:val="auto"/>
                      <w:sz w:val="21"/>
                      <w:szCs w:val="21"/>
                      <w:vertAlign w:val="superscript"/>
                      <w:lang w:val="en-US" w:eastAsia="zh-CN"/>
                    </w:rPr>
                    <w:t>3</w:t>
                  </w:r>
                  <w:r>
                    <w:rPr>
                      <w:rFonts w:hint="eastAsia" w:eastAsia="宋体" w:cs="Times New Roman"/>
                      <w:b w:val="0"/>
                      <w:bCs w:val="0"/>
                      <w:color w:val="auto"/>
                      <w:sz w:val="21"/>
                      <w:szCs w:val="21"/>
                      <w:lang w:val="en-US" w:eastAsia="zh-CN"/>
                    </w:rPr>
                    <w:t>/h</w:t>
                  </w:r>
                </w:p>
              </w:tc>
              <w:tc>
                <w:tcPr>
                  <w:tcW w:w="1073" w:type="dxa"/>
                  <w:noWrap w:val="0"/>
                  <w:vAlign w:val="center"/>
                </w:tcPr>
                <w:p w14:paraId="279B69F4">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5584</w:t>
                  </w:r>
                </w:p>
              </w:tc>
              <w:tc>
                <w:tcPr>
                  <w:tcW w:w="1073" w:type="dxa"/>
                  <w:noWrap w:val="0"/>
                  <w:vAlign w:val="center"/>
                </w:tcPr>
                <w:p w14:paraId="4D395A93">
                  <w:pPr>
                    <w:pStyle w:val="43"/>
                    <w:keepNext w:val="0"/>
                    <w:keepLines w:val="0"/>
                    <w:pageBreakBefore w:val="0"/>
                    <w:widowControl w:val="0"/>
                    <w:kinsoku/>
                    <w:wordWrap/>
                    <w:overflowPunct/>
                    <w:topLinePunct w:val="0"/>
                    <w:autoSpaceDE/>
                    <w:autoSpaceDN/>
                    <w:bidi w:val="0"/>
                    <w:adjustRightInd/>
                    <w:snapToGrid w:val="0"/>
                    <w:ind w:left="86" w:leftChars="0" w:right="80" w:rightChars="0"/>
                    <w:jc w:val="center"/>
                    <w:textAlignment w:val="auto"/>
                    <w:rPr>
                      <w:rFonts w:hint="default" w:ascii="Times New Roman" w:hAnsi="Times New Roman" w:eastAsia="宋体"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5581</w:t>
                  </w:r>
                </w:p>
              </w:tc>
              <w:tc>
                <w:tcPr>
                  <w:tcW w:w="1073" w:type="dxa"/>
                  <w:noWrap w:val="0"/>
                  <w:vAlign w:val="center"/>
                </w:tcPr>
                <w:p w14:paraId="76088BC1">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5751</w:t>
                  </w:r>
                </w:p>
              </w:tc>
              <w:tc>
                <w:tcPr>
                  <w:tcW w:w="1073" w:type="dxa"/>
                  <w:noWrap w:val="0"/>
                  <w:vAlign w:val="center"/>
                </w:tcPr>
                <w:p w14:paraId="5C7ADA6C">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6012</w:t>
                  </w:r>
                </w:p>
              </w:tc>
              <w:tc>
                <w:tcPr>
                  <w:tcW w:w="1073" w:type="dxa"/>
                  <w:noWrap w:val="0"/>
                  <w:vAlign w:val="center"/>
                </w:tcPr>
                <w:p w14:paraId="39877FCC">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6538</w:t>
                  </w:r>
                </w:p>
              </w:tc>
              <w:tc>
                <w:tcPr>
                  <w:tcW w:w="1074" w:type="dxa"/>
                  <w:noWrap w:val="0"/>
                  <w:vAlign w:val="center"/>
                </w:tcPr>
                <w:p w14:paraId="250976D2">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6088</w:t>
                  </w:r>
                </w:p>
              </w:tc>
            </w:tr>
            <w:tr w14:paraId="7C37D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1" w:type="dxa"/>
                  <w:vMerge w:val="restart"/>
                  <w:noWrap w:val="0"/>
                  <w:vAlign w:val="center"/>
                </w:tcPr>
                <w:p w14:paraId="475AA0C7">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sz w:val="21"/>
                      <w:szCs w:val="21"/>
                      <w:lang w:eastAsia="zh-CN"/>
                    </w:rPr>
                    <w:t>挥发性有机物</w:t>
                  </w:r>
                </w:p>
              </w:tc>
              <w:tc>
                <w:tcPr>
                  <w:tcW w:w="1070" w:type="dxa"/>
                  <w:noWrap w:val="0"/>
                  <w:vAlign w:val="center"/>
                </w:tcPr>
                <w:p w14:paraId="29420FB3">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实测浓度mg/m</w:t>
                  </w:r>
                  <w:r>
                    <w:rPr>
                      <w:rFonts w:hint="eastAsia" w:cs="Times New Roman"/>
                      <w:color w:val="auto"/>
                      <w:kern w:val="2"/>
                      <w:sz w:val="21"/>
                      <w:szCs w:val="21"/>
                      <w:vertAlign w:val="superscript"/>
                      <w:lang w:val="en-US" w:eastAsia="zh-CN" w:bidi="ar-SA"/>
                    </w:rPr>
                    <w:t>3</w:t>
                  </w:r>
                </w:p>
              </w:tc>
              <w:tc>
                <w:tcPr>
                  <w:tcW w:w="1073" w:type="dxa"/>
                  <w:noWrap w:val="0"/>
                  <w:vAlign w:val="center"/>
                </w:tcPr>
                <w:p w14:paraId="324D7755">
                  <w:pPr>
                    <w:keepNext w:val="0"/>
                    <w:keepLines w:val="0"/>
                    <w:pageBreakBefore w:val="0"/>
                    <w:widowControl w:val="0"/>
                    <w:kinsoku/>
                    <w:wordWrap/>
                    <w:overflowPunct/>
                    <w:topLinePunct w:val="0"/>
                    <w:bidi w:val="0"/>
                    <w:adjustRightInd w:val="0"/>
                    <w:snapToGrid w:val="0"/>
                    <w:spacing w:line="240" w:lineRule="auto"/>
                    <w:ind w:right="0"/>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6.70</w:t>
                  </w:r>
                </w:p>
              </w:tc>
              <w:tc>
                <w:tcPr>
                  <w:tcW w:w="1073" w:type="dxa"/>
                  <w:noWrap w:val="0"/>
                  <w:vAlign w:val="center"/>
                </w:tcPr>
                <w:p w14:paraId="040EDB2D">
                  <w:pPr>
                    <w:pStyle w:val="43"/>
                    <w:keepNext w:val="0"/>
                    <w:keepLines w:val="0"/>
                    <w:pageBreakBefore w:val="0"/>
                    <w:widowControl w:val="0"/>
                    <w:kinsoku/>
                    <w:wordWrap/>
                    <w:overflowPunct/>
                    <w:topLinePunct w:val="0"/>
                    <w:autoSpaceDE/>
                    <w:autoSpaceDN/>
                    <w:bidi w:val="0"/>
                    <w:adjustRightInd/>
                    <w:snapToGrid w:val="0"/>
                    <w:ind w:left="87" w:leftChars="0" w:right="79" w:rightChars="0"/>
                    <w:jc w:val="center"/>
                    <w:textAlignment w:val="auto"/>
                    <w:rPr>
                      <w:rFonts w:hint="default" w:ascii="Times New Roman" w:hAnsi="Times New Roman" w:eastAsia="宋体" w:cs="Times New Roman"/>
                      <w:color w:val="auto"/>
                      <w:kern w:val="2"/>
                      <w:sz w:val="21"/>
                      <w:szCs w:val="21"/>
                      <w:lang w:val="en-US" w:eastAsia="zh-CN" w:bidi="zh-CN"/>
                    </w:rPr>
                  </w:pPr>
                  <w:r>
                    <w:rPr>
                      <w:rFonts w:hint="eastAsia" w:ascii="Times New Roman" w:hAnsi="Times New Roman" w:cs="Times New Roman"/>
                      <w:color w:val="auto"/>
                      <w:kern w:val="2"/>
                      <w:sz w:val="21"/>
                      <w:szCs w:val="21"/>
                      <w:lang w:val="en-US" w:eastAsia="zh-CN" w:bidi="zh-CN"/>
                    </w:rPr>
                    <w:t>5.08</w:t>
                  </w:r>
                </w:p>
              </w:tc>
              <w:tc>
                <w:tcPr>
                  <w:tcW w:w="1073" w:type="dxa"/>
                  <w:noWrap w:val="0"/>
                  <w:vAlign w:val="center"/>
                </w:tcPr>
                <w:p w14:paraId="21D88379">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4.22</w:t>
                  </w:r>
                </w:p>
              </w:tc>
              <w:tc>
                <w:tcPr>
                  <w:tcW w:w="1073" w:type="dxa"/>
                  <w:noWrap w:val="0"/>
                  <w:vAlign w:val="center"/>
                </w:tcPr>
                <w:p w14:paraId="73E8B1A2">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0.372</w:t>
                  </w:r>
                </w:p>
              </w:tc>
              <w:tc>
                <w:tcPr>
                  <w:tcW w:w="1073" w:type="dxa"/>
                  <w:noWrap w:val="0"/>
                  <w:vAlign w:val="center"/>
                </w:tcPr>
                <w:p w14:paraId="4FF341D7">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0.616</w:t>
                  </w:r>
                </w:p>
              </w:tc>
              <w:tc>
                <w:tcPr>
                  <w:tcW w:w="1074" w:type="dxa"/>
                  <w:noWrap w:val="0"/>
                  <w:vAlign w:val="center"/>
                </w:tcPr>
                <w:p w14:paraId="3C670E84">
                  <w:pPr>
                    <w:autoSpaceDE w:val="0"/>
                    <w:autoSpaceDN w:val="0"/>
                    <w:jc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0.440</w:t>
                  </w:r>
                </w:p>
              </w:tc>
            </w:tr>
            <w:tr w14:paraId="3FB6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1" w:type="dxa"/>
                  <w:vMerge w:val="continue"/>
                  <w:noWrap w:val="0"/>
                  <w:vAlign w:val="center"/>
                </w:tcPr>
                <w:p w14:paraId="23DB8E98">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b w:val="0"/>
                      <w:bCs w:val="0"/>
                      <w:color w:val="auto"/>
                      <w:kern w:val="2"/>
                      <w:sz w:val="21"/>
                      <w:szCs w:val="21"/>
                      <w:lang w:val="en-US" w:eastAsia="zh-CN" w:bidi="ar-SA"/>
                    </w:rPr>
                  </w:pPr>
                </w:p>
              </w:tc>
              <w:tc>
                <w:tcPr>
                  <w:tcW w:w="1070" w:type="dxa"/>
                  <w:noWrap w:val="0"/>
                  <w:vAlign w:val="center"/>
                </w:tcPr>
                <w:p w14:paraId="6B2AFF72">
                  <w:pPr>
                    <w:keepNext w:val="0"/>
                    <w:keepLines w:val="0"/>
                    <w:pageBreakBefore w:val="0"/>
                    <w:widowControl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排放速率kg/h</w:t>
                  </w:r>
                </w:p>
              </w:tc>
              <w:tc>
                <w:tcPr>
                  <w:tcW w:w="1073" w:type="dxa"/>
                  <w:shd w:val="clear" w:color="auto" w:fill="auto"/>
                  <w:noWrap w:val="0"/>
                  <w:vAlign w:val="center"/>
                </w:tcPr>
                <w:p w14:paraId="68329A45">
                  <w:pPr>
                    <w:autoSpaceDE w:val="0"/>
                    <w:autoSpaceDN w:val="0"/>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b w:val="0"/>
                      <w:bCs w:val="0"/>
                      <w:color w:val="auto"/>
                      <w:sz w:val="21"/>
                      <w:szCs w:val="21"/>
                      <w:lang w:val="en-US" w:eastAsia="zh-CN"/>
                    </w:rPr>
                    <w:t>3.74</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-2</w:t>
                  </w:r>
                </w:p>
              </w:tc>
              <w:tc>
                <w:tcPr>
                  <w:tcW w:w="1073" w:type="dxa"/>
                  <w:shd w:val="clear" w:color="auto" w:fill="auto"/>
                  <w:noWrap w:val="0"/>
                  <w:vAlign w:val="center"/>
                </w:tcPr>
                <w:p w14:paraId="556EACE9">
                  <w:pPr>
                    <w:autoSpaceDE w:val="0"/>
                    <w:autoSpaceDN w:val="0"/>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b w:val="0"/>
                      <w:bCs w:val="0"/>
                      <w:color w:val="auto"/>
                      <w:sz w:val="21"/>
                      <w:szCs w:val="21"/>
                      <w:lang w:val="en-US" w:eastAsia="zh-CN"/>
                    </w:rPr>
                    <w:t>2.84</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-2</w:t>
                  </w:r>
                </w:p>
              </w:tc>
              <w:tc>
                <w:tcPr>
                  <w:tcW w:w="1073" w:type="dxa"/>
                  <w:shd w:val="clear" w:color="auto" w:fill="auto"/>
                  <w:noWrap w:val="0"/>
                  <w:vAlign w:val="center"/>
                </w:tcPr>
                <w:p w14:paraId="2AB7EBE9">
                  <w:pPr>
                    <w:autoSpaceDE w:val="0"/>
                    <w:autoSpaceDN w:val="0"/>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b w:val="0"/>
                      <w:bCs w:val="0"/>
                      <w:color w:val="auto"/>
                      <w:sz w:val="21"/>
                      <w:szCs w:val="21"/>
                      <w:lang w:val="en-US" w:eastAsia="zh-CN"/>
                    </w:rPr>
                    <w:t>2.43</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-2</w:t>
                  </w:r>
                </w:p>
              </w:tc>
              <w:tc>
                <w:tcPr>
                  <w:tcW w:w="1073" w:type="dxa"/>
                  <w:shd w:val="clear" w:color="auto" w:fill="auto"/>
                  <w:noWrap w:val="0"/>
                  <w:vAlign w:val="center"/>
                </w:tcPr>
                <w:p w14:paraId="2F2D1101">
                  <w:pPr>
                    <w:autoSpaceDE w:val="0"/>
                    <w:autoSpaceDN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2.24</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-3</w:t>
                  </w:r>
                </w:p>
              </w:tc>
              <w:tc>
                <w:tcPr>
                  <w:tcW w:w="1073" w:type="dxa"/>
                  <w:shd w:val="clear" w:color="auto" w:fill="auto"/>
                  <w:noWrap w:val="0"/>
                  <w:vAlign w:val="center"/>
                </w:tcPr>
                <w:p w14:paraId="4792AAF0">
                  <w:pPr>
                    <w:autoSpaceDE w:val="0"/>
                    <w:autoSpaceDN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4.03</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-3</w:t>
                  </w:r>
                </w:p>
              </w:tc>
              <w:tc>
                <w:tcPr>
                  <w:tcW w:w="1074" w:type="dxa"/>
                  <w:shd w:val="clear" w:color="auto" w:fill="auto"/>
                  <w:noWrap w:val="0"/>
                  <w:vAlign w:val="center"/>
                </w:tcPr>
                <w:p w14:paraId="7E40183A">
                  <w:pPr>
                    <w:autoSpaceDE w:val="0"/>
                    <w:autoSpaceDN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2.68</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-3</w:t>
                  </w:r>
                </w:p>
              </w:tc>
            </w:tr>
          </w:tbl>
          <w:p w14:paraId="3787A66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default" w:ascii="Times New Roman" w:hAnsi="Times New Roman" w:eastAsia="宋体" w:cs="Times New Roman"/>
                <w:b w:val="0"/>
                <w:bCs w:val="0"/>
                <w:snapToGrid w:val="0"/>
                <w:color w:val="auto"/>
                <w:kern w:val="2"/>
                <w:sz w:val="24"/>
                <w:szCs w:val="24"/>
                <w:lang w:val="en-US" w:eastAsia="zh-CN"/>
              </w:rPr>
            </w:pPr>
            <w:r>
              <w:rPr>
                <w:rFonts w:hint="default" w:ascii="Times New Roman" w:hAnsi="Times New Roman" w:eastAsia="宋体" w:cs="Times New Roman"/>
                <w:snapToGrid/>
                <w:color w:val="auto"/>
                <w:spacing w:val="0"/>
                <w:kern w:val="0"/>
                <w:position w:val="0"/>
                <w:sz w:val="24"/>
                <w:szCs w:val="24"/>
                <w:lang w:val="en-US" w:eastAsia="zh-CN"/>
              </w:rPr>
              <w:t>废气检测期间，钨合金渔坠实际产量为</w:t>
            </w:r>
            <w:r>
              <w:rPr>
                <w:rFonts w:hint="eastAsia" w:ascii="Times New Roman" w:hAnsi="Times New Roman" w:eastAsia="宋体" w:cs="Times New Roman"/>
                <w:snapToGrid/>
                <w:color w:val="auto"/>
                <w:spacing w:val="0"/>
                <w:kern w:val="0"/>
                <w:position w:val="0"/>
                <w:sz w:val="24"/>
                <w:szCs w:val="24"/>
                <w:lang w:val="en-US" w:eastAsia="zh-CN"/>
              </w:rPr>
              <w:t>0.07</w:t>
            </w:r>
            <w:r>
              <w:rPr>
                <w:rFonts w:hint="default" w:ascii="Times New Roman" w:hAnsi="Times New Roman" w:eastAsia="宋体" w:cs="Times New Roman"/>
                <w:snapToGrid/>
                <w:color w:val="auto"/>
                <w:spacing w:val="0"/>
                <w:kern w:val="0"/>
                <w:position w:val="0"/>
                <w:sz w:val="24"/>
                <w:szCs w:val="24"/>
                <w:lang w:val="en-US" w:eastAsia="zh-CN"/>
              </w:rPr>
              <w:t>t/d，生产负荷为</w:t>
            </w:r>
            <w:r>
              <w:rPr>
                <w:rFonts w:hint="eastAsia" w:ascii="Times New Roman" w:hAnsi="Times New Roman" w:eastAsia="宋体" w:cs="Times New Roman"/>
                <w:snapToGrid/>
                <w:color w:val="auto"/>
                <w:spacing w:val="0"/>
                <w:kern w:val="0"/>
                <w:position w:val="0"/>
                <w:sz w:val="24"/>
                <w:szCs w:val="24"/>
                <w:lang w:val="en-US" w:eastAsia="zh-CN"/>
              </w:rPr>
              <w:t>70</w:t>
            </w:r>
            <w:r>
              <w:rPr>
                <w:rFonts w:hint="default" w:ascii="Times New Roman" w:hAnsi="Times New Roman" w:eastAsia="宋体" w:cs="Times New Roman"/>
                <w:snapToGrid/>
                <w:color w:val="auto"/>
                <w:spacing w:val="0"/>
                <w:kern w:val="0"/>
                <w:position w:val="0"/>
                <w:sz w:val="24"/>
                <w:szCs w:val="24"/>
                <w:lang w:val="en-US" w:eastAsia="zh-CN"/>
              </w:rPr>
              <w:t>%。废气收集效率取90%，</w:t>
            </w:r>
            <w:r>
              <w:rPr>
                <w:rFonts w:hint="default" w:ascii="Times New Roman" w:hAnsi="Times New Roman" w:eastAsia="宋体" w:cs="Times New Roman"/>
                <w:color w:val="auto"/>
                <w:kern w:val="2"/>
                <w:sz w:val="24"/>
                <w:szCs w:val="24"/>
                <w:vertAlign w:val="baseline"/>
                <w:lang w:val="en-US" w:eastAsia="zh-CN" w:bidi="ar-SA"/>
              </w:rPr>
              <w:t>年生产</w:t>
            </w:r>
            <w:r>
              <w:rPr>
                <w:rFonts w:hint="eastAsia" w:ascii="Times New Roman" w:hAnsi="Times New Roman" w:eastAsia="宋体" w:cs="Times New Roman"/>
                <w:color w:val="auto"/>
                <w:kern w:val="2"/>
                <w:sz w:val="24"/>
                <w:szCs w:val="24"/>
                <w:vertAlign w:val="baseline"/>
                <w:lang w:val="en-US" w:eastAsia="zh-CN" w:bidi="ar-SA"/>
              </w:rPr>
              <w:t>30</w:t>
            </w:r>
            <w:r>
              <w:rPr>
                <w:rFonts w:hint="default" w:ascii="Times New Roman" w:hAnsi="Times New Roman" w:eastAsia="宋体" w:cs="Times New Roman"/>
                <w:color w:val="auto"/>
                <w:kern w:val="2"/>
                <w:sz w:val="24"/>
                <w:szCs w:val="24"/>
                <w:vertAlign w:val="baseline"/>
                <w:lang w:val="en-US" w:eastAsia="zh-CN" w:bidi="ar-SA"/>
              </w:rPr>
              <w:t>0天，混合、加热</w:t>
            </w:r>
            <w:r>
              <w:rPr>
                <w:rFonts w:hint="eastAsia" w:cs="Times New Roman"/>
                <w:color w:val="auto"/>
                <w:kern w:val="2"/>
                <w:sz w:val="24"/>
                <w:szCs w:val="24"/>
                <w:vertAlign w:val="baseline"/>
                <w:lang w:val="en-US" w:eastAsia="zh-CN" w:bidi="ar-SA"/>
              </w:rPr>
              <w:t>工序</w:t>
            </w:r>
            <w:r>
              <w:rPr>
                <w:rFonts w:hint="default" w:ascii="Times New Roman" w:hAnsi="Times New Roman" w:eastAsia="宋体" w:cs="Times New Roman"/>
                <w:color w:val="auto"/>
                <w:kern w:val="2"/>
                <w:sz w:val="24"/>
                <w:szCs w:val="24"/>
                <w:vertAlign w:val="baseline"/>
                <w:lang w:val="en-US" w:eastAsia="zh-CN" w:bidi="ar-SA"/>
              </w:rPr>
              <w:t>每天</w:t>
            </w:r>
            <w:r>
              <w:rPr>
                <w:rFonts w:hint="eastAsia" w:ascii="Times New Roman" w:hAnsi="Times New Roman" w:eastAsia="宋体" w:cs="Times New Roman"/>
                <w:color w:val="auto"/>
                <w:kern w:val="2"/>
                <w:sz w:val="24"/>
                <w:szCs w:val="24"/>
                <w:vertAlign w:val="baseline"/>
                <w:lang w:val="en-US" w:eastAsia="zh-CN" w:bidi="ar-SA"/>
              </w:rPr>
              <w:t>16</w:t>
            </w:r>
            <w:r>
              <w:rPr>
                <w:rFonts w:hint="default" w:ascii="Times New Roman" w:hAnsi="Times New Roman" w:eastAsia="宋体" w:cs="Times New Roman"/>
                <w:color w:val="auto"/>
                <w:kern w:val="2"/>
                <w:sz w:val="24"/>
                <w:szCs w:val="24"/>
                <w:vertAlign w:val="baseline"/>
                <w:lang w:val="en-US" w:eastAsia="zh-CN" w:bidi="ar-SA"/>
              </w:rPr>
              <w:t>个小时计</w:t>
            </w:r>
            <w:r>
              <w:rPr>
                <w:rFonts w:hint="eastAsia" w:cs="Times New Roman"/>
                <w:color w:val="auto"/>
                <w:kern w:val="2"/>
                <w:sz w:val="24"/>
                <w:szCs w:val="24"/>
                <w:vertAlign w:val="baseline"/>
                <w:lang w:val="en-US" w:eastAsia="zh-CN" w:bidi="ar-SA"/>
              </w:rPr>
              <w:t>，</w:t>
            </w:r>
            <w:r>
              <w:rPr>
                <w:rFonts w:hint="eastAsia" w:cs="Times New Roman"/>
                <w:b w:val="0"/>
                <w:bCs w:val="0"/>
                <w:color w:val="auto"/>
                <w:sz w:val="24"/>
                <w:szCs w:val="24"/>
                <w:lang w:eastAsia="zh-CN"/>
              </w:rPr>
              <w:t>脱胶、注塑工序</w:t>
            </w:r>
            <w:r>
              <w:rPr>
                <w:rFonts w:hint="default" w:ascii="Times New Roman" w:hAnsi="Times New Roman" w:eastAsia="宋体" w:cs="Times New Roman"/>
                <w:color w:val="auto"/>
                <w:kern w:val="2"/>
                <w:sz w:val="24"/>
                <w:szCs w:val="24"/>
                <w:vertAlign w:val="baseline"/>
                <w:lang w:val="en-US" w:eastAsia="zh-CN" w:bidi="ar-SA"/>
              </w:rPr>
              <w:t>每天</w:t>
            </w:r>
            <w:r>
              <w:rPr>
                <w:rFonts w:hint="eastAsia" w:ascii="Times New Roman" w:hAnsi="Times New Roman" w:eastAsia="宋体" w:cs="Times New Roman"/>
                <w:color w:val="auto"/>
                <w:kern w:val="2"/>
                <w:sz w:val="24"/>
                <w:szCs w:val="24"/>
                <w:vertAlign w:val="baseline"/>
                <w:lang w:val="en-US" w:eastAsia="zh-CN" w:bidi="ar-SA"/>
              </w:rPr>
              <w:t>24</w:t>
            </w:r>
            <w:r>
              <w:rPr>
                <w:rFonts w:hint="default" w:ascii="Times New Roman" w:hAnsi="Times New Roman" w:eastAsia="宋体" w:cs="Times New Roman"/>
                <w:color w:val="auto"/>
                <w:kern w:val="2"/>
                <w:sz w:val="24"/>
                <w:szCs w:val="24"/>
                <w:vertAlign w:val="baseline"/>
                <w:lang w:val="en-US" w:eastAsia="zh-CN" w:bidi="ar-SA"/>
              </w:rPr>
              <w:t>个小时计，</w:t>
            </w:r>
            <w:r>
              <w:rPr>
                <w:rFonts w:hint="default" w:ascii="Times New Roman" w:hAnsi="Times New Roman" w:eastAsia="宋体" w:cs="Times New Roman"/>
                <w:b w:val="0"/>
                <w:bCs w:val="0"/>
                <w:snapToGrid w:val="0"/>
                <w:color w:val="auto"/>
                <w:kern w:val="2"/>
                <w:sz w:val="24"/>
                <w:szCs w:val="24"/>
                <w:lang w:val="en-US" w:eastAsia="zh-CN"/>
              </w:rPr>
              <w:t>则根据检测结果，</w:t>
            </w:r>
            <w:r>
              <w:rPr>
                <w:rFonts w:hint="eastAsia" w:ascii="Times New Roman" w:hAnsi="Times New Roman" w:eastAsia="宋体" w:cs="Times New Roman"/>
                <w:color w:val="auto"/>
                <w:sz w:val="24"/>
                <w:lang w:eastAsia="zh-CN"/>
              </w:rPr>
              <w:t>混合</w:t>
            </w:r>
            <w:r>
              <w:rPr>
                <w:rFonts w:hint="eastAsia" w:cs="Times New Roman"/>
                <w:color w:val="auto"/>
                <w:sz w:val="24"/>
                <w:lang w:eastAsia="zh-CN"/>
              </w:rPr>
              <w:t>、</w:t>
            </w:r>
            <w:r>
              <w:rPr>
                <w:rFonts w:hint="eastAsia" w:ascii="Times New Roman" w:hAnsi="Times New Roman" w:eastAsia="宋体" w:cs="Times New Roman"/>
                <w:b w:val="0"/>
                <w:bCs w:val="0"/>
                <w:snapToGrid w:val="0"/>
                <w:color w:val="auto"/>
                <w:kern w:val="2"/>
                <w:sz w:val="24"/>
                <w:szCs w:val="24"/>
                <w:lang w:val="en-US" w:eastAsia="zh-CN"/>
              </w:rPr>
              <w:t>加热</w:t>
            </w:r>
            <w:r>
              <w:rPr>
                <w:rFonts w:hint="default" w:ascii="Times New Roman" w:hAnsi="Times New Roman" w:eastAsia="宋体" w:cs="Times New Roman"/>
                <w:color w:val="auto"/>
                <w:sz w:val="24"/>
                <w:szCs w:val="24"/>
                <w:lang w:eastAsia="zh-CN"/>
              </w:rPr>
              <w:t>工序</w:t>
            </w:r>
            <w:r>
              <w:rPr>
                <w:rFonts w:hint="default" w:ascii="Times New Roman" w:hAnsi="Times New Roman" w:eastAsia="宋体" w:cs="Times New Roman"/>
                <w:b w:val="0"/>
                <w:bCs w:val="0"/>
                <w:snapToGrid w:val="0"/>
                <w:color w:val="auto"/>
                <w:kern w:val="2"/>
                <w:sz w:val="24"/>
                <w:szCs w:val="24"/>
                <w:lang w:val="en-US" w:eastAsia="zh-CN"/>
              </w:rPr>
              <w:t>产生</w:t>
            </w:r>
            <w:r>
              <w:rPr>
                <w:rFonts w:hint="eastAsia" w:ascii="Times New Roman" w:hAnsi="Times New Roman" w:eastAsia="宋体" w:cs="Times New Roman"/>
                <w:b w:val="0"/>
                <w:bCs w:val="0"/>
                <w:snapToGrid w:val="0"/>
                <w:color w:val="auto"/>
                <w:kern w:val="2"/>
                <w:sz w:val="24"/>
                <w:szCs w:val="24"/>
                <w:lang w:val="en-US" w:eastAsia="zh-CN"/>
              </w:rPr>
              <w:t>颗粒物</w:t>
            </w:r>
            <w:r>
              <w:rPr>
                <w:rFonts w:hint="default" w:ascii="Times New Roman" w:hAnsi="Times New Roman" w:eastAsia="宋体" w:cs="Times New Roman"/>
                <w:b w:val="0"/>
                <w:bCs w:val="0"/>
                <w:snapToGrid w:val="0"/>
                <w:color w:val="auto"/>
                <w:kern w:val="2"/>
                <w:sz w:val="24"/>
                <w:szCs w:val="24"/>
                <w:lang w:val="en-US" w:eastAsia="zh-CN"/>
              </w:rPr>
              <w:t>合计量约为</w:t>
            </w:r>
            <w:r>
              <w:rPr>
                <w:rFonts w:hint="eastAsia" w:cs="Times New Roman"/>
                <w:b w:val="0"/>
                <w:bCs w:val="0"/>
                <w:snapToGrid w:val="0"/>
                <w:color w:val="auto"/>
                <w:kern w:val="2"/>
                <w:sz w:val="24"/>
                <w:szCs w:val="24"/>
                <w:lang w:val="en-US" w:eastAsia="zh-CN"/>
              </w:rPr>
              <w:t>0.340</w:t>
            </w:r>
            <w:r>
              <w:rPr>
                <w:rFonts w:hint="default" w:ascii="Times New Roman" w:hAnsi="Times New Roman" w:eastAsia="宋体" w:cs="Times New Roman"/>
                <w:b w:val="0"/>
                <w:bCs w:val="0"/>
                <w:snapToGrid w:val="0"/>
                <w:color w:val="auto"/>
                <w:kern w:val="2"/>
                <w:sz w:val="24"/>
                <w:szCs w:val="24"/>
                <w:lang w:val="en-US" w:eastAsia="zh-CN"/>
              </w:rPr>
              <w:t>t/a</w:t>
            </w:r>
            <w:r>
              <w:rPr>
                <w:rFonts w:hint="eastAsia" w:ascii="Times New Roman" w:hAnsi="Times New Roman" w:eastAsia="宋体" w:cs="Times New Roman"/>
                <w:b w:val="0"/>
                <w:bCs w:val="0"/>
                <w:snapToGrid w:val="0"/>
                <w:color w:val="auto"/>
                <w:kern w:val="2"/>
                <w:sz w:val="24"/>
                <w:szCs w:val="24"/>
                <w:lang w:val="en-US" w:eastAsia="zh-CN"/>
              </w:rPr>
              <w:t>，挥发性有机物</w:t>
            </w:r>
            <w:r>
              <w:rPr>
                <w:rFonts w:hint="default" w:ascii="Times New Roman" w:hAnsi="Times New Roman" w:eastAsia="宋体" w:cs="Times New Roman"/>
                <w:b w:val="0"/>
                <w:bCs w:val="0"/>
                <w:snapToGrid w:val="0"/>
                <w:color w:val="auto"/>
                <w:kern w:val="2"/>
                <w:sz w:val="24"/>
                <w:szCs w:val="24"/>
                <w:lang w:val="en-US" w:eastAsia="zh-CN"/>
              </w:rPr>
              <w:t>合计量约为</w:t>
            </w:r>
            <w:r>
              <w:rPr>
                <w:rFonts w:hint="eastAsia" w:cs="Times New Roman"/>
                <w:b w:val="0"/>
                <w:bCs w:val="0"/>
                <w:snapToGrid w:val="0"/>
                <w:color w:val="auto"/>
                <w:kern w:val="2"/>
                <w:sz w:val="24"/>
                <w:szCs w:val="24"/>
                <w:lang w:val="en-US" w:eastAsia="zh-CN"/>
              </w:rPr>
              <w:t>0.029</w:t>
            </w:r>
            <w:r>
              <w:rPr>
                <w:rFonts w:hint="default" w:ascii="Times New Roman" w:hAnsi="Times New Roman" w:eastAsia="宋体" w:cs="Times New Roman"/>
                <w:b w:val="0"/>
                <w:bCs w:val="0"/>
                <w:snapToGrid w:val="0"/>
                <w:color w:val="auto"/>
                <w:kern w:val="2"/>
                <w:sz w:val="24"/>
                <w:szCs w:val="24"/>
                <w:lang w:val="en-US" w:eastAsia="zh-CN"/>
              </w:rPr>
              <w:t>t/a</w:t>
            </w:r>
            <w:r>
              <w:rPr>
                <w:rFonts w:hint="eastAsia" w:ascii="Times New Roman" w:hAnsi="Times New Roman" w:eastAsia="宋体" w:cs="Times New Roman"/>
                <w:b w:val="0"/>
                <w:bCs w:val="0"/>
                <w:snapToGrid w:val="0"/>
                <w:color w:val="auto"/>
                <w:kern w:val="2"/>
                <w:sz w:val="24"/>
                <w:szCs w:val="24"/>
                <w:lang w:val="en-US" w:eastAsia="zh-CN"/>
              </w:rPr>
              <w:t>，1#</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、注塑工序</w:t>
            </w:r>
            <w:r>
              <w:rPr>
                <w:rFonts w:hint="default" w:ascii="Times New Roman" w:hAnsi="Times New Roman" w:eastAsia="宋体" w:cs="Times New Roman"/>
                <w:b w:val="0"/>
                <w:bCs w:val="0"/>
                <w:snapToGrid w:val="0"/>
                <w:color w:val="auto"/>
                <w:kern w:val="2"/>
                <w:sz w:val="24"/>
                <w:szCs w:val="24"/>
                <w:lang w:val="en-US" w:eastAsia="zh-CN"/>
              </w:rPr>
              <w:t>产生</w:t>
            </w:r>
            <w:r>
              <w:rPr>
                <w:rFonts w:hint="eastAsia" w:ascii="Times New Roman" w:hAnsi="Times New Roman" w:eastAsia="宋体" w:cs="Times New Roman"/>
                <w:b w:val="0"/>
                <w:bCs w:val="0"/>
                <w:snapToGrid w:val="0"/>
                <w:color w:val="auto"/>
                <w:kern w:val="2"/>
                <w:sz w:val="24"/>
                <w:szCs w:val="24"/>
                <w:lang w:val="en-US" w:eastAsia="zh-CN"/>
              </w:rPr>
              <w:t>挥发性有机物</w:t>
            </w:r>
            <w:r>
              <w:rPr>
                <w:rFonts w:hint="default" w:ascii="Times New Roman" w:hAnsi="Times New Roman" w:eastAsia="宋体" w:cs="Times New Roman"/>
                <w:b w:val="0"/>
                <w:bCs w:val="0"/>
                <w:snapToGrid w:val="0"/>
                <w:color w:val="auto"/>
                <w:kern w:val="2"/>
                <w:sz w:val="24"/>
                <w:szCs w:val="24"/>
                <w:lang w:val="en-US" w:eastAsia="zh-CN"/>
              </w:rPr>
              <w:t>合计量约为</w:t>
            </w:r>
            <w:r>
              <w:rPr>
                <w:rFonts w:hint="eastAsia" w:cs="Times New Roman"/>
                <w:b w:val="0"/>
                <w:bCs w:val="0"/>
                <w:snapToGrid w:val="0"/>
                <w:color w:val="auto"/>
                <w:kern w:val="2"/>
                <w:sz w:val="24"/>
                <w:szCs w:val="24"/>
                <w:lang w:val="en-US" w:eastAsia="zh-CN"/>
              </w:rPr>
              <w:t>0.528</w:t>
            </w:r>
            <w:r>
              <w:rPr>
                <w:rFonts w:hint="default" w:ascii="Times New Roman" w:hAnsi="Times New Roman" w:eastAsia="宋体" w:cs="Times New Roman"/>
                <w:b w:val="0"/>
                <w:bCs w:val="0"/>
                <w:snapToGrid w:val="0"/>
                <w:color w:val="auto"/>
                <w:kern w:val="2"/>
                <w:sz w:val="24"/>
                <w:szCs w:val="24"/>
                <w:lang w:val="en-US" w:eastAsia="zh-CN"/>
              </w:rPr>
              <w:t>t/a</w:t>
            </w:r>
            <w:r>
              <w:rPr>
                <w:rFonts w:hint="eastAsia" w:ascii="Times New Roman" w:hAnsi="Times New Roman" w:eastAsia="宋体" w:cs="Times New Roman"/>
                <w:b w:val="0"/>
                <w:bCs w:val="0"/>
                <w:snapToGrid w:val="0"/>
                <w:color w:val="auto"/>
                <w:kern w:val="2"/>
                <w:sz w:val="24"/>
                <w:szCs w:val="24"/>
                <w:lang w:val="en-US" w:eastAsia="zh-CN"/>
              </w:rPr>
              <w:t>，2#</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、注塑工序</w:t>
            </w:r>
            <w:r>
              <w:rPr>
                <w:rFonts w:hint="default" w:ascii="Times New Roman" w:hAnsi="Times New Roman" w:eastAsia="宋体" w:cs="Times New Roman"/>
                <w:b w:val="0"/>
                <w:bCs w:val="0"/>
                <w:snapToGrid w:val="0"/>
                <w:color w:val="auto"/>
                <w:kern w:val="2"/>
                <w:sz w:val="24"/>
                <w:szCs w:val="24"/>
                <w:lang w:val="en-US" w:eastAsia="zh-CN"/>
              </w:rPr>
              <w:t>产生</w:t>
            </w:r>
            <w:r>
              <w:rPr>
                <w:rFonts w:hint="eastAsia" w:ascii="Times New Roman" w:hAnsi="Times New Roman" w:eastAsia="宋体" w:cs="Times New Roman"/>
                <w:b w:val="0"/>
                <w:bCs w:val="0"/>
                <w:snapToGrid w:val="0"/>
                <w:color w:val="auto"/>
                <w:kern w:val="2"/>
                <w:sz w:val="24"/>
                <w:szCs w:val="24"/>
                <w:lang w:val="en-US" w:eastAsia="zh-CN"/>
              </w:rPr>
              <w:t>挥发性有机物</w:t>
            </w:r>
            <w:r>
              <w:rPr>
                <w:rFonts w:hint="default" w:ascii="Times New Roman" w:hAnsi="Times New Roman" w:eastAsia="宋体" w:cs="Times New Roman"/>
                <w:b w:val="0"/>
                <w:bCs w:val="0"/>
                <w:snapToGrid w:val="0"/>
                <w:color w:val="auto"/>
                <w:kern w:val="2"/>
                <w:sz w:val="24"/>
                <w:szCs w:val="24"/>
                <w:lang w:val="en-US" w:eastAsia="zh-CN"/>
              </w:rPr>
              <w:t>合计量约为</w:t>
            </w:r>
            <w:r>
              <w:rPr>
                <w:rFonts w:hint="eastAsia" w:cs="Times New Roman"/>
                <w:b w:val="0"/>
                <w:bCs w:val="0"/>
                <w:snapToGrid w:val="0"/>
                <w:color w:val="auto"/>
                <w:kern w:val="2"/>
                <w:sz w:val="24"/>
                <w:szCs w:val="24"/>
                <w:lang w:val="en-US" w:eastAsia="zh-CN"/>
              </w:rPr>
              <w:t>0.427</w:t>
            </w:r>
            <w:r>
              <w:rPr>
                <w:rFonts w:hint="default" w:ascii="Times New Roman" w:hAnsi="Times New Roman" w:eastAsia="宋体" w:cs="Times New Roman"/>
                <w:b w:val="0"/>
                <w:bCs w:val="0"/>
                <w:snapToGrid w:val="0"/>
                <w:color w:val="auto"/>
                <w:kern w:val="2"/>
                <w:sz w:val="24"/>
                <w:szCs w:val="24"/>
                <w:lang w:val="en-US" w:eastAsia="zh-CN"/>
              </w:rPr>
              <w:t>t/a</w:t>
            </w:r>
            <w:r>
              <w:rPr>
                <w:rFonts w:hint="eastAsia" w:ascii="Times New Roman" w:hAnsi="Times New Roman" w:eastAsia="宋体" w:cs="Times New Roman"/>
                <w:b w:val="0"/>
                <w:bCs w:val="0"/>
                <w:snapToGrid w:val="0"/>
                <w:color w:val="auto"/>
                <w:kern w:val="2"/>
                <w:sz w:val="24"/>
                <w:szCs w:val="24"/>
                <w:lang w:val="en-US" w:eastAsia="zh-CN"/>
              </w:rPr>
              <w:t>，</w:t>
            </w:r>
            <w:r>
              <w:rPr>
                <w:rFonts w:hint="eastAsia" w:eastAsia="宋体" w:cs="Times New Roman"/>
                <w:color w:val="auto"/>
                <w:sz w:val="24"/>
                <w:szCs w:val="24"/>
                <w:lang w:eastAsia="zh-CN"/>
              </w:rPr>
              <w:t>灵璧县威科钓具有限公司威科钓具钨合金渔坠生产项目</w:t>
            </w:r>
            <w:r>
              <w:rPr>
                <w:rFonts w:hint="default" w:ascii="Times New Roman" w:hAnsi="Times New Roman" w:eastAsia="宋体" w:cs="Times New Roman"/>
                <w:snapToGrid/>
                <w:color w:val="auto"/>
                <w:spacing w:val="0"/>
                <w:kern w:val="0"/>
                <w:position w:val="0"/>
                <w:sz w:val="24"/>
                <w:szCs w:val="24"/>
                <w:lang w:val="en-US" w:eastAsia="zh-CN"/>
              </w:rPr>
              <w:t>年产</w:t>
            </w:r>
            <w:r>
              <w:rPr>
                <w:rFonts w:hint="eastAsia" w:ascii="Times New Roman" w:hAnsi="Times New Roman" w:eastAsia="宋体" w:cs="Times New Roman"/>
                <w:snapToGrid/>
                <w:color w:val="auto"/>
                <w:spacing w:val="0"/>
                <w:kern w:val="0"/>
                <w:position w:val="0"/>
                <w:sz w:val="24"/>
                <w:szCs w:val="24"/>
                <w:lang w:val="en-US" w:eastAsia="zh-CN"/>
              </w:rPr>
              <w:t>30</w:t>
            </w:r>
            <w:r>
              <w:rPr>
                <w:rFonts w:hint="default" w:ascii="Times New Roman" w:hAnsi="Times New Roman" w:eastAsia="宋体" w:cs="Times New Roman"/>
                <w:snapToGrid/>
                <w:color w:val="auto"/>
                <w:spacing w:val="0"/>
                <w:kern w:val="0"/>
                <w:position w:val="0"/>
                <w:sz w:val="24"/>
                <w:szCs w:val="24"/>
                <w:lang w:val="en-US" w:eastAsia="zh-CN"/>
              </w:rPr>
              <w:t xml:space="preserve">t </w:t>
            </w:r>
            <w:r>
              <w:rPr>
                <w:rFonts w:hint="eastAsia" w:eastAsia="宋体" w:cs="Times New Roman"/>
                <w:color w:val="auto"/>
                <w:sz w:val="24"/>
                <w:szCs w:val="24"/>
                <w:lang w:eastAsia="zh-CN"/>
              </w:rPr>
              <w:t>钨合金渔坠</w:t>
            </w:r>
            <w:r>
              <w:rPr>
                <w:rFonts w:hint="default" w:ascii="Times New Roman" w:hAnsi="Times New Roman" w:eastAsia="宋体" w:cs="Times New Roman"/>
                <w:snapToGrid/>
                <w:color w:val="auto"/>
                <w:spacing w:val="0"/>
                <w:kern w:val="0"/>
                <w:position w:val="0"/>
                <w:sz w:val="24"/>
                <w:szCs w:val="24"/>
                <w:lang w:val="en-US" w:eastAsia="zh-CN" w:bidi="ar-SA"/>
              </w:rPr>
              <w:t>。</w:t>
            </w:r>
          </w:p>
          <w:p w14:paraId="24E01214">
            <w:pPr>
              <w:adjustRightInd w:val="0"/>
              <w:snapToGrid w:val="0"/>
              <w:spacing w:line="348" w:lineRule="auto"/>
              <w:ind w:firstLine="480" w:firstLineChars="200"/>
              <w:rPr>
                <w:rFonts w:hint="eastAsia"/>
                <w:color w:val="auto"/>
                <w:sz w:val="24"/>
                <w:lang w:eastAsia="zh-CN"/>
              </w:rPr>
            </w:pPr>
            <w:r>
              <w:rPr>
                <w:rFonts w:hint="eastAsia"/>
                <w:color w:val="auto"/>
                <w:sz w:val="24"/>
                <w:lang w:val="en-US" w:eastAsia="zh-CN"/>
              </w:rPr>
              <w:t>1</w:t>
            </w:r>
            <w:r>
              <w:rPr>
                <w:rFonts w:hint="eastAsia"/>
                <w:color w:val="auto"/>
                <w:sz w:val="24"/>
                <w:lang w:eastAsia="zh-CN"/>
              </w:rPr>
              <w:t>）混合废气</w:t>
            </w:r>
          </w:p>
          <w:p w14:paraId="7F943636">
            <w:pPr>
              <w:adjustRightInd w:val="0"/>
              <w:snapToGrid w:val="0"/>
              <w:spacing w:line="348" w:lineRule="auto"/>
              <w:ind w:firstLine="480" w:firstLineChars="200"/>
              <w:rPr>
                <w:rFonts w:hint="eastAsia" w:ascii="Times New Roman" w:hAnsi="Times New Roman" w:eastAsia="宋体" w:cs="Times New Roman"/>
                <w:b w:val="0"/>
                <w:bCs w:val="0"/>
                <w:snapToGrid w:val="0"/>
                <w:color w:val="auto"/>
                <w:kern w:val="2"/>
                <w:sz w:val="24"/>
                <w:szCs w:val="24"/>
                <w:lang w:val="en-US" w:eastAsia="zh-CN"/>
              </w:rPr>
            </w:pPr>
            <w:r>
              <w:rPr>
                <w:rFonts w:hint="eastAsia"/>
                <w:color w:val="auto"/>
                <w:sz w:val="24"/>
                <w:lang w:eastAsia="zh-CN"/>
              </w:rPr>
              <w:t>扩建工程</w:t>
            </w:r>
            <w:r>
              <w:rPr>
                <w:rFonts w:hint="eastAsia" w:eastAsia="宋体" w:cs="Times New Roman"/>
                <w:color w:val="auto"/>
                <w:sz w:val="24"/>
                <w:szCs w:val="24"/>
                <w:lang w:eastAsia="zh-CN"/>
              </w:rPr>
              <w:t>钨合金渔坠年产能为</w:t>
            </w:r>
            <w:r>
              <w:rPr>
                <w:rFonts w:hint="eastAsia" w:ascii="Times New Roman" w:hAnsi="Times New Roman" w:eastAsia="宋体" w:cs="Times New Roman"/>
                <w:snapToGrid/>
                <w:color w:val="auto"/>
                <w:spacing w:val="0"/>
                <w:kern w:val="0"/>
                <w:position w:val="0"/>
                <w:sz w:val="24"/>
                <w:szCs w:val="24"/>
                <w:lang w:val="en-US" w:eastAsia="zh-CN"/>
              </w:rPr>
              <w:t>30</w:t>
            </w:r>
            <w:r>
              <w:rPr>
                <w:rFonts w:hint="default" w:ascii="Times New Roman" w:hAnsi="Times New Roman" w:eastAsia="宋体" w:cs="Times New Roman"/>
                <w:snapToGrid/>
                <w:color w:val="auto"/>
                <w:spacing w:val="0"/>
                <w:kern w:val="0"/>
                <w:position w:val="0"/>
                <w:sz w:val="24"/>
                <w:szCs w:val="24"/>
                <w:lang w:val="en-US" w:eastAsia="zh-CN"/>
              </w:rPr>
              <w:t>t</w:t>
            </w:r>
            <w:r>
              <w:rPr>
                <w:rFonts w:hint="eastAsia" w:ascii="Times New Roman" w:hAnsi="Times New Roman" w:eastAsia="宋体" w:cs="Times New Roman"/>
                <w:b w:val="0"/>
                <w:bCs w:val="0"/>
                <w:snapToGrid w:val="0"/>
                <w:color w:val="auto"/>
                <w:kern w:val="2"/>
                <w:sz w:val="24"/>
                <w:szCs w:val="24"/>
                <w:lang w:val="en-US" w:eastAsia="zh-CN"/>
              </w:rPr>
              <w:t>，类比得</w:t>
            </w:r>
            <w:r>
              <w:rPr>
                <w:rFonts w:hint="eastAsia"/>
                <w:color w:val="auto"/>
                <w:sz w:val="24"/>
                <w:lang w:eastAsia="zh-CN"/>
              </w:rPr>
              <w:t>扩建工程</w:t>
            </w:r>
            <w:r>
              <w:rPr>
                <w:rFonts w:hint="eastAsia" w:ascii="Times New Roman" w:hAnsi="Times New Roman" w:eastAsia="宋体" w:cs="Times New Roman"/>
                <w:color w:val="auto"/>
                <w:sz w:val="24"/>
                <w:lang w:eastAsia="zh-CN"/>
              </w:rPr>
              <w:t>混合</w:t>
            </w:r>
            <w:r>
              <w:rPr>
                <w:rFonts w:hint="default" w:ascii="Times New Roman" w:hAnsi="Times New Roman" w:eastAsia="宋体" w:cs="Times New Roman"/>
                <w:color w:val="auto"/>
                <w:sz w:val="24"/>
                <w:szCs w:val="24"/>
                <w:lang w:eastAsia="zh-CN"/>
              </w:rPr>
              <w:t>工序</w:t>
            </w:r>
            <w:r>
              <w:rPr>
                <w:rFonts w:hint="eastAsia" w:ascii="Times New Roman" w:hAnsi="Times New Roman" w:eastAsia="宋体" w:cs="Times New Roman"/>
                <w:b w:val="0"/>
                <w:bCs w:val="0"/>
                <w:snapToGrid w:val="0"/>
                <w:color w:val="auto"/>
                <w:kern w:val="2"/>
                <w:sz w:val="24"/>
                <w:szCs w:val="24"/>
                <w:lang w:val="en-US" w:eastAsia="zh-CN"/>
              </w:rPr>
              <w:t>颗粒物</w:t>
            </w:r>
            <w:r>
              <w:rPr>
                <w:rFonts w:hint="default" w:ascii="Times New Roman" w:hAnsi="Times New Roman" w:eastAsia="宋体" w:cs="Times New Roman"/>
                <w:b w:val="0"/>
                <w:bCs w:val="0"/>
                <w:snapToGrid w:val="0"/>
                <w:color w:val="auto"/>
                <w:kern w:val="2"/>
                <w:sz w:val="24"/>
                <w:szCs w:val="24"/>
                <w:lang w:val="en-US" w:eastAsia="zh-CN"/>
              </w:rPr>
              <w:t>产生</w:t>
            </w:r>
            <w:r>
              <w:rPr>
                <w:rFonts w:hint="eastAsia" w:ascii="Times New Roman" w:hAnsi="Times New Roman" w:eastAsia="宋体" w:cs="Times New Roman"/>
                <w:b w:val="0"/>
                <w:bCs w:val="0"/>
                <w:snapToGrid w:val="0"/>
                <w:color w:val="auto"/>
                <w:kern w:val="2"/>
                <w:sz w:val="24"/>
                <w:szCs w:val="24"/>
                <w:lang w:val="en-US" w:eastAsia="zh-CN"/>
              </w:rPr>
              <w:t>量</w:t>
            </w:r>
            <w:r>
              <w:rPr>
                <w:rFonts w:hint="default" w:ascii="Times New Roman" w:hAnsi="Times New Roman" w:eastAsia="宋体" w:cs="Times New Roman"/>
                <w:b w:val="0"/>
                <w:bCs w:val="0"/>
                <w:snapToGrid w:val="0"/>
                <w:color w:val="auto"/>
                <w:kern w:val="2"/>
                <w:sz w:val="24"/>
                <w:szCs w:val="24"/>
                <w:lang w:val="en-US" w:eastAsia="zh-CN"/>
              </w:rPr>
              <w:t>约为</w:t>
            </w:r>
            <w:r>
              <w:rPr>
                <w:rFonts w:hint="eastAsia" w:cs="Times New Roman"/>
                <w:b w:val="0"/>
                <w:bCs w:val="0"/>
                <w:snapToGrid w:val="0"/>
                <w:color w:val="auto"/>
                <w:kern w:val="2"/>
                <w:sz w:val="24"/>
                <w:szCs w:val="24"/>
                <w:lang w:val="en-US" w:eastAsia="zh-CN"/>
              </w:rPr>
              <w:t>0.340</w:t>
            </w:r>
            <w:r>
              <w:rPr>
                <w:rFonts w:hint="default" w:ascii="Times New Roman" w:hAnsi="Times New Roman" w:eastAsia="宋体" w:cs="Times New Roman"/>
                <w:b w:val="0"/>
                <w:bCs w:val="0"/>
                <w:snapToGrid w:val="0"/>
                <w:color w:val="auto"/>
                <w:kern w:val="2"/>
                <w:sz w:val="24"/>
                <w:szCs w:val="24"/>
                <w:lang w:val="en-US" w:eastAsia="zh-CN"/>
              </w:rPr>
              <w:t>t/a</w:t>
            </w:r>
            <w:r>
              <w:rPr>
                <w:rFonts w:hint="eastAsia" w:ascii="Times New Roman" w:hAnsi="Times New Roman" w:eastAsia="宋体" w:cs="Times New Roman"/>
                <w:b w:val="0"/>
                <w:bCs w:val="0"/>
                <w:snapToGrid w:val="0"/>
                <w:color w:val="auto"/>
                <w:kern w:val="2"/>
                <w:sz w:val="24"/>
                <w:szCs w:val="24"/>
                <w:lang w:val="en-US" w:eastAsia="zh-CN"/>
              </w:rPr>
              <w:t>。</w:t>
            </w:r>
          </w:p>
          <w:p w14:paraId="3CA0D18C">
            <w:pPr>
              <w:adjustRightInd w:val="0"/>
              <w:snapToGrid w:val="0"/>
              <w:spacing w:line="348"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rPr>
              <w:t>本环评要求</w:t>
            </w:r>
            <w:r>
              <w:rPr>
                <w:rFonts w:hint="default" w:ascii="Times New Roman" w:hAnsi="Times New Roman" w:eastAsia="宋体" w:cs="Times New Roman"/>
                <w:b w:val="0"/>
                <w:bCs w:val="0"/>
                <w:snapToGrid w:val="0"/>
                <w:color w:val="auto"/>
                <w:kern w:val="2"/>
                <w:sz w:val="24"/>
                <w:szCs w:val="24"/>
                <w:lang w:val="en-US" w:eastAsia="zh-CN"/>
              </w:rPr>
              <w:t>扩建</w:t>
            </w:r>
            <w:r>
              <w:rPr>
                <w:rFonts w:hint="eastAsia" w:cs="Times New Roman"/>
                <w:b w:val="0"/>
                <w:bCs w:val="0"/>
                <w:snapToGrid w:val="0"/>
                <w:color w:val="auto"/>
                <w:kern w:val="2"/>
                <w:sz w:val="24"/>
                <w:szCs w:val="24"/>
                <w:lang w:val="en-US" w:eastAsia="zh-CN"/>
              </w:rPr>
              <w:t>工程的V型混料机</w:t>
            </w:r>
            <w:r>
              <w:rPr>
                <w:rFonts w:hint="default" w:ascii="Times New Roman" w:hAnsi="Times New Roman" w:eastAsia="宋体" w:cs="Times New Roman"/>
                <w:color w:val="auto"/>
                <w:sz w:val="24"/>
                <w:lang w:eastAsia="zh-CN"/>
              </w:rPr>
              <w:t>产尘点</w:t>
            </w:r>
            <w:r>
              <w:rPr>
                <w:rFonts w:hint="default" w:ascii="Times New Roman" w:hAnsi="Times New Roman" w:eastAsia="宋体" w:cs="Times New Roman"/>
                <w:color w:val="auto"/>
                <w:sz w:val="24"/>
              </w:rPr>
              <w:t>上方设置</w:t>
            </w:r>
            <w:r>
              <w:rPr>
                <w:rFonts w:hint="default" w:ascii="Times New Roman" w:hAnsi="Times New Roman" w:eastAsia="宋体" w:cs="Times New Roman"/>
                <w:color w:val="auto"/>
                <w:spacing w:val="-2"/>
                <w:sz w:val="24"/>
              </w:rPr>
              <w:t>集气罩收集</w:t>
            </w:r>
            <w:r>
              <w:rPr>
                <w:rFonts w:hint="eastAsia" w:ascii="Times New Roman" w:hAnsi="Times New Roman" w:eastAsia="宋体" w:cs="Times New Roman"/>
                <w:color w:val="auto"/>
                <w:spacing w:val="-2"/>
                <w:sz w:val="24"/>
                <w:lang w:eastAsia="zh-CN"/>
              </w:rPr>
              <w:t>颗粒物</w:t>
            </w:r>
            <w:r>
              <w:rPr>
                <w:rFonts w:hint="default" w:ascii="Times New Roman" w:hAnsi="Times New Roman" w:eastAsia="宋体" w:cs="Times New Roman"/>
                <w:color w:val="auto"/>
                <w:spacing w:val="-2"/>
                <w:sz w:val="24"/>
              </w:rPr>
              <w:t>，</w:t>
            </w:r>
            <w:r>
              <w:rPr>
                <w:rFonts w:hint="default" w:ascii="Times New Roman" w:hAnsi="Times New Roman" w:eastAsia="宋体" w:cs="Times New Roman"/>
                <w:color w:val="auto"/>
                <w:sz w:val="24"/>
                <w:lang w:val="en-US" w:eastAsia="zh-CN"/>
              </w:rPr>
              <w:t>和</w:t>
            </w:r>
            <w:r>
              <w:rPr>
                <w:rFonts w:hint="default" w:ascii="Times New Roman" w:hAnsi="Times New Roman" w:eastAsia="宋体" w:cs="Times New Roman"/>
                <w:color w:val="auto"/>
                <w:sz w:val="24"/>
                <w:lang w:eastAsia="zh-CN"/>
              </w:rPr>
              <w:t>现有工程的</w:t>
            </w:r>
            <w:r>
              <w:rPr>
                <w:rFonts w:hint="eastAsia" w:ascii="Times New Roman" w:hAnsi="Times New Roman" w:eastAsia="宋体" w:cs="Times New Roman"/>
                <w:color w:val="auto"/>
                <w:sz w:val="24"/>
                <w:lang w:val="en-US" w:eastAsia="zh-CN"/>
              </w:rPr>
              <w:t>混合颗粒物</w:t>
            </w:r>
            <w:r>
              <w:rPr>
                <w:rFonts w:hint="default" w:ascii="Times New Roman" w:hAnsi="Times New Roman" w:eastAsia="宋体" w:cs="Times New Roman"/>
                <w:color w:val="auto"/>
                <w:sz w:val="24"/>
                <w:lang w:val="en-US" w:eastAsia="zh-CN"/>
              </w:rPr>
              <w:t>一同汇入布袋除尘器处理，处理后尾气通过一个15m高排气筒（DA001）排放</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eastAsia="zh-CN"/>
              </w:rPr>
              <w:t>混合工序</w:t>
            </w:r>
            <w:r>
              <w:rPr>
                <w:rFonts w:hint="eastAsia" w:cs="Times New Roman"/>
                <w:b w:val="0"/>
                <w:bCs w:val="0"/>
                <w:color w:val="auto"/>
                <w:spacing w:val="-2"/>
                <w:sz w:val="24"/>
                <w:szCs w:val="24"/>
                <w:highlight w:val="none"/>
                <w:lang w:val="en-US" w:eastAsia="zh-CN"/>
              </w:rPr>
              <w:t>原有风机风量为</w:t>
            </w:r>
            <w:r>
              <w:rPr>
                <w:rFonts w:hint="eastAsia" w:cs="Times New Roman"/>
                <w:color w:val="auto"/>
                <w:sz w:val="24"/>
                <w:lang w:val="en-US" w:eastAsia="zh-CN"/>
              </w:rPr>
              <w:t>3</w:t>
            </w:r>
            <w:r>
              <w:rPr>
                <w:rFonts w:hint="default" w:ascii="Times New Roman" w:hAnsi="Times New Roman" w:eastAsia="宋体" w:cs="Times New Roman"/>
                <w:color w:val="auto"/>
                <w:sz w:val="24"/>
                <w:lang w:val="en-US" w:eastAsia="zh-CN"/>
              </w:rPr>
              <w:t>000</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/h</w:t>
            </w:r>
            <w:r>
              <w:rPr>
                <w:rFonts w:hint="default" w:ascii="Times New Roman" w:hAnsi="Times New Roman" w:eastAsia="宋体" w:cs="Times New Roman"/>
                <w:color w:val="auto"/>
                <w:sz w:val="24"/>
                <w:lang w:eastAsia="zh-CN"/>
              </w:rPr>
              <w:t>，</w:t>
            </w:r>
            <w:r>
              <w:rPr>
                <w:rFonts w:hint="eastAsia" w:ascii="Times New Roman" w:hAnsi="Times New Roman" w:eastAsia="宋体" w:cs="Times New Roman"/>
                <w:color w:val="auto"/>
                <w:spacing w:val="-2"/>
                <w:sz w:val="24"/>
                <w:lang w:eastAsia="zh-CN"/>
              </w:rPr>
              <w:t>颗粒物</w:t>
            </w:r>
            <w:r>
              <w:rPr>
                <w:rFonts w:hint="default" w:ascii="Times New Roman" w:hAnsi="Times New Roman" w:eastAsia="宋体" w:cs="Times New Roman"/>
                <w:color w:val="auto"/>
                <w:spacing w:val="-2"/>
                <w:sz w:val="24"/>
              </w:rPr>
              <w:t>的集气效率取</w:t>
            </w:r>
            <w:r>
              <w:rPr>
                <w:rFonts w:hint="default" w:ascii="Times New Roman" w:hAnsi="Times New Roman" w:eastAsia="宋体" w:cs="Times New Roman"/>
                <w:color w:val="auto"/>
                <w:spacing w:val="-2"/>
                <w:sz w:val="24"/>
                <w:lang w:val="en-US" w:eastAsia="zh-CN"/>
              </w:rPr>
              <w:t>90</w:t>
            </w:r>
            <w:r>
              <w:rPr>
                <w:rFonts w:hint="default" w:ascii="Times New Roman" w:hAnsi="Times New Roman" w:eastAsia="宋体" w:cs="Times New Roman"/>
                <w:color w:val="auto"/>
                <w:spacing w:val="-2"/>
                <w:sz w:val="24"/>
              </w:rPr>
              <w:t>%。</w:t>
            </w:r>
            <w:r>
              <w:rPr>
                <w:rFonts w:hint="default" w:ascii="Times New Roman" w:hAnsi="Times New Roman" w:eastAsia="宋体" w:cs="Times New Roman"/>
                <w:color w:val="auto"/>
                <w:sz w:val="24"/>
              </w:rPr>
              <w:t>布袋除尘器处理效率取</w:t>
            </w:r>
            <w:r>
              <w:rPr>
                <w:rFonts w:hint="default" w:ascii="Times New Roman" w:hAnsi="Times New Roman" w:eastAsia="宋体" w:cs="Times New Roman"/>
                <w:color w:val="auto"/>
                <w:sz w:val="24"/>
                <w:lang w:val="en-US" w:eastAsia="zh-CN"/>
              </w:rPr>
              <w:t>95</w:t>
            </w:r>
            <w:r>
              <w:rPr>
                <w:rFonts w:hint="default" w:ascii="Times New Roman" w:hAnsi="Times New Roman" w:eastAsia="宋体" w:cs="Times New Roman"/>
                <w:color w:val="auto"/>
                <w:sz w:val="24"/>
              </w:rPr>
              <w:t>%。</w:t>
            </w:r>
          </w:p>
          <w:p w14:paraId="270F0AB5">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则</w:t>
            </w:r>
            <w:r>
              <w:rPr>
                <w:rFonts w:hint="default" w:ascii="Times New Roman" w:hAnsi="Times New Roman" w:eastAsia="宋体" w:cs="Times New Roman"/>
                <w:b w:val="0"/>
                <w:bCs w:val="0"/>
                <w:snapToGrid w:val="0"/>
                <w:color w:val="auto"/>
                <w:kern w:val="2"/>
                <w:sz w:val="24"/>
                <w:szCs w:val="24"/>
                <w:lang w:val="en-US" w:eastAsia="zh-CN"/>
              </w:rPr>
              <w:t>扩建</w:t>
            </w:r>
            <w:r>
              <w:rPr>
                <w:rFonts w:hint="eastAsia" w:cs="Times New Roman"/>
                <w:b w:val="0"/>
                <w:bCs w:val="0"/>
                <w:snapToGrid w:val="0"/>
                <w:color w:val="auto"/>
                <w:kern w:val="2"/>
                <w:sz w:val="24"/>
                <w:szCs w:val="24"/>
                <w:lang w:val="en-US" w:eastAsia="zh-CN"/>
              </w:rPr>
              <w:t>工程</w:t>
            </w:r>
            <w:r>
              <w:rPr>
                <w:rFonts w:hint="eastAsia" w:ascii="Times New Roman" w:hAnsi="Times New Roman" w:eastAsia="宋体" w:cs="Times New Roman"/>
                <w:color w:val="auto"/>
                <w:sz w:val="24"/>
                <w:lang w:eastAsia="zh-CN"/>
              </w:rPr>
              <w:t>混合工序颗粒物</w:t>
            </w:r>
            <w:r>
              <w:rPr>
                <w:rFonts w:hint="default" w:ascii="Times New Roman" w:hAnsi="Times New Roman" w:eastAsia="宋体" w:cs="Times New Roman"/>
                <w:color w:val="auto"/>
                <w:sz w:val="24"/>
              </w:rPr>
              <w:t>有组织产生量约为</w:t>
            </w:r>
            <w:r>
              <w:rPr>
                <w:rFonts w:hint="eastAsia" w:cs="Times New Roman"/>
                <w:color w:val="auto"/>
                <w:sz w:val="24"/>
                <w:lang w:val="en-US" w:eastAsia="zh-CN"/>
              </w:rPr>
              <w:t>0.306</w:t>
            </w:r>
            <w:r>
              <w:rPr>
                <w:rFonts w:hint="default" w:ascii="Times New Roman" w:hAnsi="Times New Roman" w:eastAsia="宋体" w:cs="Times New Roman"/>
                <w:color w:val="auto"/>
                <w:sz w:val="24"/>
                <w:lang w:val="en-US" w:eastAsia="zh-CN"/>
              </w:rPr>
              <w:t>t</w:t>
            </w:r>
            <w:r>
              <w:rPr>
                <w:rFonts w:hint="default" w:ascii="Times New Roman" w:hAnsi="Times New Roman" w:eastAsia="宋体" w:cs="Times New Roman"/>
                <w:color w:val="auto"/>
                <w:sz w:val="24"/>
              </w:rPr>
              <w:t>/a，有组织产生浓度约为</w:t>
            </w:r>
            <w:r>
              <w:rPr>
                <w:rFonts w:hint="eastAsia" w:cs="Times New Roman"/>
                <w:color w:val="auto"/>
                <w:sz w:val="24"/>
                <w:lang w:val="en-US" w:eastAsia="zh-CN"/>
              </w:rPr>
              <w:t>21.25</w:t>
            </w:r>
            <w:r>
              <w:rPr>
                <w:rFonts w:hint="default" w:ascii="Times New Roman" w:hAnsi="Times New Roman" w:eastAsia="宋体" w:cs="Times New Roman"/>
                <w:color w:val="auto"/>
                <w:sz w:val="24"/>
              </w:rPr>
              <w:t>mg/m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，经布袋除尘器处理后排放量约为</w:t>
            </w:r>
            <w:r>
              <w:rPr>
                <w:rFonts w:hint="eastAsia" w:ascii="Times New Roman" w:hAnsi="Times New Roman" w:eastAsia="宋体" w:cs="Times New Roman"/>
                <w:color w:val="auto"/>
                <w:sz w:val="24"/>
                <w:lang w:val="en-US" w:eastAsia="zh-CN"/>
              </w:rPr>
              <w:t>0.0</w:t>
            </w:r>
            <w:r>
              <w:rPr>
                <w:rFonts w:hint="eastAsia" w:cs="Times New Roman"/>
                <w:color w:val="auto"/>
                <w:sz w:val="24"/>
                <w:lang w:val="en-US" w:eastAsia="zh-CN"/>
              </w:rPr>
              <w:t>15</w:t>
            </w:r>
            <w:r>
              <w:rPr>
                <w:rFonts w:hint="default" w:ascii="Times New Roman" w:hAnsi="Times New Roman" w:eastAsia="宋体" w:cs="Times New Roman"/>
                <w:color w:val="auto"/>
                <w:sz w:val="24"/>
              </w:rPr>
              <w:t>t/a，排放速率约为</w:t>
            </w:r>
            <w:r>
              <w:rPr>
                <w:rFonts w:hint="eastAsia" w:ascii="Times New Roman" w:hAnsi="Times New Roman" w:eastAsia="宋体" w:cs="Times New Roman"/>
                <w:color w:val="auto"/>
                <w:sz w:val="24"/>
                <w:lang w:val="en-US" w:eastAsia="zh-CN"/>
              </w:rPr>
              <w:t>0.00</w:t>
            </w:r>
            <w:r>
              <w:rPr>
                <w:rFonts w:hint="eastAsia" w:cs="Times New Roman"/>
                <w:color w:val="auto"/>
                <w:sz w:val="24"/>
                <w:lang w:val="en-US" w:eastAsia="zh-CN"/>
              </w:rPr>
              <w:t>32</w:t>
            </w:r>
            <w:r>
              <w:rPr>
                <w:rFonts w:hint="default" w:ascii="Times New Roman" w:hAnsi="Times New Roman" w:eastAsia="宋体" w:cs="Times New Roman"/>
                <w:color w:val="auto"/>
                <w:sz w:val="24"/>
              </w:rPr>
              <w:t>kg/h，排放的粉尘浓度约为</w:t>
            </w:r>
            <w:r>
              <w:rPr>
                <w:rFonts w:hint="eastAsia" w:ascii="Times New Roman" w:hAnsi="Times New Roman" w:eastAsia="宋体" w:cs="Times New Roman"/>
                <w:color w:val="auto"/>
                <w:sz w:val="24"/>
                <w:lang w:val="en-US" w:eastAsia="zh-CN"/>
              </w:rPr>
              <w:t>1.</w:t>
            </w:r>
            <w:r>
              <w:rPr>
                <w:rFonts w:hint="eastAsia" w:cs="Times New Roman"/>
                <w:color w:val="auto"/>
                <w:sz w:val="24"/>
                <w:lang w:val="en-US" w:eastAsia="zh-CN"/>
              </w:rPr>
              <w:t>06</w:t>
            </w:r>
            <w:r>
              <w:rPr>
                <w:rFonts w:hint="default" w:ascii="Times New Roman" w:hAnsi="Times New Roman" w:eastAsia="宋体" w:cs="Times New Roman"/>
                <w:color w:val="auto"/>
                <w:sz w:val="24"/>
              </w:rPr>
              <w:t>mg/m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w:t>
            </w:r>
          </w:p>
          <w:p w14:paraId="12AF5590">
            <w:pPr>
              <w:adjustRightInd w:val="0"/>
              <w:snapToGrid w:val="0"/>
              <w:spacing w:line="348"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eastAsia="宋体" w:cs="Times New Roman"/>
                <w:b w:val="0"/>
                <w:bCs w:val="0"/>
                <w:snapToGrid w:val="0"/>
                <w:color w:val="auto"/>
                <w:kern w:val="2"/>
                <w:sz w:val="24"/>
                <w:szCs w:val="24"/>
                <w:lang w:val="en-US" w:eastAsia="zh-CN"/>
              </w:rPr>
              <w:t>扩建</w:t>
            </w:r>
            <w:r>
              <w:rPr>
                <w:rFonts w:hint="eastAsia" w:cs="Times New Roman"/>
                <w:b w:val="0"/>
                <w:bCs w:val="0"/>
                <w:snapToGrid w:val="0"/>
                <w:color w:val="auto"/>
                <w:kern w:val="2"/>
                <w:sz w:val="24"/>
                <w:szCs w:val="24"/>
                <w:lang w:val="en-US" w:eastAsia="zh-CN"/>
              </w:rPr>
              <w:t>工程混合工序颗粒物</w:t>
            </w:r>
            <w:r>
              <w:rPr>
                <w:rFonts w:hint="default" w:ascii="Times New Roman" w:hAnsi="Times New Roman" w:eastAsia="宋体" w:cs="Times New Roman"/>
                <w:color w:val="auto"/>
                <w:sz w:val="24"/>
              </w:rPr>
              <w:t>无组织产生量约</w:t>
            </w:r>
            <w:r>
              <w:rPr>
                <w:rFonts w:hint="eastAsia" w:cs="Times New Roman"/>
                <w:color w:val="auto"/>
                <w:sz w:val="24"/>
                <w:lang w:val="en-US" w:eastAsia="zh-CN"/>
              </w:rPr>
              <w:t>0.034</w:t>
            </w:r>
            <w:r>
              <w:rPr>
                <w:rFonts w:hint="default" w:ascii="Times New Roman" w:hAnsi="Times New Roman" w:eastAsia="宋体" w:cs="Times New Roman"/>
                <w:color w:val="auto"/>
                <w:sz w:val="24"/>
              </w:rPr>
              <w:t>t/a。</w:t>
            </w:r>
          </w:p>
          <w:p w14:paraId="5294A08E">
            <w:pPr>
              <w:adjustRightInd w:val="0"/>
              <w:snapToGrid w:val="0"/>
              <w:spacing w:line="348" w:lineRule="auto"/>
              <w:ind w:firstLine="480" w:firstLineChars="200"/>
              <w:rPr>
                <w:rFonts w:hint="eastAsia"/>
                <w:color w:val="auto"/>
                <w:sz w:val="24"/>
                <w:lang w:eastAsia="zh-CN"/>
              </w:rPr>
            </w:pPr>
            <w:r>
              <w:rPr>
                <w:rFonts w:hint="default" w:ascii="Times New Roman" w:hAnsi="Times New Roman" w:eastAsia="宋体" w:cs="Times New Roman"/>
                <w:color w:val="auto"/>
                <w:sz w:val="24"/>
                <w:lang w:eastAsia="zh-CN"/>
              </w:rPr>
              <w:t>根据建设单位提供资料，</w:t>
            </w:r>
            <w:r>
              <w:rPr>
                <w:rFonts w:hint="default" w:ascii="Times New Roman" w:hAnsi="Times New Roman" w:eastAsia="宋体" w:cs="Times New Roman"/>
                <w:b w:val="0"/>
                <w:bCs w:val="0"/>
                <w:snapToGrid w:val="0"/>
                <w:color w:val="auto"/>
                <w:kern w:val="2"/>
                <w:sz w:val="24"/>
                <w:szCs w:val="24"/>
                <w:lang w:val="en-US" w:eastAsia="zh-CN"/>
              </w:rPr>
              <w:t>扩建</w:t>
            </w:r>
            <w:r>
              <w:rPr>
                <w:rFonts w:hint="eastAsia" w:cs="Times New Roman"/>
                <w:b w:val="0"/>
                <w:bCs w:val="0"/>
                <w:snapToGrid w:val="0"/>
                <w:color w:val="auto"/>
                <w:kern w:val="2"/>
                <w:sz w:val="24"/>
                <w:szCs w:val="24"/>
                <w:lang w:val="en-US" w:eastAsia="zh-CN"/>
              </w:rPr>
              <w:t>工程</w:t>
            </w:r>
            <w:r>
              <w:rPr>
                <w:rFonts w:hint="eastAsia" w:ascii="Times New Roman" w:hAnsi="Times New Roman" w:eastAsia="宋体" w:cs="Times New Roman"/>
                <w:color w:val="auto"/>
                <w:sz w:val="24"/>
                <w:lang w:eastAsia="zh-CN"/>
              </w:rPr>
              <w:t>混合工序颗粒物</w:t>
            </w:r>
            <w:r>
              <w:rPr>
                <w:rFonts w:hint="default" w:ascii="Times New Roman" w:hAnsi="Times New Roman" w:eastAsia="宋体" w:cs="Times New Roman"/>
                <w:color w:val="auto"/>
                <w:sz w:val="24"/>
                <w:lang w:val="en-US" w:eastAsia="zh-CN"/>
              </w:rPr>
              <w:t>经集气罩收集后和</w:t>
            </w:r>
            <w:r>
              <w:rPr>
                <w:rFonts w:hint="default" w:ascii="Times New Roman" w:hAnsi="Times New Roman" w:eastAsia="宋体" w:cs="Times New Roman"/>
                <w:color w:val="auto"/>
                <w:sz w:val="24"/>
                <w:lang w:eastAsia="zh-CN"/>
              </w:rPr>
              <w:t>现有工程</w:t>
            </w:r>
            <w:r>
              <w:rPr>
                <w:rFonts w:hint="eastAsia" w:ascii="Times New Roman" w:hAnsi="Times New Roman" w:eastAsia="宋体" w:cs="Times New Roman"/>
                <w:color w:val="auto"/>
                <w:sz w:val="24"/>
                <w:lang w:val="en-US" w:eastAsia="zh-CN"/>
              </w:rPr>
              <w:t>混合颗粒物</w:t>
            </w:r>
            <w:r>
              <w:rPr>
                <w:rFonts w:hint="default" w:ascii="Times New Roman" w:hAnsi="Times New Roman" w:eastAsia="宋体" w:cs="Times New Roman"/>
                <w:color w:val="auto"/>
                <w:sz w:val="24"/>
                <w:lang w:val="en-US" w:eastAsia="zh-CN"/>
              </w:rPr>
              <w:t>一同汇入布袋除尘器处理，处理后尾气通过一个15m高排气筒（DA001）排放</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eastAsia="zh-CN"/>
              </w:rPr>
              <w:t>混合工序</w:t>
            </w:r>
            <w:r>
              <w:rPr>
                <w:rFonts w:hint="default" w:ascii="Times New Roman" w:hAnsi="Times New Roman" w:eastAsia="宋体" w:cs="Times New Roman"/>
                <w:color w:val="auto"/>
                <w:sz w:val="24"/>
              </w:rPr>
              <w:t>风机风量</w:t>
            </w:r>
            <w:r>
              <w:rPr>
                <w:rFonts w:hint="eastAsia" w:cs="Times New Roman"/>
                <w:color w:val="auto"/>
                <w:sz w:val="24"/>
                <w:lang w:val="en-US" w:eastAsia="zh-CN"/>
              </w:rPr>
              <w:t>3</w:t>
            </w:r>
            <w:r>
              <w:rPr>
                <w:rFonts w:hint="eastAsia" w:ascii="Times New Roman" w:hAnsi="Times New Roman" w:eastAsia="宋体" w:cs="Times New Roman"/>
                <w:color w:val="auto"/>
                <w:sz w:val="24"/>
                <w:lang w:val="en-US" w:eastAsia="zh-CN"/>
              </w:rPr>
              <w:t>000</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/h</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pacing w:val="-2"/>
                <w:sz w:val="24"/>
              </w:rPr>
              <w:t>集气效率取</w:t>
            </w:r>
            <w:r>
              <w:rPr>
                <w:rFonts w:hint="default" w:ascii="Times New Roman" w:hAnsi="Times New Roman" w:eastAsia="宋体" w:cs="Times New Roman"/>
                <w:color w:val="auto"/>
                <w:spacing w:val="-2"/>
                <w:sz w:val="24"/>
                <w:lang w:val="en-US" w:eastAsia="zh-CN"/>
              </w:rPr>
              <w:t>90</w:t>
            </w:r>
            <w:r>
              <w:rPr>
                <w:rFonts w:hint="default" w:ascii="Times New Roman" w:hAnsi="Times New Roman" w:eastAsia="宋体" w:cs="Times New Roman"/>
                <w:color w:val="auto"/>
                <w:spacing w:val="-2"/>
                <w:sz w:val="24"/>
              </w:rPr>
              <w:t>%</w:t>
            </w:r>
            <w:r>
              <w:rPr>
                <w:rFonts w:hint="eastAsia" w:ascii="Times New Roman" w:hAnsi="Times New Roman" w:eastAsia="宋体" w:cs="Times New Roman"/>
                <w:color w:val="auto"/>
                <w:spacing w:val="-2"/>
                <w:sz w:val="24"/>
                <w:lang w:eastAsia="zh-CN"/>
              </w:rPr>
              <w:t>，</w:t>
            </w:r>
            <w:r>
              <w:rPr>
                <w:rFonts w:hint="default" w:ascii="Times New Roman" w:hAnsi="Times New Roman" w:eastAsia="宋体" w:cs="Times New Roman"/>
                <w:color w:val="auto"/>
                <w:sz w:val="24"/>
              </w:rPr>
              <w:t>布袋除尘器处理效率取</w:t>
            </w:r>
            <w:r>
              <w:rPr>
                <w:rFonts w:hint="default" w:ascii="Times New Roman" w:hAnsi="Times New Roman" w:eastAsia="宋体" w:cs="Times New Roman"/>
                <w:color w:val="auto"/>
                <w:sz w:val="24"/>
                <w:lang w:val="en-US" w:eastAsia="zh-CN"/>
              </w:rPr>
              <w:t>95</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根据上述分析，</w:t>
            </w:r>
            <w:r>
              <w:rPr>
                <w:rFonts w:hint="eastAsia" w:ascii="Times New Roman" w:hAnsi="Times New Roman" w:eastAsia="宋体" w:cs="Times New Roman"/>
                <w:b w:val="0"/>
                <w:bCs w:val="0"/>
                <w:snapToGrid w:val="0"/>
                <w:color w:val="auto"/>
                <w:kern w:val="2"/>
                <w:sz w:val="24"/>
                <w:szCs w:val="24"/>
                <w:lang w:val="en-US" w:eastAsia="zh-CN"/>
              </w:rPr>
              <w:t>全厂</w:t>
            </w:r>
            <w:r>
              <w:rPr>
                <w:rFonts w:hint="eastAsia" w:ascii="Times New Roman" w:hAnsi="Times New Roman" w:eastAsia="宋体" w:cs="Times New Roman"/>
                <w:color w:val="auto"/>
                <w:sz w:val="24"/>
                <w:lang w:eastAsia="zh-CN"/>
              </w:rPr>
              <w:t>混合</w:t>
            </w:r>
            <w:r>
              <w:rPr>
                <w:rFonts w:hint="default" w:ascii="Times New Roman" w:hAnsi="Times New Roman" w:eastAsia="宋体" w:cs="Times New Roman"/>
                <w:color w:val="auto"/>
                <w:sz w:val="24"/>
                <w:szCs w:val="24"/>
                <w:lang w:eastAsia="zh-CN"/>
              </w:rPr>
              <w:t>工序</w:t>
            </w:r>
            <w:r>
              <w:rPr>
                <w:rFonts w:hint="eastAsia" w:ascii="Times New Roman" w:hAnsi="Times New Roman" w:eastAsia="宋体" w:cs="Times New Roman"/>
                <w:b w:val="0"/>
                <w:bCs w:val="0"/>
                <w:snapToGrid w:val="0"/>
                <w:color w:val="auto"/>
                <w:kern w:val="2"/>
                <w:sz w:val="24"/>
                <w:szCs w:val="24"/>
                <w:lang w:val="en-US" w:eastAsia="zh-CN"/>
              </w:rPr>
              <w:t>颗粒物</w:t>
            </w:r>
            <w:r>
              <w:rPr>
                <w:rFonts w:hint="default" w:ascii="Times New Roman" w:hAnsi="Times New Roman" w:eastAsia="宋体" w:cs="Times New Roman"/>
                <w:b w:val="0"/>
                <w:bCs w:val="0"/>
                <w:snapToGrid w:val="0"/>
                <w:color w:val="auto"/>
                <w:kern w:val="2"/>
                <w:sz w:val="24"/>
                <w:szCs w:val="24"/>
                <w:lang w:val="en-US" w:eastAsia="zh-CN"/>
              </w:rPr>
              <w:t>产生</w:t>
            </w:r>
            <w:r>
              <w:rPr>
                <w:rFonts w:hint="eastAsia" w:ascii="Times New Roman" w:hAnsi="Times New Roman" w:eastAsia="宋体" w:cs="Times New Roman"/>
                <w:b w:val="0"/>
                <w:bCs w:val="0"/>
                <w:snapToGrid w:val="0"/>
                <w:color w:val="auto"/>
                <w:kern w:val="2"/>
                <w:sz w:val="24"/>
                <w:szCs w:val="24"/>
                <w:lang w:val="en-US" w:eastAsia="zh-CN"/>
              </w:rPr>
              <w:t>量</w:t>
            </w:r>
            <w:r>
              <w:rPr>
                <w:rFonts w:hint="default" w:ascii="Times New Roman" w:hAnsi="Times New Roman" w:eastAsia="宋体" w:cs="Times New Roman"/>
                <w:b w:val="0"/>
                <w:bCs w:val="0"/>
                <w:snapToGrid w:val="0"/>
                <w:color w:val="auto"/>
                <w:kern w:val="2"/>
                <w:sz w:val="24"/>
                <w:szCs w:val="24"/>
                <w:lang w:val="en-US" w:eastAsia="zh-CN"/>
              </w:rPr>
              <w:t>约为</w:t>
            </w:r>
            <w:r>
              <w:rPr>
                <w:rFonts w:hint="eastAsia" w:cs="Times New Roman"/>
                <w:b w:val="0"/>
                <w:bCs w:val="0"/>
                <w:snapToGrid w:val="0"/>
                <w:color w:val="auto"/>
                <w:kern w:val="2"/>
                <w:sz w:val="24"/>
                <w:szCs w:val="24"/>
                <w:lang w:val="en-US" w:eastAsia="zh-CN"/>
              </w:rPr>
              <w:t>0.68</w:t>
            </w:r>
            <w:r>
              <w:rPr>
                <w:rFonts w:hint="default" w:ascii="Times New Roman" w:hAnsi="Times New Roman" w:eastAsia="宋体" w:cs="Times New Roman"/>
                <w:b w:val="0"/>
                <w:bCs w:val="0"/>
                <w:snapToGrid w:val="0"/>
                <w:color w:val="auto"/>
                <w:kern w:val="2"/>
                <w:sz w:val="24"/>
                <w:szCs w:val="24"/>
                <w:lang w:val="en-US" w:eastAsia="zh-CN"/>
              </w:rPr>
              <w:t>t/a</w:t>
            </w:r>
            <w:r>
              <w:rPr>
                <w:rFonts w:hint="eastAsia" w:ascii="Times New Roman" w:hAnsi="Times New Roman" w:eastAsia="宋体" w:cs="Times New Roman"/>
                <w:b w:val="0"/>
                <w:bCs w:val="0"/>
                <w:snapToGrid w:val="0"/>
                <w:color w:val="auto"/>
                <w:kern w:val="2"/>
                <w:sz w:val="24"/>
                <w:szCs w:val="24"/>
                <w:lang w:val="en-US" w:eastAsia="zh-CN"/>
              </w:rPr>
              <w:t>，</w:t>
            </w:r>
            <w:r>
              <w:rPr>
                <w:rFonts w:hint="default" w:ascii="Times New Roman" w:hAnsi="Times New Roman" w:eastAsia="宋体" w:cs="Times New Roman"/>
                <w:color w:val="auto"/>
                <w:sz w:val="24"/>
              </w:rPr>
              <w:t>则</w:t>
            </w:r>
            <w:r>
              <w:rPr>
                <w:rFonts w:hint="eastAsia" w:ascii="Times New Roman" w:hAnsi="Times New Roman" w:eastAsia="宋体" w:cs="Times New Roman"/>
                <w:color w:val="auto"/>
                <w:sz w:val="24"/>
                <w:lang w:eastAsia="zh-CN"/>
              </w:rPr>
              <w:t>混合工序颗粒物</w:t>
            </w:r>
            <w:r>
              <w:rPr>
                <w:rFonts w:hint="default" w:ascii="Times New Roman" w:hAnsi="Times New Roman" w:eastAsia="宋体" w:cs="Times New Roman"/>
                <w:color w:val="auto"/>
                <w:sz w:val="24"/>
              </w:rPr>
              <w:t>有组织产生量约为</w:t>
            </w:r>
            <w:r>
              <w:rPr>
                <w:rFonts w:hint="eastAsia" w:cs="Times New Roman"/>
                <w:color w:val="auto"/>
                <w:sz w:val="24"/>
                <w:lang w:val="en-US" w:eastAsia="zh-CN"/>
              </w:rPr>
              <w:t>0.612</w:t>
            </w:r>
            <w:r>
              <w:rPr>
                <w:rFonts w:hint="default" w:ascii="Times New Roman" w:hAnsi="Times New Roman" w:eastAsia="宋体" w:cs="Times New Roman"/>
                <w:color w:val="auto"/>
                <w:sz w:val="24"/>
                <w:lang w:val="en-US" w:eastAsia="zh-CN"/>
              </w:rPr>
              <w:t>t</w:t>
            </w:r>
            <w:r>
              <w:rPr>
                <w:rFonts w:hint="default" w:ascii="Times New Roman" w:hAnsi="Times New Roman" w:eastAsia="宋体" w:cs="Times New Roman"/>
                <w:color w:val="auto"/>
                <w:sz w:val="24"/>
              </w:rPr>
              <w:t>/a，有组织产生浓度约为</w:t>
            </w:r>
            <w:r>
              <w:rPr>
                <w:rFonts w:hint="eastAsia" w:cs="Times New Roman"/>
                <w:color w:val="auto"/>
                <w:sz w:val="24"/>
                <w:lang w:val="en-US" w:eastAsia="zh-CN"/>
              </w:rPr>
              <w:t>42.5</w:t>
            </w:r>
            <w:r>
              <w:rPr>
                <w:rFonts w:hint="default" w:ascii="Times New Roman" w:hAnsi="Times New Roman" w:eastAsia="宋体" w:cs="Times New Roman"/>
                <w:color w:val="auto"/>
                <w:sz w:val="24"/>
              </w:rPr>
              <w:t>mg/m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，经布袋除尘器处理后</w:t>
            </w:r>
            <w:r>
              <w:rPr>
                <w:rFonts w:hint="eastAsia" w:ascii="Times New Roman" w:hAnsi="Times New Roman" w:eastAsia="宋体" w:cs="Times New Roman"/>
                <w:color w:val="auto"/>
                <w:sz w:val="24"/>
                <w:lang w:eastAsia="zh-CN"/>
              </w:rPr>
              <w:t>混合工序颗粒物</w:t>
            </w:r>
            <w:r>
              <w:rPr>
                <w:rFonts w:hint="default" w:ascii="Times New Roman" w:hAnsi="Times New Roman" w:eastAsia="宋体" w:cs="Times New Roman"/>
                <w:color w:val="auto"/>
                <w:sz w:val="24"/>
                <w:lang w:eastAsia="zh-CN"/>
              </w:rPr>
              <w:t>有组织</w:t>
            </w:r>
            <w:r>
              <w:rPr>
                <w:rFonts w:hint="default" w:ascii="Times New Roman" w:hAnsi="Times New Roman" w:eastAsia="宋体" w:cs="Times New Roman"/>
                <w:color w:val="auto"/>
                <w:sz w:val="24"/>
              </w:rPr>
              <w:t>排放量约为</w:t>
            </w:r>
            <w:r>
              <w:rPr>
                <w:rFonts w:hint="eastAsia" w:cs="Times New Roman"/>
                <w:color w:val="auto"/>
                <w:sz w:val="24"/>
                <w:lang w:val="en-US" w:eastAsia="zh-CN"/>
              </w:rPr>
              <w:t>0.031</w:t>
            </w:r>
            <w:r>
              <w:rPr>
                <w:rFonts w:hint="default" w:ascii="Times New Roman" w:hAnsi="Times New Roman" w:eastAsia="宋体" w:cs="Times New Roman"/>
                <w:color w:val="auto"/>
                <w:sz w:val="24"/>
              </w:rPr>
              <w:t>t/a，排放速率约为</w:t>
            </w:r>
            <w:r>
              <w:rPr>
                <w:rFonts w:hint="eastAsia" w:ascii="Times New Roman" w:hAnsi="Times New Roman" w:eastAsia="宋体" w:cs="Times New Roman"/>
                <w:color w:val="auto"/>
                <w:sz w:val="24"/>
                <w:lang w:val="en-US" w:eastAsia="zh-CN"/>
              </w:rPr>
              <w:t>0.0</w:t>
            </w:r>
            <w:r>
              <w:rPr>
                <w:rFonts w:hint="eastAsia" w:cs="Times New Roman"/>
                <w:color w:val="auto"/>
                <w:sz w:val="24"/>
                <w:lang w:val="en-US" w:eastAsia="zh-CN"/>
              </w:rPr>
              <w:t>064</w:t>
            </w:r>
            <w:r>
              <w:rPr>
                <w:rFonts w:hint="default" w:ascii="Times New Roman" w:hAnsi="Times New Roman" w:eastAsia="宋体" w:cs="Times New Roman"/>
                <w:color w:val="auto"/>
                <w:sz w:val="24"/>
              </w:rPr>
              <w:t>kg/h，排放浓度约为</w:t>
            </w:r>
            <w:r>
              <w:rPr>
                <w:rFonts w:hint="eastAsia" w:cs="Times New Roman"/>
                <w:color w:val="auto"/>
                <w:sz w:val="24"/>
                <w:lang w:val="en-US" w:eastAsia="zh-CN"/>
              </w:rPr>
              <w:t>2.13</w:t>
            </w:r>
            <w:r>
              <w:rPr>
                <w:rFonts w:hint="default" w:ascii="Times New Roman" w:hAnsi="Times New Roman" w:eastAsia="宋体" w:cs="Times New Roman"/>
                <w:color w:val="auto"/>
                <w:sz w:val="24"/>
              </w:rPr>
              <w:t>mg/m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w:t>
            </w:r>
          </w:p>
          <w:p w14:paraId="73387019">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left"/>
              <w:textAlignment w:val="auto"/>
              <w:rPr>
                <w:rFonts w:hint="eastAsia" w:ascii="Times New Roman" w:hAnsi="Times New Roman" w:eastAsia="宋体" w:cs="Times New Roman"/>
                <w:b w:val="0"/>
                <w:bCs w:val="0"/>
                <w:snapToGrid w:val="0"/>
                <w:color w:val="auto"/>
                <w:kern w:val="2"/>
                <w:sz w:val="24"/>
                <w:szCs w:val="24"/>
                <w:lang w:val="en-US" w:eastAsia="zh-CN"/>
              </w:rPr>
            </w:pPr>
            <w:r>
              <w:rPr>
                <w:rFonts w:hint="default" w:ascii="Times New Roman" w:hAnsi="Times New Roman" w:eastAsia="宋体" w:cs="Times New Roman"/>
                <w:color w:val="auto"/>
                <w:sz w:val="24"/>
                <w:lang w:eastAsia="zh-CN"/>
              </w:rPr>
              <w:t>全厂</w:t>
            </w:r>
            <w:r>
              <w:rPr>
                <w:rFonts w:hint="eastAsia" w:cs="Times New Roman"/>
                <w:b w:val="0"/>
                <w:bCs w:val="0"/>
                <w:snapToGrid w:val="0"/>
                <w:color w:val="auto"/>
                <w:kern w:val="2"/>
                <w:sz w:val="24"/>
                <w:szCs w:val="24"/>
                <w:lang w:val="en-US" w:eastAsia="zh-CN"/>
              </w:rPr>
              <w:t>混合工序颗粒物</w:t>
            </w:r>
            <w:r>
              <w:rPr>
                <w:rFonts w:hint="default" w:ascii="Times New Roman" w:hAnsi="Times New Roman" w:eastAsia="宋体" w:cs="Times New Roman"/>
                <w:color w:val="auto"/>
                <w:sz w:val="24"/>
              </w:rPr>
              <w:t>无组织</w:t>
            </w:r>
            <w:r>
              <w:rPr>
                <w:rFonts w:hint="eastAsia" w:cs="Times New Roman"/>
                <w:color w:val="auto"/>
                <w:sz w:val="24"/>
                <w:lang w:eastAsia="zh-CN"/>
              </w:rPr>
              <w:t>产生量</w:t>
            </w:r>
            <w:r>
              <w:rPr>
                <w:rFonts w:hint="default" w:ascii="Times New Roman" w:hAnsi="Times New Roman" w:eastAsia="宋体" w:cs="Times New Roman"/>
                <w:color w:val="auto"/>
                <w:sz w:val="24"/>
              </w:rPr>
              <w:t>约</w:t>
            </w:r>
            <w:r>
              <w:rPr>
                <w:rFonts w:hint="eastAsia" w:cs="Times New Roman"/>
                <w:color w:val="auto"/>
                <w:sz w:val="24"/>
                <w:lang w:val="en-US" w:eastAsia="zh-CN"/>
              </w:rPr>
              <w:t>0.068</w:t>
            </w:r>
            <w:r>
              <w:rPr>
                <w:rFonts w:hint="default" w:ascii="Times New Roman" w:hAnsi="Times New Roman" w:eastAsia="宋体" w:cs="Times New Roman"/>
                <w:color w:val="auto"/>
                <w:sz w:val="24"/>
              </w:rPr>
              <w:t>t/a。</w:t>
            </w:r>
            <w:r>
              <w:rPr>
                <w:rFonts w:hint="eastAsia" w:cs="Times New Roman"/>
                <w:color w:val="auto"/>
                <w:spacing w:val="0"/>
                <w:w w:val="100"/>
                <w:kern w:val="0"/>
                <w:position w:val="0"/>
                <w:sz w:val="24"/>
                <w:highlight w:val="none"/>
                <w:lang w:val="en-US" w:eastAsia="zh-CN"/>
              </w:rPr>
              <w:t>根据</w:t>
            </w:r>
            <w:r>
              <w:rPr>
                <w:rFonts w:hint="default" w:ascii="Times New Roman" w:hAnsi="Times New Roman" w:eastAsia="宋体" w:cs="Times New Roman"/>
                <w:color w:val="auto"/>
                <w:spacing w:val="0"/>
                <w:w w:val="100"/>
                <w:kern w:val="0"/>
                <w:position w:val="0"/>
                <w:sz w:val="24"/>
                <w:highlight w:val="none"/>
                <w:lang w:val="en-US"/>
              </w:rPr>
              <w:t>《环保工作者使用手册》（第二版）</w:t>
            </w:r>
            <w:r>
              <w:rPr>
                <w:rFonts w:hint="eastAsia" w:cs="Times New Roman"/>
                <w:color w:val="auto"/>
                <w:spacing w:val="0"/>
                <w:w w:val="100"/>
                <w:kern w:val="0"/>
                <w:position w:val="0"/>
                <w:sz w:val="24"/>
                <w:highlight w:val="none"/>
                <w:lang w:val="en-US" w:eastAsia="zh-CN"/>
              </w:rPr>
              <w:t>，</w:t>
            </w:r>
            <w:r>
              <w:rPr>
                <w:rFonts w:hint="default" w:ascii="Times New Roman" w:hAnsi="Times New Roman" w:eastAsia="宋体" w:cs="Times New Roman"/>
                <w:color w:val="auto"/>
                <w:spacing w:val="0"/>
                <w:w w:val="100"/>
                <w:kern w:val="0"/>
                <w:position w:val="0"/>
                <w:sz w:val="24"/>
                <w:highlight w:val="none"/>
                <w:lang w:val="en-US"/>
              </w:rPr>
              <w:t>悬浮颗粒物粒径范围在1</w:t>
            </w:r>
            <w:r>
              <w:rPr>
                <w:rFonts w:hint="eastAsia" w:ascii="Times New Roman" w:hAnsi="Times New Roman" w:eastAsia="宋体" w:cs="Times New Roman"/>
                <w:color w:val="auto"/>
                <w:spacing w:val="0"/>
                <w:w w:val="100"/>
                <w:kern w:val="0"/>
                <w:position w:val="0"/>
                <w:sz w:val="24"/>
                <w:highlight w:val="none"/>
                <w:lang w:val="en-US" w:eastAsia="zh-CN"/>
              </w:rPr>
              <w:t xml:space="preserve"> </w:t>
            </w:r>
            <w:r>
              <w:rPr>
                <w:rFonts w:hint="default" w:ascii="Times New Roman" w:hAnsi="Times New Roman" w:eastAsia="宋体" w:cs="Times New Roman"/>
                <w:color w:val="auto"/>
                <w:spacing w:val="0"/>
                <w:w w:val="100"/>
                <w:kern w:val="0"/>
                <w:position w:val="0"/>
                <w:sz w:val="24"/>
                <w:highlight w:val="none"/>
                <w:lang w:val="en-US"/>
              </w:rPr>
              <w:t>-</w:t>
            </w:r>
            <w:r>
              <w:rPr>
                <w:rFonts w:hint="eastAsia" w:ascii="Times New Roman" w:hAnsi="Times New Roman" w:eastAsia="宋体" w:cs="Times New Roman"/>
                <w:color w:val="auto"/>
                <w:spacing w:val="0"/>
                <w:w w:val="100"/>
                <w:kern w:val="0"/>
                <w:position w:val="0"/>
                <w:sz w:val="24"/>
                <w:highlight w:val="none"/>
                <w:lang w:val="en-US" w:eastAsia="zh-CN"/>
              </w:rPr>
              <w:t xml:space="preserve"> </w:t>
            </w:r>
            <w:r>
              <w:rPr>
                <w:rFonts w:hint="default" w:ascii="Times New Roman" w:hAnsi="Times New Roman" w:eastAsia="宋体" w:cs="Times New Roman"/>
                <w:color w:val="auto"/>
                <w:spacing w:val="0"/>
                <w:w w:val="100"/>
                <w:kern w:val="0"/>
                <w:position w:val="0"/>
                <w:sz w:val="24"/>
                <w:highlight w:val="none"/>
                <w:lang w:val="en-US"/>
              </w:rPr>
              <w:t>200μm之间，大于100μm的颗粒会很快沉降。</w:t>
            </w:r>
            <w:r>
              <w:rPr>
                <w:rFonts w:hint="default" w:ascii="Times New Roman" w:hAnsi="Times New Roman" w:eastAsia="宋体" w:cs="Times New Roman"/>
                <w:color w:val="auto"/>
                <w:sz w:val="24"/>
                <w:szCs w:val="24"/>
                <w:lang w:val="en-US" w:eastAsia="zh-CN"/>
              </w:rPr>
              <w:t>经查阅相关资料，密封性好的厂房沉降率为</w:t>
            </w:r>
            <w:r>
              <w:rPr>
                <w:rFonts w:hint="eastAsia" w:ascii="Times New Roman" w:hAnsi="Times New Roman" w:eastAsia="宋体" w:cs="Times New Roman"/>
                <w:color w:val="auto"/>
                <w:sz w:val="24"/>
                <w:szCs w:val="24"/>
                <w:lang w:val="en-US" w:eastAsia="zh-CN"/>
              </w:rPr>
              <w:t>60</w:t>
            </w:r>
            <w:r>
              <w:rPr>
                <w:rFonts w:hint="default" w:ascii="Times New Roman" w:hAnsi="Times New Roman" w:eastAsia="宋体" w:cs="Times New Roman"/>
                <w:color w:val="auto"/>
                <w:sz w:val="24"/>
                <w:szCs w:val="24"/>
                <w:lang w:val="en-US" w:eastAsia="zh-CN"/>
              </w:rPr>
              <w:t>-</w:t>
            </w:r>
            <w:r>
              <w:rPr>
                <w:rFonts w:hint="eastAsia" w:eastAsia="宋体" w:cs="Times New Roman"/>
                <w:color w:val="auto"/>
                <w:sz w:val="24"/>
                <w:szCs w:val="24"/>
                <w:lang w:val="en-US" w:eastAsia="zh-CN"/>
              </w:rPr>
              <w:t>8</w:t>
            </w:r>
            <w:r>
              <w:rPr>
                <w:rFonts w:hint="eastAsia"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lang w:val="en-US" w:eastAsia="zh-CN"/>
              </w:rPr>
              <w:t>%，本项目为钢结构厂房，密闭性较好，沉降率按</w:t>
            </w:r>
            <w:r>
              <w:rPr>
                <w:rFonts w:hint="eastAsia" w:eastAsia="宋体" w:cs="Times New Roman"/>
                <w:color w:val="auto"/>
                <w:sz w:val="24"/>
                <w:szCs w:val="24"/>
                <w:lang w:val="en-US" w:eastAsia="zh-CN"/>
              </w:rPr>
              <w:t>8</w:t>
            </w:r>
            <w:r>
              <w:rPr>
                <w:rFonts w:hint="eastAsia"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lang w:val="en-US" w:eastAsia="zh-CN"/>
              </w:rPr>
              <w:t>%计</w:t>
            </w:r>
            <w:r>
              <w:rPr>
                <w:rFonts w:hint="eastAsia" w:ascii="Times New Roman" w:hAnsi="Times New Roman" w:eastAsia="宋体" w:cs="Times New Roman"/>
                <w:color w:val="auto"/>
                <w:spacing w:val="0"/>
                <w:w w:val="100"/>
                <w:kern w:val="0"/>
                <w:position w:val="0"/>
                <w:sz w:val="24"/>
                <w:highlight w:val="none"/>
                <w:lang w:val="en-US" w:eastAsia="zh-CN"/>
              </w:rPr>
              <w:t>，则</w:t>
            </w:r>
            <w:r>
              <w:rPr>
                <w:rFonts w:hint="eastAsia" w:cs="Times New Roman"/>
                <w:color w:val="auto"/>
                <w:sz w:val="24"/>
                <w:szCs w:val="24"/>
                <w:lang w:val="en-US" w:eastAsia="zh-CN"/>
              </w:rPr>
              <w:t>颗粒物</w:t>
            </w:r>
            <w:r>
              <w:rPr>
                <w:rFonts w:hint="default" w:ascii="Times New Roman" w:hAnsi="Times New Roman" w:eastAsia="宋体" w:cs="Times New Roman"/>
                <w:color w:val="auto"/>
                <w:sz w:val="24"/>
              </w:rPr>
              <w:t>无组织</w:t>
            </w:r>
            <w:r>
              <w:rPr>
                <w:rFonts w:hint="eastAsia" w:cs="Times New Roman"/>
                <w:color w:val="auto"/>
                <w:sz w:val="24"/>
                <w:lang w:eastAsia="zh-CN"/>
              </w:rPr>
              <w:t>产生量</w:t>
            </w:r>
            <w:r>
              <w:rPr>
                <w:rFonts w:hint="default" w:ascii="Times New Roman" w:hAnsi="Times New Roman" w:eastAsia="宋体" w:cs="Times New Roman"/>
                <w:color w:val="auto"/>
                <w:sz w:val="24"/>
              </w:rPr>
              <w:t>约</w:t>
            </w:r>
            <w:r>
              <w:rPr>
                <w:rFonts w:hint="eastAsia" w:cs="Times New Roman"/>
                <w:color w:val="auto"/>
                <w:sz w:val="24"/>
                <w:lang w:val="en-US" w:eastAsia="zh-CN"/>
              </w:rPr>
              <w:t>0.014</w:t>
            </w:r>
            <w:r>
              <w:rPr>
                <w:rFonts w:hint="default" w:ascii="Times New Roman" w:hAnsi="Times New Roman" w:eastAsia="宋体" w:cs="Times New Roman"/>
                <w:color w:val="auto"/>
                <w:sz w:val="24"/>
              </w:rPr>
              <w:t>t/a。</w:t>
            </w:r>
          </w:p>
          <w:p w14:paraId="5CE3FFBE">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left"/>
              <w:textAlignment w:val="auto"/>
              <w:rPr>
                <w:rFonts w:hint="default" w:ascii="Times New Roman" w:hAnsi="Times New Roman" w:eastAsia="宋体" w:cs="Times New Roman"/>
                <w:b w:val="0"/>
                <w:bCs w:val="0"/>
                <w:snapToGrid w:val="0"/>
                <w:color w:val="auto"/>
                <w:kern w:val="2"/>
                <w:sz w:val="24"/>
                <w:szCs w:val="24"/>
                <w:lang w:val="en-US" w:eastAsia="zh-CN"/>
              </w:rPr>
            </w:pPr>
            <w:r>
              <w:rPr>
                <w:rFonts w:hint="eastAsia" w:cs="Times New Roman"/>
                <w:b w:val="0"/>
                <w:bCs w:val="0"/>
                <w:snapToGrid w:val="0"/>
                <w:color w:val="auto"/>
                <w:kern w:val="2"/>
                <w:sz w:val="24"/>
                <w:szCs w:val="24"/>
                <w:lang w:val="en-US" w:eastAsia="zh-CN"/>
              </w:rPr>
              <w:t>2）加热废气</w:t>
            </w:r>
          </w:p>
          <w:p w14:paraId="31623E1C">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left"/>
              <w:textAlignment w:val="auto"/>
              <w:rPr>
                <w:rFonts w:hint="default" w:ascii="Times New Roman" w:hAnsi="Times New Roman" w:eastAsia="宋体" w:cs="Times New Roman"/>
                <w:b w:val="0"/>
                <w:bCs w:val="0"/>
                <w:snapToGrid w:val="0"/>
                <w:color w:val="auto"/>
                <w:kern w:val="2"/>
                <w:sz w:val="24"/>
                <w:szCs w:val="24"/>
                <w:lang w:val="en-US" w:eastAsia="zh-CN"/>
              </w:rPr>
            </w:pPr>
            <w:r>
              <w:rPr>
                <w:rFonts w:hint="eastAsia"/>
                <w:color w:val="auto"/>
                <w:sz w:val="24"/>
                <w:lang w:eastAsia="zh-CN"/>
              </w:rPr>
              <w:t>扩建工程</w:t>
            </w:r>
            <w:r>
              <w:rPr>
                <w:rFonts w:hint="eastAsia" w:eastAsia="宋体" w:cs="Times New Roman"/>
                <w:color w:val="auto"/>
                <w:sz w:val="24"/>
                <w:szCs w:val="24"/>
                <w:lang w:eastAsia="zh-CN"/>
              </w:rPr>
              <w:t>钨合金渔坠年产能为</w:t>
            </w:r>
            <w:r>
              <w:rPr>
                <w:rFonts w:hint="eastAsia" w:ascii="Times New Roman" w:hAnsi="Times New Roman" w:eastAsia="宋体" w:cs="Times New Roman"/>
                <w:snapToGrid/>
                <w:color w:val="auto"/>
                <w:spacing w:val="0"/>
                <w:kern w:val="0"/>
                <w:position w:val="0"/>
                <w:sz w:val="24"/>
                <w:szCs w:val="24"/>
                <w:lang w:val="en-US" w:eastAsia="zh-CN"/>
              </w:rPr>
              <w:t>30</w:t>
            </w:r>
            <w:r>
              <w:rPr>
                <w:rFonts w:hint="default" w:ascii="Times New Roman" w:hAnsi="Times New Roman" w:eastAsia="宋体" w:cs="Times New Roman"/>
                <w:snapToGrid/>
                <w:color w:val="auto"/>
                <w:spacing w:val="0"/>
                <w:kern w:val="0"/>
                <w:position w:val="0"/>
                <w:sz w:val="24"/>
                <w:szCs w:val="24"/>
                <w:lang w:val="en-US" w:eastAsia="zh-CN"/>
              </w:rPr>
              <w:t>t</w:t>
            </w:r>
            <w:r>
              <w:rPr>
                <w:rFonts w:hint="eastAsia" w:ascii="Times New Roman" w:hAnsi="Times New Roman" w:eastAsia="宋体" w:cs="Times New Roman"/>
                <w:b w:val="0"/>
                <w:bCs w:val="0"/>
                <w:snapToGrid w:val="0"/>
                <w:color w:val="auto"/>
                <w:kern w:val="2"/>
                <w:sz w:val="24"/>
                <w:szCs w:val="24"/>
                <w:lang w:val="en-US" w:eastAsia="zh-CN"/>
              </w:rPr>
              <w:t>，类比得</w:t>
            </w:r>
            <w:r>
              <w:rPr>
                <w:rFonts w:hint="eastAsia"/>
                <w:color w:val="auto"/>
                <w:sz w:val="24"/>
                <w:lang w:eastAsia="zh-CN"/>
              </w:rPr>
              <w:t>扩建工程</w:t>
            </w:r>
            <w:r>
              <w:rPr>
                <w:rFonts w:hint="eastAsia" w:ascii="Times New Roman" w:hAnsi="Times New Roman" w:eastAsia="宋体" w:cs="Times New Roman"/>
                <w:b w:val="0"/>
                <w:bCs w:val="0"/>
                <w:snapToGrid w:val="0"/>
                <w:color w:val="auto"/>
                <w:kern w:val="2"/>
                <w:sz w:val="24"/>
                <w:szCs w:val="24"/>
                <w:lang w:val="en-US" w:eastAsia="zh-CN"/>
              </w:rPr>
              <w:t>加热工序挥发性有机物</w:t>
            </w:r>
            <w:r>
              <w:rPr>
                <w:rFonts w:hint="default" w:ascii="Times New Roman" w:hAnsi="Times New Roman" w:eastAsia="宋体" w:cs="Times New Roman"/>
                <w:b w:val="0"/>
                <w:bCs w:val="0"/>
                <w:snapToGrid w:val="0"/>
                <w:color w:val="auto"/>
                <w:kern w:val="2"/>
                <w:sz w:val="24"/>
                <w:szCs w:val="24"/>
                <w:lang w:val="en-US" w:eastAsia="zh-CN"/>
              </w:rPr>
              <w:t>产生</w:t>
            </w:r>
            <w:r>
              <w:rPr>
                <w:rFonts w:hint="eastAsia" w:ascii="Times New Roman" w:hAnsi="Times New Roman" w:eastAsia="宋体" w:cs="Times New Roman"/>
                <w:b w:val="0"/>
                <w:bCs w:val="0"/>
                <w:snapToGrid w:val="0"/>
                <w:color w:val="auto"/>
                <w:kern w:val="2"/>
                <w:sz w:val="24"/>
                <w:szCs w:val="24"/>
                <w:lang w:val="en-US" w:eastAsia="zh-CN"/>
              </w:rPr>
              <w:t>量</w:t>
            </w:r>
            <w:r>
              <w:rPr>
                <w:rFonts w:hint="default" w:ascii="Times New Roman" w:hAnsi="Times New Roman" w:eastAsia="宋体" w:cs="Times New Roman"/>
                <w:b w:val="0"/>
                <w:bCs w:val="0"/>
                <w:snapToGrid w:val="0"/>
                <w:color w:val="auto"/>
                <w:kern w:val="2"/>
                <w:sz w:val="24"/>
                <w:szCs w:val="24"/>
                <w:lang w:val="en-US" w:eastAsia="zh-CN"/>
              </w:rPr>
              <w:t>约为</w:t>
            </w:r>
            <w:r>
              <w:rPr>
                <w:rFonts w:hint="eastAsia" w:ascii="Times New Roman" w:hAnsi="Times New Roman" w:eastAsia="宋体" w:cs="Times New Roman"/>
                <w:b w:val="0"/>
                <w:bCs w:val="0"/>
                <w:snapToGrid w:val="0"/>
                <w:color w:val="auto"/>
                <w:kern w:val="2"/>
                <w:sz w:val="24"/>
                <w:szCs w:val="24"/>
                <w:lang w:val="en-US" w:eastAsia="zh-CN"/>
              </w:rPr>
              <w:t>0.0</w:t>
            </w:r>
            <w:r>
              <w:rPr>
                <w:rFonts w:hint="eastAsia" w:cs="Times New Roman"/>
                <w:b w:val="0"/>
                <w:bCs w:val="0"/>
                <w:snapToGrid w:val="0"/>
                <w:color w:val="auto"/>
                <w:kern w:val="2"/>
                <w:sz w:val="24"/>
                <w:szCs w:val="24"/>
                <w:lang w:val="en-US" w:eastAsia="zh-CN"/>
              </w:rPr>
              <w:t>29</w:t>
            </w:r>
            <w:r>
              <w:rPr>
                <w:rFonts w:hint="default" w:ascii="Times New Roman" w:hAnsi="Times New Roman" w:eastAsia="宋体" w:cs="Times New Roman"/>
                <w:b w:val="0"/>
                <w:bCs w:val="0"/>
                <w:snapToGrid w:val="0"/>
                <w:color w:val="auto"/>
                <w:kern w:val="2"/>
                <w:sz w:val="24"/>
                <w:szCs w:val="24"/>
                <w:lang w:val="en-US" w:eastAsia="zh-CN"/>
              </w:rPr>
              <w:t>t/a</w:t>
            </w:r>
            <w:r>
              <w:rPr>
                <w:rFonts w:hint="eastAsia" w:ascii="Times New Roman" w:hAnsi="Times New Roman" w:eastAsia="宋体" w:cs="Times New Roman"/>
                <w:b w:val="0"/>
                <w:bCs w:val="0"/>
                <w:snapToGrid w:val="0"/>
                <w:color w:val="auto"/>
                <w:kern w:val="2"/>
                <w:sz w:val="24"/>
                <w:szCs w:val="24"/>
                <w:lang w:val="en-US" w:eastAsia="zh-CN"/>
              </w:rPr>
              <w:t>。</w:t>
            </w:r>
          </w:p>
          <w:p w14:paraId="3D50D1B7">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left"/>
              <w:textAlignment w:val="auto"/>
              <w:rPr>
                <w:rFonts w:hint="default" w:ascii="Times New Roman" w:hAnsi="Times New Roman" w:eastAsia="宋体" w:cs="Times New Roman"/>
                <w:b w:val="0"/>
                <w:bCs w:val="0"/>
                <w:snapToGrid w:val="0"/>
                <w:color w:val="auto"/>
                <w:kern w:val="2"/>
                <w:sz w:val="24"/>
                <w:szCs w:val="24"/>
                <w:lang w:val="en-US" w:eastAsia="zh-CN"/>
              </w:rPr>
            </w:pPr>
            <w:r>
              <w:rPr>
                <w:rFonts w:hint="default" w:ascii="Times New Roman" w:hAnsi="Times New Roman" w:eastAsia="宋体" w:cs="Times New Roman"/>
                <w:color w:val="auto"/>
                <w:sz w:val="24"/>
              </w:rPr>
              <w:t>本环评要求</w:t>
            </w:r>
            <w:r>
              <w:rPr>
                <w:rFonts w:hint="default" w:ascii="Times New Roman" w:hAnsi="Times New Roman" w:eastAsia="宋体" w:cs="Times New Roman"/>
                <w:b w:val="0"/>
                <w:bCs w:val="0"/>
                <w:snapToGrid w:val="0"/>
                <w:color w:val="auto"/>
                <w:kern w:val="2"/>
                <w:sz w:val="24"/>
                <w:szCs w:val="24"/>
                <w:lang w:val="en-US" w:eastAsia="zh-CN"/>
              </w:rPr>
              <w:t>扩建</w:t>
            </w:r>
            <w:r>
              <w:rPr>
                <w:rFonts w:hint="eastAsia" w:cs="Times New Roman"/>
                <w:b w:val="0"/>
                <w:bCs w:val="0"/>
                <w:snapToGrid w:val="0"/>
                <w:color w:val="auto"/>
                <w:kern w:val="2"/>
                <w:sz w:val="24"/>
                <w:szCs w:val="24"/>
                <w:lang w:val="en-US" w:eastAsia="zh-CN"/>
              </w:rPr>
              <w:t>工程的高速混料机产气点</w:t>
            </w:r>
            <w:r>
              <w:rPr>
                <w:rFonts w:hint="default" w:ascii="Times New Roman" w:hAnsi="Times New Roman" w:eastAsia="宋体" w:cs="Times New Roman"/>
                <w:color w:val="auto"/>
                <w:sz w:val="24"/>
              </w:rPr>
              <w:t>上方设置</w:t>
            </w:r>
            <w:r>
              <w:rPr>
                <w:rFonts w:hint="default" w:ascii="Times New Roman" w:hAnsi="Times New Roman" w:eastAsia="宋体" w:cs="Times New Roman"/>
                <w:color w:val="auto"/>
                <w:spacing w:val="-2"/>
                <w:sz w:val="24"/>
              </w:rPr>
              <w:t>集气罩收集</w:t>
            </w:r>
            <w:r>
              <w:rPr>
                <w:rFonts w:hint="eastAsia" w:ascii="Times New Roman" w:hAnsi="Times New Roman" w:eastAsia="宋体" w:cs="Times New Roman"/>
                <w:color w:val="auto"/>
                <w:sz w:val="24"/>
                <w:lang w:val="en-US" w:eastAsia="zh-CN"/>
              </w:rPr>
              <w:t>挥发性有机物</w:t>
            </w:r>
            <w:r>
              <w:rPr>
                <w:rFonts w:hint="default" w:ascii="Times New Roman" w:hAnsi="Times New Roman" w:eastAsia="宋体" w:cs="Times New Roman"/>
                <w:color w:val="auto"/>
                <w:spacing w:val="-2"/>
                <w:sz w:val="24"/>
              </w:rPr>
              <w:t>，</w:t>
            </w:r>
            <w:r>
              <w:rPr>
                <w:rFonts w:hint="default" w:ascii="Times New Roman" w:hAnsi="Times New Roman" w:eastAsia="宋体" w:cs="Times New Roman"/>
                <w:color w:val="auto"/>
                <w:sz w:val="24"/>
                <w:lang w:val="en-US" w:eastAsia="zh-CN"/>
              </w:rPr>
              <w:t>和</w:t>
            </w:r>
            <w:r>
              <w:rPr>
                <w:rFonts w:hint="default" w:ascii="Times New Roman" w:hAnsi="Times New Roman" w:eastAsia="宋体" w:cs="Times New Roman"/>
                <w:color w:val="auto"/>
                <w:sz w:val="24"/>
                <w:lang w:eastAsia="zh-CN"/>
              </w:rPr>
              <w:t>现有工程的</w:t>
            </w:r>
            <w:r>
              <w:rPr>
                <w:rFonts w:hint="eastAsia" w:ascii="Times New Roman" w:hAnsi="Times New Roman" w:eastAsia="宋体" w:cs="Times New Roman"/>
                <w:color w:val="auto"/>
                <w:sz w:val="24"/>
                <w:lang w:val="en-US" w:eastAsia="zh-CN"/>
              </w:rPr>
              <w:t>加热挥发性有机物</w:t>
            </w:r>
            <w:r>
              <w:rPr>
                <w:rFonts w:hint="default" w:ascii="Times New Roman" w:hAnsi="Times New Roman" w:eastAsia="宋体" w:cs="Times New Roman"/>
                <w:color w:val="auto"/>
                <w:sz w:val="24"/>
                <w:lang w:val="en-US" w:eastAsia="zh-CN"/>
              </w:rPr>
              <w:t>一同汇入</w:t>
            </w:r>
            <w:r>
              <w:rPr>
                <w:rFonts w:hint="eastAsia" w:ascii="Times New Roman" w:hAnsi="Times New Roman" w:eastAsia="宋体" w:cs="Times New Roman"/>
                <w:color w:val="auto"/>
                <w:sz w:val="24"/>
                <w:lang w:val="en-US" w:eastAsia="zh-CN"/>
              </w:rPr>
              <w:t>二级活性炭吸附装置</w:t>
            </w:r>
            <w:r>
              <w:rPr>
                <w:rFonts w:hint="default" w:ascii="Times New Roman" w:hAnsi="Times New Roman" w:eastAsia="宋体" w:cs="Times New Roman"/>
                <w:color w:val="auto"/>
                <w:sz w:val="24"/>
                <w:lang w:val="en-US" w:eastAsia="zh-CN"/>
              </w:rPr>
              <w:t>处理，处理后尾气通过一个15m高排气筒（DA00</w:t>
            </w:r>
            <w:r>
              <w:rPr>
                <w:rFonts w:hint="eastAsia" w:cs="Times New Roman"/>
                <w:color w:val="auto"/>
                <w:sz w:val="24"/>
                <w:lang w:val="en-US" w:eastAsia="zh-CN"/>
              </w:rPr>
              <w:t>2</w:t>
            </w:r>
            <w:r>
              <w:rPr>
                <w:rFonts w:hint="default" w:ascii="Times New Roman" w:hAnsi="Times New Roman" w:eastAsia="宋体" w:cs="Times New Roman"/>
                <w:color w:val="auto"/>
                <w:sz w:val="24"/>
                <w:lang w:val="en-US" w:eastAsia="zh-CN"/>
              </w:rPr>
              <w:t>）排放</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加热</w:t>
            </w:r>
            <w:r>
              <w:rPr>
                <w:rFonts w:hint="eastAsia" w:ascii="Times New Roman" w:hAnsi="Times New Roman" w:eastAsia="宋体" w:cs="Times New Roman"/>
                <w:color w:val="auto"/>
                <w:sz w:val="24"/>
                <w:lang w:eastAsia="zh-CN"/>
              </w:rPr>
              <w:t>工序</w:t>
            </w:r>
            <w:r>
              <w:rPr>
                <w:rFonts w:hint="eastAsia" w:cs="Times New Roman"/>
                <w:b w:val="0"/>
                <w:bCs w:val="0"/>
                <w:color w:val="auto"/>
                <w:spacing w:val="-2"/>
                <w:sz w:val="24"/>
                <w:szCs w:val="24"/>
                <w:highlight w:val="none"/>
                <w:lang w:val="en-US" w:eastAsia="zh-CN"/>
              </w:rPr>
              <w:t>原有风机风量为</w:t>
            </w:r>
            <w:r>
              <w:rPr>
                <w:rFonts w:hint="eastAsia" w:cs="Times New Roman"/>
                <w:color w:val="auto"/>
                <w:sz w:val="24"/>
                <w:lang w:val="en-US" w:eastAsia="zh-CN"/>
              </w:rPr>
              <w:t>1000</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/h</w:t>
            </w:r>
            <w:r>
              <w:rPr>
                <w:rFonts w:hint="default"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挥发性有机物</w:t>
            </w:r>
            <w:r>
              <w:rPr>
                <w:rFonts w:hint="default" w:ascii="Times New Roman" w:hAnsi="Times New Roman" w:eastAsia="宋体" w:cs="Times New Roman"/>
                <w:color w:val="auto"/>
                <w:spacing w:val="-2"/>
                <w:sz w:val="24"/>
              </w:rPr>
              <w:t>的集气效率取</w:t>
            </w:r>
            <w:r>
              <w:rPr>
                <w:rFonts w:hint="default" w:ascii="Times New Roman" w:hAnsi="Times New Roman" w:eastAsia="宋体" w:cs="Times New Roman"/>
                <w:color w:val="auto"/>
                <w:spacing w:val="-2"/>
                <w:sz w:val="24"/>
                <w:lang w:val="en-US" w:eastAsia="zh-CN"/>
              </w:rPr>
              <w:t>90</w:t>
            </w:r>
            <w:r>
              <w:rPr>
                <w:rFonts w:hint="default" w:ascii="Times New Roman" w:hAnsi="Times New Roman" w:eastAsia="宋体" w:cs="Times New Roman"/>
                <w:color w:val="auto"/>
                <w:spacing w:val="-2"/>
                <w:sz w:val="24"/>
              </w:rPr>
              <w:t>%。</w:t>
            </w:r>
          </w:p>
          <w:p w14:paraId="3463B47B">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left"/>
              <w:textAlignment w:val="auto"/>
              <w:rPr>
                <w:rFonts w:hint="default" w:ascii="Times New Roman" w:hAnsi="Times New Roman" w:eastAsia="宋体" w:cs="Times New Roman"/>
                <w:b w:val="0"/>
                <w:bCs w:val="0"/>
                <w:snapToGrid w:val="0"/>
                <w:color w:val="auto"/>
                <w:kern w:val="2"/>
                <w:sz w:val="24"/>
                <w:szCs w:val="24"/>
                <w:lang w:val="en-US" w:eastAsia="zh-CN"/>
              </w:rPr>
            </w:pPr>
            <w:r>
              <w:rPr>
                <w:rFonts w:hint="default" w:ascii="Times New Roman" w:hAnsi="Times New Roman" w:eastAsia="宋体" w:cs="Times New Roman"/>
                <w:color w:val="auto"/>
                <w:sz w:val="24"/>
              </w:rPr>
              <w:t>则</w:t>
            </w:r>
            <w:r>
              <w:rPr>
                <w:rFonts w:hint="default" w:ascii="Times New Roman" w:hAnsi="Times New Roman" w:eastAsia="宋体" w:cs="Times New Roman"/>
                <w:b w:val="0"/>
                <w:bCs w:val="0"/>
                <w:snapToGrid w:val="0"/>
                <w:color w:val="auto"/>
                <w:kern w:val="2"/>
                <w:sz w:val="24"/>
                <w:szCs w:val="24"/>
                <w:lang w:val="en-US" w:eastAsia="zh-CN"/>
              </w:rPr>
              <w:t>扩建</w:t>
            </w:r>
            <w:r>
              <w:rPr>
                <w:rFonts w:hint="eastAsia" w:cs="Times New Roman"/>
                <w:b w:val="0"/>
                <w:bCs w:val="0"/>
                <w:snapToGrid w:val="0"/>
                <w:color w:val="auto"/>
                <w:kern w:val="2"/>
                <w:sz w:val="24"/>
                <w:szCs w:val="24"/>
                <w:lang w:val="en-US" w:eastAsia="zh-CN"/>
              </w:rPr>
              <w:t>工程</w:t>
            </w:r>
            <w:r>
              <w:rPr>
                <w:rFonts w:hint="eastAsia" w:ascii="Times New Roman" w:hAnsi="Times New Roman" w:eastAsia="宋体" w:cs="Times New Roman"/>
                <w:color w:val="auto"/>
                <w:sz w:val="24"/>
                <w:lang w:val="en-US" w:eastAsia="zh-CN"/>
              </w:rPr>
              <w:t>加热挥发性有机物</w:t>
            </w:r>
            <w:r>
              <w:rPr>
                <w:rFonts w:hint="default" w:ascii="Times New Roman" w:hAnsi="Times New Roman" w:eastAsia="宋体" w:cs="Times New Roman"/>
                <w:color w:val="auto"/>
                <w:sz w:val="24"/>
              </w:rPr>
              <w:t>有组织产生量约为</w:t>
            </w:r>
            <w:r>
              <w:rPr>
                <w:rFonts w:hint="eastAsia" w:ascii="Times New Roman" w:hAnsi="Times New Roman" w:eastAsia="宋体" w:cs="Times New Roman"/>
                <w:color w:val="auto"/>
                <w:sz w:val="24"/>
                <w:lang w:val="en-US" w:eastAsia="zh-CN"/>
              </w:rPr>
              <w:t>0.0</w:t>
            </w:r>
            <w:r>
              <w:rPr>
                <w:rFonts w:hint="eastAsia" w:cs="Times New Roman"/>
                <w:color w:val="auto"/>
                <w:sz w:val="24"/>
                <w:lang w:val="en-US" w:eastAsia="zh-CN"/>
              </w:rPr>
              <w:t>261</w:t>
            </w:r>
            <w:r>
              <w:rPr>
                <w:rFonts w:hint="default" w:ascii="Times New Roman" w:hAnsi="Times New Roman" w:eastAsia="宋体" w:cs="Times New Roman"/>
                <w:color w:val="auto"/>
                <w:sz w:val="24"/>
                <w:lang w:val="en-US" w:eastAsia="zh-CN"/>
              </w:rPr>
              <w:t>t</w:t>
            </w:r>
            <w:r>
              <w:rPr>
                <w:rFonts w:hint="default" w:ascii="Times New Roman" w:hAnsi="Times New Roman" w:eastAsia="宋体" w:cs="Times New Roman"/>
                <w:color w:val="auto"/>
                <w:sz w:val="24"/>
              </w:rPr>
              <w:t>/a，有组织产生浓度约为</w:t>
            </w:r>
            <w:r>
              <w:rPr>
                <w:rFonts w:hint="eastAsia" w:cs="Times New Roman"/>
                <w:color w:val="auto"/>
                <w:sz w:val="24"/>
                <w:lang w:val="en-US" w:eastAsia="zh-CN"/>
              </w:rPr>
              <w:t>5.44</w:t>
            </w:r>
            <w:r>
              <w:rPr>
                <w:rFonts w:hint="default" w:ascii="Times New Roman" w:hAnsi="Times New Roman" w:eastAsia="宋体" w:cs="Times New Roman"/>
                <w:color w:val="auto"/>
                <w:sz w:val="24"/>
                <w:szCs w:val="24"/>
              </w:rPr>
              <w:t>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w:t>
            </w:r>
            <w:r>
              <w:rPr>
                <w:rFonts w:hint="eastAsia" w:cs="Times New Roman"/>
                <w:color w:val="auto"/>
                <w:sz w:val="24"/>
                <w:szCs w:val="24"/>
                <w:lang w:eastAsia="zh-CN"/>
              </w:rPr>
              <w:t>二级活性炭吸附效率取</w:t>
            </w:r>
            <w:r>
              <w:rPr>
                <w:rFonts w:hint="eastAsia" w:cs="Times New Roman"/>
                <w:color w:val="auto"/>
                <w:sz w:val="24"/>
                <w:szCs w:val="24"/>
                <w:lang w:val="en-US" w:eastAsia="zh-CN"/>
              </w:rPr>
              <w:t>90%，</w:t>
            </w:r>
            <w:r>
              <w:rPr>
                <w:rFonts w:hint="default" w:ascii="Times New Roman" w:hAnsi="Times New Roman" w:eastAsia="宋体" w:cs="Times New Roman"/>
                <w:color w:val="auto"/>
                <w:sz w:val="24"/>
                <w:szCs w:val="24"/>
              </w:rPr>
              <w:t>经</w:t>
            </w:r>
            <w:r>
              <w:rPr>
                <w:rFonts w:hint="eastAsia" w:ascii="Times New Roman" w:hAnsi="Times New Roman" w:eastAsia="宋体" w:cs="Times New Roman"/>
                <w:color w:val="auto"/>
                <w:sz w:val="24"/>
                <w:szCs w:val="24"/>
                <w:lang w:val="en-US" w:eastAsia="zh-CN"/>
              </w:rPr>
              <w:t>二级活性炭吸附装置</w:t>
            </w:r>
            <w:r>
              <w:rPr>
                <w:rFonts w:hint="default" w:ascii="Times New Roman" w:hAnsi="Times New Roman" w:eastAsia="宋体" w:cs="Times New Roman"/>
                <w:color w:val="auto"/>
                <w:sz w:val="24"/>
                <w:szCs w:val="24"/>
              </w:rPr>
              <w:t>处理后</w:t>
            </w:r>
            <w:r>
              <w:rPr>
                <w:rFonts w:hint="eastAsia" w:ascii="Times New Roman" w:hAnsi="Times New Roman" w:eastAsia="宋体" w:cs="Times New Roman"/>
                <w:color w:val="auto"/>
                <w:sz w:val="24"/>
                <w:szCs w:val="24"/>
                <w:lang w:val="en-US" w:eastAsia="zh-CN"/>
              </w:rPr>
              <w:t>加热挥发性有机物</w:t>
            </w:r>
            <w:r>
              <w:rPr>
                <w:rFonts w:hint="default" w:ascii="Times New Roman" w:hAnsi="Times New Roman" w:eastAsia="宋体" w:cs="Times New Roman"/>
                <w:color w:val="auto"/>
                <w:sz w:val="24"/>
                <w:szCs w:val="24"/>
                <w:lang w:eastAsia="zh-CN"/>
              </w:rPr>
              <w:t>有组织</w:t>
            </w:r>
            <w:r>
              <w:rPr>
                <w:rFonts w:hint="default" w:ascii="Times New Roman" w:hAnsi="Times New Roman" w:eastAsia="宋体" w:cs="Times New Roman"/>
                <w:color w:val="auto"/>
                <w:sz w:val="24"/>
                <w:szCs w:val="24"/>
              </w:rPr>
              <w:t>排放量约为</w:t>
            </w:r>
            <w:r>
              <w:rPr>
                <w:rFonts w:hint="eastAsia" w:ascii="Times New Roman" w:hAnsi="Times New Roman" w:eastAsia="宋体" w:cs="Times New Roman"/>
                <w:color w:val="auto"/>
                <w:sz w:val="24"/>
                <w:szCs w:val="24"/>
                <w:lang w:val="en-US" w:eastAsia="zh-CN"/>
              </w:rPr>
              <w:t>0.00</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rPr>
              <w:t>t/a，排放速率约为</w:t>
            </w:r>
            <w:r>
              <w:rPr>
                <w:rFonts w:hint="eastAsia" w:cs="Times New Roman"/>
                <w:color w:val="auto"/>
                <w:sz w:val="24"/>
                <w:szCs w:val="24"/>
                <w:lang w:val="en-US" w:eastAsia="zh-CN"/>
              </w:rPr>
              <w:t>6.25</w:t>
            </w:r>
            <w:r>
              <w:rPr>
                <w:rFonts w:hint="default" w:ascii="Arial" w:hAnsi="Arial" w:eastAsia="宋体" w:cs="Arial"/>
                <w:b w:val="0"/>
                <w:bCs w:val="0"/>
                <w:color w:val="auto"/>
                <w:sz w:val="24"/>
                <w:szCs w:val="24"/>
                <w:lang w:val="en-US" w:eastAsia="zh-CN"/>
              </w:rPr>
              <w:t>×</w:t>
            </w:r>
            <w:r>
              <w:rPr>
                <w:rFonts w:hint="eastAsia" w:eastAsia="宋体" w:cs="Times New Roman"/>
                <w:b w:val="0"/>
                <w:bCs w:val="0"/>
                <w:color w:val="auto"/>
                <w:sz w:val="24"/>
                <w:szCs w:val="24"/>
                <w:lang w:val="en-US" w:eastAsia="zh-CN"/>
              </w:rPr>
              <w:t>10</w:t>
            </w:r>
            <w:r>
              <w:rPr>
                <w:rFonts w:hint="eastAsia" w:eastAsia="宋体" w:cs="Times New Roman"/>
                <w:b w:val="0"/>
                <w:bCs w:val="0"/>
                <w:color w:val="auto"/>
                <w:sz w:val="24"/>
                <w:szCs w:val="24"/>
                <w:vertAlign w:val="superscript"/>
                <w:lang w:val="en-US" w:eastAsia="zh-CN"/>
              </w:rPr>
              <w:t>-4</w:t>
            </w:r>
            <w:r>
              <w:rPr>
                <w:rFonts w:hint="default" w:ascii="Times New Roman" w:hAnsi="Times New Roman" w:eastAsia="宋体" w:cs="Times New Roman"/>
                <w:color w:val="auto"/>
                <w:sz w:val="24"/>
                <w:szCs w:val="24"/>
              </w:rPr>
              <w:t>kg/h，排放浓度约为</w:t>
            </w:r>
            <w:r>
              <w:rPr>
                <w:rFonts w:hint="eastAsia" w:cs="Times New Roman"/>
                <w:color w:val="auto"/>
                <w:sz w:val="24"/>
                <w:szCs w:val="24"/>
                <w:lang w:val="en-US" w:eastAsia="zh-CN"/>
              </w:rPr>
              <w:t>0.625</w:t>
            </w:r>
            <w:r>
              <w:rPr>
                <w:rFonts w:hint="default" w:ascii="Times New Roman" w:hAnsi="Times New Roman" w:eastAsia="宋体" w:cs="Times New Roman"/>
                <w:color w:val="auto"/>
                <w:sz w:val="24"/>
                <w:szCs w:val="24"/>
              </w:rPr>
              <w:t>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w:t>
            </w:r>
          </w:p>
          <w:p w14:paraId="06213F5F">
            <w:pPr>
              <w:adjustRightInd w:val="0"/>
              <w:snapToGrid w:val="0"/>
              <w:spacing w:line="348"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eastAsia="宋体" w:cs="Times New Roman"/>
                <w:b w:val="0"/>
                <w:bCs w:val="0"/>
                <w:snapToGrid w:val="0"/>
                <w:color w:val="auto"/>
                <w:kern w:val="2"/>
                <w:sz w:val="24"/>
                <w:szCs w:val="24"/>
                <w:lang w:val="en-US" w:eastAsia="zh-CN"/>
              </w:rPr>
              <w:t>扩建</w:t>
            </w:r>
            <w:r>
              <w:rPr>
                <w:rFonts w:hint="eastAsia" w:cs="Times New Roman"/>
                <w:b w:val="0"/>
                <w:bCs w:val="0"/>
                <w:snapToGrid w:val="0"/>
                <w:color w:val="auto"/>
                <w:kern w:val="2"/>
                <w:sz w:val="24"/>
                <w:szCs w:val="24"/>
                <w:lang w:val="en-US" w:eastAsia="zh-CN"/>
              </w:rPr>
              <w:t>工程加热工序</w:t>
            </w:r>
            <w:r>
              <w:rPr>
                <w:rFonts w:hint="eastAsia" w:ascii="Times New Roman" w:hAnsi="Times New Roman" w:eastAsia="宋体" w:cs="Times New Roman"/>
                <w:color w:val="auto"/>
                <w:sz w:val="24"/>
                <w:lang w:val="en-US" w:eastAsia="zh-CN"/>
              </w:rPr>
              <w:t>挥发性有机物</w:t>
            </w:r>
            <w:r>
              <w:rPr>
                <w:rFonts w:hint="default" w:ascii="Times New Roman" w:hAnsi="Times New Roman" w:eastAsia="宋体" w:cs="Times New Roman"/>
                <w:color w:val="auto"/>
                <w:sz w:val="24"/>
              </w:rPr>
              <w:t>无组织</w:t>
            </w:r>
            <w:r>
              <w:rPr>
                <w:rFonts w:hint="eastAsia" w:ascii="Times New Roman" w:hAnsi="Times New Roman" w:eastAsia="宋体" w:cs="Times New Roman"/>
                <w:color w:val="auto"/>
                <w:sz w:val="24"/>
                <w:lang w:eastAsia="zh-CN"/>
              </w:rPr>
              <w:t>排放</w:t>
            </w:r>
            <w:r>
              <w:rPr>
                <w:rFonts w:hint="default" w:ascii="Times New Roman" w:hAnsi="Times New Roman" w:eastAsia="宋体" w:cs="Times New Roman"/>
                <w:color w:val="auto"/>
                <w:sz w:val="24"/>
              </w:rPr>
              <w:t>量约</w:t>
            </w:r>
            <w:r>
              <w:rPr>
                <w:rFonts w:hint="eastAsia" w:ascii="Times New Roman" w:hAnsi="Times New Roman" w:eastAsia="宋体" w:cs="Times New Roman"/>
                <w:color w:val="auto"/>
                <w:sz w:val="24"/>
                <w:lang w:val="en-US" w:eastAsia="zh-CN"/>
              </w:rPr>
              <w:t>0.00</w:t>
            </w:r>
            <w:r>
              <w:rPr>
                <w:rFonts w:hint="eastAsia" w:cs="Times New Roman"/>
                <w:color w:val="auto"/>
                <w:sz w:val="24"/>
                <w:lang w:val="en-US" w:eastAsia="zh-CN"/>
              </w:rPr>
              <w:t>29</w:t>
            </w:r>
            <w:r>
              <w:rPr>
                <w:rFonts w:hint="default" w:ascii="Times New Roman" w:hAnsi="Times New Roman" w:eastAsia="宋体" w:cs="Times New Roman"/>
                <w:color w:val="auto"/>
                <w:sz w:val="24"/>
              </w:rPr>
              <w:t>t/a。</w:t>
            </w:r>
          </w:p>
          <w:p w14:paraId="0D096617">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left"/>
              <w:textAlignment w:val="auto"/>
              <w:rPr>
                <w:rFonts w:hint="eastAsia" w:cs="Times New Roman"/>
                <w:b w:val="0"/>
                <w:bCs w:val="0"/>
                <w:snapToGrid w:val="0"/>
                <w:color w:val="auto"/>
                <w:kern w:val="2"/>
                <w:sz w:val="24"/>
                <w:szCs w:val="24"/>
                <w:lang w:val="en-US" w:eastAsia="zh-CN"/>
              </w:rPr>
            </w:pPr>
            <w:r>
              <w:rPr>
                <w:rFonts w:hint="default" w:ascii="Times New Roman" w:hAnsi="Times New Roman" w:eastAsia="宋体" w:cs="Times New Roman"/>
                <w:color w:val="auto"/>
                <w:sz w:val="24"/>
                <w:lang w:eastAsia="zh-CN"/>
              </w:rPr>
              <w:t>根据建设单位提供资料，</w:t>
            </w:r>
            <w:r>
              <w:rPr>
                <w:rFonts w:hint="default" w:ascii="Times New Roman" w:hAnsi="Times New Roman" w:eastAsia="宋体" w:cs="Times New Roman"/>
                <w:b w:val="0"/>
                <w:bCs w:val="0"/>
                <w:snapToGrid w:val="0"/>
                <w:color w:val="auto"/>
                <w:kern w:val="2"/>
                <w:sz w:val="24"/>
                <w:szCs w:val="24"/>
                <w:lang w:val="en-US" w:eastAsia="zh-CN"/>
              </w:rPr>
              <w:t>扩建</w:t>
            </w:r>
            <w:r>
              <w:rPr>
                <w:rFonts w:hint="eastAsia" w:cs="Times New Roman"/>
                <w:b w:val="0"/>
                <w:bCs w:val="0"/>
                <w:snapToGrid w:val="0"/>
                <w:color w:val="auto"/>
                <w:kern w:val="2"/>
                <w:sz w:val="24"/>
                <w:szCs w:val="24"/>
                <w:lang w:val="en-US" w:eastAsia="zh-CN"/>
              </w:rPr>
              <w:t>工程的</w:t>
            </w:r>
            <w:r>
              <w:rPr>
                <w:rFonts w:hint="eastAsia" w:ascii="Times New Roman" w:hAnsi="Times New Roman" w:eastAsia="宋体" w:cs="Times New Roman"/>
                <w:color w:val="auto"/>
                <w:sz w:val="24"/>
                <w:lang w:val="en-US" w:eastAsia="zh-CN"/>
              </w:rPr>
              <w:t>加热挥发性有机物</w:t>
            </w:r>
            <w:r>
              <w:rPr>
                <w:rFonts w:hint="default" w:ascii="Times New Roman" w:hAnsi="Times New Roman" w:eastAsia="宋体" w:cs="Times New Roman"/>
                <w:color w:val="auto"/>
                <w:sz w:val="24"/>
                <w:lang w:val="en-US" w:eastAsia="zh-CN"/>
              </w:rPr>
              <w:t>经集气罩收集后和</w:t>
            </w:r>
            <w:r>
              <w:rPr>
                <w:rFonts w:hint="default" w:ascii="Times New Roman" w:hAnsi="Times New Roman" w:eastAsia="宋体" w:cs="Times New Roman"/>
                <w:color w:val="auto"/>
                <w:sz w:val="24"/>
                <w:lang w:eastAsia="zh-CN"/>
              </w:rPr>
              <w:t>现有工程的</w:t>
            </w:r>
            <w:r>
              <w:rPr>
                <w:rFonts w:hint="eastAsia" w:ascii="Times New Roman" w:hAnsi="Times New Roman" w:eastAsia="宋体" w:cs="Times New Roman"/>
                <w:color w:val="auto"/>
                <w:sz w:val="24"/>
                <w:lang w:val="en-US" w:eastAsia="zh-CN"/>
              </w:rPr>
              <w:t>加热挥发性有机物</w:t>
            </w:r>
            <w:r>
              <w:rPr>
                <w:rFonts w:hint="default" w:ascii="Times New Roman" w:hAnsi="Times New Roman" w:eastAsia="宋体" w:cs="Times New Roman"/>
                <w:color w:val="auto"/>
                <w:sz w:val="24"/>
                <w:lang w:val="en-US" w:eastAsia="zh-CN"/>
              </w:rPr>
              <w:t>一同汇入</w:t>
            </w:r>
            <w:r>
              <w:rPr>
                <w:rFonts w:hint="eastAsia" w:ascii="Times New Roman" w:hAnsi="Times New Roman" w:eastAsia="宋体" w:cs="Times New Roman"/>
                <w:color w:val="auto"/>
                <w:sz w:val="24"/>
                <w:lang w:val="en-US" w:eastAsia="zh-CN"/>
              </w:rPr>
              <w:t>二级活性炭吸附装置</w:t>
            </w:r>
            <w:r>
              <w:rPr>
                <w:rFonts w:hint="default" w:ascii="Times New Roman" w:hAnsi="Times New Roman" w:eastAsia="宋体" w:cs="Times New Roman"/>
                <w:color w:val="auto"/>
                <w:sz w:val="24"/>
                <w:lang w:val="en-US" w:eastAsia="zh-CN"/>
              </w:rPr>
              <w:t>处理，处理后尾气通过一个15m高排气筒（DA00</w:t>
            </w:r>
            <w:r>
              <w:rPr>
                <w:rFonts w:hint="eastAsia" w:cs="Times New Roman"/>
                <w:color w:val="auto"/>
                <w:sz w:val="24"/>
                <w:lang w:val="en-US" w:eastAsia="zh-CN"/>
              </w:rPr>
              <w:t>2</w:t>
            </w:r>
            <w:r>
              <w:rPr>
                <w:rFonts w:hint="default" w:ascii="Times New Roman" w:hAnsi="Times New Roman" w:eastAsia="宋体" w:cs="Times New Roman"/>
                <w:color w:val="auto"/>
                <w:sz w:val="24"/>
                <w:lang w:val="en-US" w:eastAsia="zh-CN"/>
              </w:rPr>
              <w:t>）排放</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加热</w:t>
            </w:r>
            <w:r>
              <w:rPr>
                <w:rFonts w:hint="eastAsia" w:ascii="Times New Roman" w:hAnsi="Times New Roman" w:eastAsia="宋体" w:cs="Times New Roman"/>
                <w:color w:val="auto"/>
                <w:sz w:val="24"/>
                <w:lang w:eastAsia="zh-CN"/>
              </w:rPr>
              <w:t>工序</w:t>
            </w:r>
            <w:r>
              <w:rPr>
                <w:rFonts w:hint="default" w:ascii="Times New Roman" w:hAnsi="Times New Roman" w:eastAsia="宋体" w:cs="Times New Roman"/>
                <w:color w:val="auto"/>
                <w:sz w:val="24"/>
              </w:rPr>
              <w:t>风机风量</w:t>
            </w:r>
            <w:r>
              <w:rPr>
                <w:rFonts w:hint="eastAsia" w:cs="Times New Roman"/>
                <w:color w:val="auto"/>
                <w:sz w:val="24"/>
                <w:lang w:val="en-US" w:eastAsia="zh-CN"/>
              </w:rPr>
              <w:t>5</w:t>
            </w:r>
            <w:r>
              <w:rPr>
                <w:rFonts w:hint="eastAsia" w:ascii="Times New Roman" w:hAnsi="Times New Roman" w:eastAsia="宋体" w:cs="Times New Roman"/>
                <w:color w:val="auto"/>
                <w:sz w:val="24"/>
                <w:lang w:val="en-US" w:eastAsia="zh-CN"/>
              </w:rPr>
              <w:t>00</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/h</w:t>
            </w:r>
            <w:r>
              <w:rPr>
                <w:rFonts w:hint="default"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挥发性有机物</w:t>
            </w:r>
            <w:r>
              <w:rPr>
                <w:rFonts w:hint="default" w:ascii="Times New Roman" w:hAnsi="Times New Roman" w:eastAsia="宋体" w:cs="Times New Roman"/>
                <w:color w:val="auto"/>
                <w:spacing w:val="-2"/>
                <w:sz w:val="24"/>
              </w:rPr>
              <w:t>的集气效率取</w:t>
            </w:r>
            <w:r>
              <w:rPr>
                <w:rFonts w:hint="default" w:ascii="Times New Roman" w:hAnsi="Times New Roman" w:eastAsia="宋体" w:cs="Times New Roman"/>
                <w:color w:val="auto"/>
                <w:spacing w:val="-2"/>
                <w:sz w:val="24"/>
                <w:lang w:val="en-US" w:eastAsia="zh-CN"/>
              </w:rPr>
              <w:t>90</w:t>
            </w:r>
            <w:r>
              <w:rPr>
                <w:rFonts w:hint="default" w:ascii="Times New Roman" w:hAnsi="Times New Roman" w:eastAsia="宋体" w:cs="Times New Roman"/>
                <w:color w:val="auto"/>
                <w:spacing w:val="-2"/>
                <w:sz w:val="24"/>
              </w:rPr>
              <w:t>%。</w:t>
            </w:r>
            <w:r>
              <w:rPr>
                <w:rFonts w:hint="default" w:ascii="Times New Roman" w:hAnsi="Times New Roman" w:eastAsia="宋体" w:cs="Times New Roman"/>
                <w:color w:val="auto"/>
                <w:sz w:val="24"/>
                <w:lang w:eastAsia="zh-CN"/>
              </w:rPr>
              <w:t>根据上述分析，</w:t>
            </w:r>
            <w:r>
              <w:rPr>
                <w:rFonts w:hint="eastAsia" w:ascii="Times New Roman" w:hAnsi="Times New Roman" w:eastAsia="宋体" w:cs="Times New Roman"/>
                <w:b w:val="0"/>
                <w:bCs w:val="0"/>
                <w:snapToGrid w:val="0"/>
                <w:color w:val="auto"/>
                <w:kern w:val="2"/>
                <w:sz w:val="24"/>
                <w:szCs w:val="24"/>
                <w:lang w:val="en-US" w:eastAsia="zh-CN"/>
              </w:rPr>
              <w:t>全厂</w:t>
            </w:r>
            <w:r>
              <w:rPr>
                <w:rFonts w:hint="eastAsia" w:ascii="Times New Roman" w:hAnsi="Times New Roman" w:eastAsia="宋体" w:cs="Times New Roman"/>
                <w:color w:val="auto"/>
                <w:sz w:val="24"/>
                <w:lang w:val="en-US" w:eastAsia="zh-CN"/>
              </w:rPr>
              <w:t>加热挥发性有机物</w:t>
            </w:r>
            <w:r>
              <w:rPr>
                <w:rFonts w:hint="default" w:ascii="Times New Roman" w:hAnsi="Times New Roman" w:eastAsia="宋体" w:cs="Times New Roman"/>
                <w:color w:val="auto"/>
                <w:sz w:val="24"/>
              </w:rPr>
              <w:t>产生量约为</w:t>
            </w:r>
            <w:r>
              <w:rPr>
                <w:rFonts w:hint="eastAsia" w:ascii="Times New Roman" w:hAnsi="Times New Roman" w:eastAsia="宋体" w:cs="Times New Roman"/>
                <w:color w:val="auto"/>
                <w:sz w:val="24"/>
                <w:lang w:val="en-US" w:eastAsia="zh-CN"/>
              </w:rPr>
              <w:t>0.0</w:t>
            </w:r>
            <w:r>
              <w:rPr>
                <w:rFonts w:hint="eastAsia" w:cs="Times New Roman"/>
                <w:color w:val="auto"/>
                <w:sz w:val="24"/>
                <w:lang w:val="en-US" w:eastAsia="zh-CN"/>
              </w:rPr>
              <w:t>58</w:t>
            </w:r>
            <w:r>
              <w:rPr>
                <w:rFonts w:hint="default" w:ascii="Times New Roman" w:hAnsi="Times New Roman" w:eastAsia="宋体" w:cs="Times New Roman"/>
                <w:color w:val="auto"/>
                <w:sz w:val="24"/>
                <w:lang w:val="en-US" w:eastAsia="zh-CN"/>
              </w:rPr>
              <w:t>t</w:t>
            </w:r>
            <w:r>
              <w:rPr>
                <w:rFonts w:hint="default" w:ascii="Times New Roman" w:hAnsi="Times New Roman" w:eastAsia="宋体" w:cs="Times New Roman"/>
                <w:color w:val="auto"/>
                <w:sz w:val="24"/>
              </w:rPr>
              <w:t>/a</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则</w:t>
            </w:r>
            <w:r>
              <w:rPr>
                <w:rFonts w:hint="eastAsia" w:ascii="Times New Roman" w:hAnsi="Times New Roman" w:eastAsia="宋体" w:cs="Times New Roman"/>
                <w:color w:val="auto"/>
                <w:sz w:val="24"/>
                <w:lang w:val="en-US" w:eastAsia="zh-CN"/>
              </w:rPr>
              <w:t>加热挥发性有机物</w:t>
            </w:r>
            <w:r>
              <w:rPr>
                <w:rFonts w:hint="default" w:ascii="Times New Roman" w:hAnsi="Times New Roman" w:eastAsia="宋体" w:cs="Times New Roman"/>
                <w:color w:val="auto"/>
                <w:sz w:val="24"/>
              </w:rPr>
              <w:t>有组织产生量约为</w:t>
            </w:r>
            <w:r>
              <w:rPr>
                <w:rFonts w:hint="eastAsia" w:ascii="Times New Roman" w:hAnsi="Times New Roman" w:eastAsia="宋体" w:cs="Times New Roman"/>
                <w:color w:val="auto"/>
                <w:sz w:val="24"/>
                <w:lang w:val="en-US" w:eastAsia="zh-CN"/>
              </w:rPr>
              <w:t>0.0</w:t>
            </w:r>
            <w:r>
              <w:rPr>
                <w:rFonts w:hint="eastAsia" w:cs="Times New Roman"/>
                <w:color w:val="auto"/>
                <w:sz w:val="24"/>
                <w:lang w:val="en-US" w:eastAsia="zh-CN"/>
              </w:rPr>
              <w:t>522</w:t>
            </w:r>
            <w:r>
              <w:rPr>
                <w:rFonts w:hint="default" w:ascii="Times New Roman" w:hAnsi="Times New Roman" w:eastAsia="宋体" w:cs="Times New Roman"/>
                <w:color w:val="auto"/>
                <w:sz w:val="24"/>
                <w:lang w:val="en-US" w:eastAsia="zh-CN"/>
              </w:rPr>
              <w:t>t</w:t>
            </w:r>
            <w:r>
              <w:rPr>
                <w:rFonts w:hint="default" w:ascii="Times New Roman" w:hAnsi="Times New Roman" w:eastAsia="宋体" w:cs="Times New Roman"/>
                <w:color w:val="auto"/>
                <w:sz w:val="24"/>
              </w:rPr>
              <w:t>/a，有组织产生浓度约为</w:t>
            </w:r>
            <w:r>
              <w:rPr>
                <w:rFonts w:hint="eastAsia" w:cs="Times New Roman"/>
                <w:color w:val="auto"/>
                <w:sz w:val="24"/>
                <w:lang w:val="en-US" w:eastAsia="zh-CN"/>
              </w:rPr>
              <w:t>10.88</w:t>
            </w:r>
            <w:r>
              <w:rPr>
                <w:rFonts w:hint="default" w:ascii="Times New Roman" w:hAnsi="Times New Roman" w:eastAsia="宋体" w:cs="Times New Roman"/>
                <w:color w:val="auto"/>
                <w:sz w:val="24"/>
                <w:szCs w:val="24"/>
              </w:rPr>
              <w:t>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w:t>
            </w:r>
            <w:r>
              <w:rPr>
                <w:rFonts w:hint="eastAsia" w:cs="Times New Roman"/>
                <w:color w:val="auto"/>
                <w:sz w:val="24"/>
                <w:szCs w:val="24"/>
                <w:lang w:eastAsia="zh-CN"/>
              </w:rPr>
              <w:t>二级活性炭吸附效率取</w:t>
            </w:r>
            <w:r>
              <w:rPr>
                <w:rFonts w:hint="eastAsia" w:cs="Times New Roman"/>
                <w:color w:val="auto"/>
                <w:sz w:val="24"/>
                <w:szCs w:val="24"/>
                <w:lang w:val="en-US" w:eastAsia="zh-CN"/>
              </w:rPr>
              <w:t>90%，</w:t>
            </w:r>
            <w:r>
              <w:rPr>
                <w:rFonts w:hint="default" w:ascii="Times New Roman" w:hAnsi="Times New Roman" w:eastAsia="宋体" w:cs="Times New Roman"/>
                <w:color w:val="auto"/>
                <w:sz w:val="24"/>
                <w:szCs w:val="24"/>
              </w:rPr>
              <w:t>经</w:t>
            </w:r>
            <w:r>
              <w:rPr>
                <w:rFonts w:hint="eastAsia" w:ascii="Times New Roman" w:hAnsi="Times New Roman" w:eastAsia="宋体" w:cs="Times New Roman"/>
                <w:color w:val="auto"/>
                <w:sz w:val="24"/>
                <w:szCs w:val="24"/>
                <w:lang w:val="en-US" w:eastAsia="zh-CN"/>
              </w:rPr>
              <w:t>二级活性炭吸附装置</w:t>
            </w:r>
            <w:r>
              <w:rPr>
                <w:rFonts w:hint="default" w:ascii="Times New Roman" w:hAnsi="Times New Roman" w:eastAsia="宋体" w:cs="Times New Roman"/>
                <w:color w:val="auto"/>
                <w:sz w:val="24"/>
                <w:szCs w:val="24"/>
              </w:rPr>
              <w:t>处理后</w:t>
            </w:r>
            <w:r>
              <w:rPr>
                <w:rFonts w:hint="eastAsia" w:ascii="Times New Roman" w:hAnsi="Times New Roman" w:eastAsia="宋体" w:cs="Times New Roman"/>
                <w:color w:val="auto"/>
                <w:sz w:val="24"/>
                <w:szCs w:val="24"/>
                <w:lang w:val="en-US" w:eastAsia="zh-CN"/>
              </w:rPr>
              <w:t>加热挥发性有机物</w:t>
            </w:r>
            <w:r>
              <w:rPr>
                <w:rFonts w:hint="default" w:ascii="Times New Roman" w:hAnsi="Times New Roman" w:eastAsia="宋体" w:cs="Times New Roman"/>
                <w:color w:val="auto"/>
                <w:sz w:val="24"/>
                <w:szCs w:val="24"/>
                <w:lang w:eastAsia="zh-CN"/>
              </w:rPr>
              <w:t>有组织</w:t>
            </w:r>
            <w:r>
              <w:rPr>
                <w:rFonts w:hint="default" w:ascii="Times New Roman" w:hAnsi="Times New Roman" w:eastAsia="宋体" w:cs="Times New Roman"/>
                <w:color w:val="auto"/>
                <w:sz w:val="24"/>
                <w:szCs w:val="24"/>
              </w:rPr>
              <w:t>排放量约为</w:t>
            </w:r>
            <w:r>
              <w:rPr>
                <w:rFonts w:hint="eastAsia" w:ascii="Times New Roman" w:hAnsi="Times New Roman" w:eastAsia="宋体" w:cs="Times New Roman"/>
                <w:color w:val="auto"/>
                <w:sz w:val="24"/>
                <w:szCs w:val="24"/>
                <w:lang w:val="en-US" w:eastAsia="zh-CN"/>
              </w:rPr>
              <w:t>0.00</w:t>
            </w: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rPr>
              <w:t>t/a，排放速率约为</w:t>
            </w:r>
            <w:r>
              <w:rPr>
                <w:rFonts w:hint="eastAsia" w:cs="Times New Roman"/>
                <w:color w:val="auto"/>
                <w:sz w:val="24"/>
                <w:szCs w:val="24"/>
                <w:lang w:val="en-US" w:eastAsia="zh-CN"/>
              </w:rPr>
              <w:t>1.25</w:t>
            </w:r>
            <w:r>
              <w:rPr>
                <w:rFonts w:hint="default" w:ascii="Arial" w:hAnsi="Arial" w:eastAsia="宋体" w:cs="Arial"/>
                <w:b w:val="0"/>
                <w:bCs w:val="0"/>
                <w:color w:val="auto"/>
                <w:sz w:val="24"/>
                <w:szCs w:val="24"/>
                <w:lang w:val="en-US" w:eastAsia="zh-CN"/>
              </w:rPr>
              <w:t>×</w:t>
            </w:r>
            <w:r>
              <w:rPr>
                <w:rFonts w:hint="eastAsia" w:eastAsia="宋体" w:cs="Times New Roman"/>
                <w:b w:val="0"/>
                <w:bCs w:val="0"/>
                <w:color w:val="auto"/>
                <w:sz w:val="24"/>
                <w:szCs w:val="24"/>
                <w:lang w:val="en-US" w:eastAsia="zh-CN"/>
              </w:rPr>
              <w:t>10</w:t>
            </w:r>
            <w:r>
              <w:rPr>
                <w:rFonts w:hint="eastAsia" w:eastAsia="宋体" w:cs="Times New Roman"/>
                <w:b w:val="0"/>
                <w:bCs w:val="0"/>
                <w:color w:val="auto"/>
                <w:sz w:val="24"/>
                <w:szCs w:val="24"/>
                <w:vertAlign w:val="superscript"/>
                <w:lang w:val="en-US" w:eastAsia="zh-CN"/>
              </w:rPr>
              <w:t>-</w:t>
            </w:r>
            <w:r>
              <w:rPr>
                <w:rFonts w:hint="eastAsia" w:cs="Times New Roman"/>
                <w:b w:val="0"/>
                <w:bCs w:val="0"/>
                <w:color w:val="auto"/>
                <w:sz w:val="24"/>
                <w:szCs w:val="24"/>
                <w:vertAlign w:val="superscript"/>
                <w:lang w:val="en-US" w:eastAsia="zh-CN"/>
              </w:rPr>
              <w:t>3</w:t>
            </w:r>
            <w:r>
              <w:rPr>
                <w:rFonts w:hint="default" w:ascii="Times New Roman" w:hAnsi="Times New Roman" w:eastAsia="宋体" w:cs="Times New Roman"/>
                <w:color w:val="auto"/>
                <w:sz w:val="24"/>
                <w:szCs w:val="24"/>
              </w:rPr>
              <w:t>kg/h，排放浓度约为</w:t>
            </w:r>
            <w:r>
              <w:rPr>
                <w:rFonts w:hint="eastAsia" w:cs="Times New Roman"/>
                <w:color w:val="auto"/>
                <w:sz w:val="24"/>
                <w:szCs w:val="24"/>
                <w:lang w:val="en-US" w:eastAsia="zh-CN"/>
              </w:rPr>
              <w:t>1.25</w:t>
            </w:r>
            <w:r>
              <w:rPr>
                <w:rFonts w:hint="default" w:ascii="Times New Roman" w:hAnsi="Times New Roman" w:eastAsia="宋体" w:cs="Times New Roman"/>
                <w:color w:val="auto"/>
                <w:sz w:val="24"/>
                <w:szCs w:val="24"/>
              </w:rPr>
              <w:t>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w:t>
            </w:r>
          </w:p>
          <w:p w14:paraId="5D26C16D">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lang w:eastAsia="zh-CN"/>
              </w:rPr>
              <w:t>全厂</w:t>
            </w:r>
            <w:r>
              <w:rPr>
                <w:rFonts w:hint="eastAsia" w:cs="Times New Roman"/>
                <w:b w:val="0"/>
                <w:bCs w:val="0"/>
                <w:snapToGrid w:val="0"/>
                <w:color w:val="auto"/>
                <w:kern w:val="2"/>
                <w:sz w:val="24"/>
                <w:szCs w:val="24"/>
                <w:lang w:val="en-US" w:eastAsia="zh-CN"/>
              </w:rPr>
              <w:t>加热工序</w:t>
            </w:r>
            <w:r>
              <w:rPr>
                <w:rFonts w:hint="eastAsia" w:ascii="Times New Roman" w:hAnsi="Times New Roman" w:eastAsia="宋体" w:cs="Times New Roman"/>
                <w:color w:val="auto"/>
                <w:sz w:val="24"/>
                <w:szCs w:val="24"/>
                <w:lang w:val="en-US" w:eastAsia="zh-CN"/>
              </w:rPr>
              <w:t>挥发性有机物</w:t>
            </w:r>
            <w:r>
              <w:rPr>
                <w:rFonts w:hint="default" w:ascii="Times New Roman" w:hAnsi="Times New Roman" w:eastAsia="宋体" w:cs="Times New Roman"/>
                <w:color w:val="auto"/>
                <w:sz w:val="24"/>
                <w:szCs w:val="24"/>
              </w:rPr>
              <w:t>无组织</w:t>
            </w:r>
            <w:r>
              <w:rPr>
                <w:rFonts w:hint="default" w:ascii="Times New Roman" w:hAnsi="Times New Roman" w:eastAsia="宋体" w:cs="Times New Roman"/>
                <w:color w:val="auto"/>
                <w:sz w:val="24"/>
                <w:szCs w:val="24"/>
                <w:lang w:eastAsia="zh-CN"/>
              </w:rPr>
              <w:t>排放</w:t>
            </w:r>
            <w:r>
              <w:rPr>
                <w:rFonts w:hint="default" w:ascii="Times New Roman" w:hAnsi="Times New Roman" w:eastAsia="宋体" w:cs="Times New Roman"/>
                <w:color w:val="auto"/>
                <w:sz w:val="24"/>
                <w:szCs w:val="24"/>
              </w:rPr>
              <w:t>量约</w:t>
            </w:r>
            <w:r>
              <w:rPr>
                <w:rFonts w:hint="eastAsia" w:cs="Times New Roman"/>
                <w:color w:val="auto"/>
                <w:sz w:val="24"/>
                <w:szCs w:val="24"/>
                <w:lang w:val="en-US" w:eastAsia="zh-CN"/>
              </w:rPr>
              <w:t>0.0058</w:t>
            </w:r>
            <w:r>
              <w:rPr>
                <w:rFonts w:hint="default" w:ascii="Times New Roman" w:hAnsi="Times New Roman" w:eastAsia="宋体" w:cs="Times New Roman"/>
                <w:color w:val="auto"/>
                <w:sz w:val="24"/>
                <w:szCs w:val="24"/>
              </w:rPr>
              <w:t>t/a。</w:t>
            </w:r>
          </w:p>
          <w:p w14:paraId="278E32F2">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left"/>
              <w:textAlignment w:val="auto"/>
              <w:rPr>
                <w:rFonts w:hint="default" w:ascii="Times New Roman" w:hAnsi="Times New Roman" w:eastAsia="宋体" w:cs="Times New Roman"/>
                <w:b w:val="0"/>
                <w:bCs w:val="0"/>
                <w:snapToGrid w:val="0"/>
                <w:color w:val="auto"/>
                <w:kern w:val="2"/>
                <w:sz w:val="24"/>
                <w:szCs w:val="24"/>
                <w:lang w:val="en-US" w:eastAsia="zh-CN"/>
              </w:rPr>
            </w:pPr>
            <w:r>
              <w:rPr>
                <w:rFonts w:hint="eastAsia" w:cs="Times New Roman"/>
                <w:b w:val="0"/>
                <w:bCs w:val="0"/>
                <w:snapToGrid w:val="0"/>
                <w:color w:val="auto"/>
                <w:kern w:val="2"/>
                <w:sz w:val="24"/>
                <w:szCs w:val="24"/>
                <w:lang w:val="en-US" w:eastAsia="zh-CN"/>
              </w:rPr>
              <w:t>3）</w:t>
            </w:r>
            <w:r>
              <w:rPr>
                <w:rFonts w:hint="eastAsia" w:ascii="Times New Roman" w:hAnsi="Times New Roman" w:eastAsia="宋体" w:cs="Times New Roman"/>
                <w:b w:val="0"/>
                <w:bCs w:val="0"/>
                <w:snapToGrid w:val="0"/>
                <w:color w:val="auto"/>
                <w:kern w:val="2"/>
                <w:sz w:val="24"/>
                <w:szCs w:val="24"/>
                <w:lang w:val="en-US" w:eastAsia="zh-CN"/>
              </w:rPr>
              <w:t>1#</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w:t>
            </w:r>
            <w:r>
              <w:rPr>
                <w:rFonts w:hint="eastAsia" w:cs="Times New Roman"/>
                <w:b w:val="0"/>
                <w:bCs w:val="0"/>
                <w:snapToGrid w:val="0"/>
                <w:color w:val="auto"/>
                <w:kern w:val="2"/>
                <w:sz w:val="24"/>
                <w:szCs w:val="24"/>
                <w:lang w:val="en-US" w:eastAsia="zh-CN"/>
              </w:rPr>
              <w:t xml:space="preserve">废气、固化废气 </w:t>
            </w:r>
          </w:p>
          <w:p w14:paraId="6B486A6B">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left"/>
              <w:textAlignment w:val="auto"/>
              <w:rPr>
                <w:rFonts w:hint="default" w:ascii="Times New Roman" w:hAnsi="Times New Roman" w:eastAsia="宋体" w:cs="Times New Roman"/>
                <w:color w:val="auto"/>
                <w:sz w:val="24"/>
              </w:rPr>
            </w:pPr>
            <w:r>
              <w:rPr>
                <w:rFonts w:hint="eastAsia"/>
                <w:color w:val="auto"/>
                <w:sz w:val="24"/>
                <w:lang w:eastAsia="zh-CN"/>
              </w:rPr>
              <w:t>扩建工程</w:t>
            </w:r>
            <w:r>
              <w:rPr>
                <w:rFonts w:hint="eastAsia" w:eastAsia="宋体" w:cs="Times New Roman"/>
                <w:color w:val="auto"/>
                <w:sz w:val="24"/>
                <w:szCs w:val="24"/>
                <w:lang w:eastAsia="zh-CN"/>
              </w:rPr>
              <w:t>钨合金渔坠年产能为</w:t>
            </w:r>
            <w:r>
              <w:rPr>
                <w:rFonts w:hint="eastAsia" w:ascii="Times New Roman" w:hAnsi="Times New Roman" w:eastAsia="宋体" w:cs="Times New Roman"/>
                <w:snapToGrid/>
                <w:color w:val="auto"/>
                <w:spacing w:val="0"/>
                <w:kern w:val="0"/>
                <w:position w:val="0"/>
                <w:sz w:val="24"/>
                <w:szCs w:val="24"/>
                <w:lang w:val="en-US" w:eastAsia="zh-CN"/>
              </w:rPr>
              <w:t>30</w:t>
            </w:r>
            <w:r>
              <w:rPr>
                <w:rFonts w:hint="default" w:ascii="Times New Roman" w:hAnsi="Times New Roman" w:eastAsia="宋体" w:cs="Times New Roman"/>
                <w:snapToGrid/>
                <w:color w:val="auto"/>
                <w:spacing w:val="0"/>
                <w:kern w:val="0"/>
                <w:position w:val="0"/>
                <w:sz w:val="24"/>
                <w:szCs w:val="24"/>
                <w:lang w:val="en-US" w:eastAsia="zh-CN"/>
              </w:rPr>
              <w:t>t</w:t>
            </w:r>
            <w:r>
              <w:rPr>
                <w:rFonts w:hint="eastAsia" w:ascii="Times New Roman" w:hAnsi="Times New Roman" w:eastAsia="宋体" w:cs="Times New Roman"/>
                <w:b w:val="0"/>
                <w:bCs w:val="0"/>
                <w:snapToGrid w:val="0"/>
                <w:color w:val="auto"/>
                <w:kern w:val="2"/>
                <w:sz w:val="24"/>
                <w:szCs w:val="24"/>
                <w:lang w:val="en-US" w:eastAsia="zh-CN"/>
              </w:rPr>
              <w:t>，类比得</w:t>
            </w:r>
            <w:r>
              <w:rPr>
                <w:rFonts w:hint="eastAsia"/>
                <w:color w:val="auto"/>
                <w:sz w:val="24"/>
                <w:lang w:eastAsia="zh-CN"/>
              </w:rPr>
              <w:t>扩建工程</w:t>
            </w:r>
            <w:r>
              <w:rPr>
                <w:rFonts w:hint="eastAsia" w:ascii="Times New Roman" w:hAnsi="Times New Roman" w:eastAsia="宋体" w:cs="Times New Roman"/>
                <w:b w:val="0"/>
                <w:bCs w:val="0"/>
                <w:snapToGrid w:val="0"/>
                <w:color w:val="auto"/>
                <w:kern w:val="2"/>
                <w:sz w:val="24"/>
                <w:szCs w:val="24"/>
                <w:lang w:val="en-US" w:eastAsia="zh-CN"/>
              </w:rPr>
              <w:t>1#</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、注塑工序挥发性有机物</w:t>
            </w:r>
            <w:r>
              <w:rPr>
                <w:rFonts w:hint="default" w:ascii="Times New Roman" w:hAnsi="Times New Roman" w:eastAsia="宋体" w:cs="Times New Roman"/>
                <w:b w:val="0"/>
                <w:bCs w:val="0"/>
                <w:snapToGrid w:val="0"/>
                <w:color w:val="auto"/>
                <w:kern w:val="2"/>
                <w:sz w:val="24"/>
                <w:szCs w:val="24"/>
                <w:lang w:val="en-US" w:eastAsia="zh-CN"/>
              </w:rPr>
              <w:t>产生</w:t>
            </w:r>
            <w:r>
              <w:rPr>
                <w:rFonts w:hint="eastAsia" w:ascii="Times New Roman" w:hAnsi="Times New Roman" w:eastAsia="宋体" w:cs="Times New Roman"/>
                <w:b w:val="0"/>
                <w:bCs w:val="0"/>
                <w:snapToGrid w:val="0"/>
                <w:color w:val="auto"/>
                <w:kern w:val="2"/>
                <w:sz w:val="24"/>
                <w:szCs w:val="24"/>
                <w:lang w:val="en-US" w:eastAsia="zh-CN"/>
              </w:rPr>
              <w:t>量</w:t>
            </w:r>
            <w:r>
              <w:rPr>
                <w:rFonts w:hint="default" w:ascii="Times New Roman" w:hAnsi="Times New Roman" w:eastAsia="宋体" w:cs="Times New Roman"/>
                <w:b w:val="0"/>
                <w:bCs w:val="0"/>
                <w:snapToGrid w:val="0"/>
                <w:color w:val="auto"/>
                <w:kern w:val="2"/>
                <w:sz w:val="24"/>
                <w:szCs w:val="24"/>
                <w:lang w:val="en-US" w:eastAsia="zh-CN"/>
              </w:rPr>
              <w:t>约为</w:t>
            </w:r>
            <w:r>
              <w:rPr>
                <w:rFonts w:hint="eastAsia" w:cs="Times New Roman"/>
                <w:b w:val="0"/>
                <w:bCs w:val="0"/>
                <w:snapToGrid w:val="0"/>
                <w:color w:val="auto"/>
                <w:kern w:val="2"/>
                <w:sz w:val="24"/>
                <w:szCs w:val="24"/>
                <w:lang w:val="en-US" w:eastAsia="zh-CN"/>
              </w:rPr>
              <w:t>0.528</w:t>
            </w:r>
            <w:r>
              <w:rPr>
                <w:rFonts w:hint="default" w:ascii="Times New Roman" w:hAnsi="Times New Roman" w:eastAsia="宋体" w:cs="Times New Roman"/>
                <w:b w:val="0"/>
                <w:bCs w:val="0"/>
                <w:snapToGrid w:val="0"/>
                <w:color w:val="auto"/>
                <w:kern w:val="2"/>
                <w:sz w:val="24"/>
                <w:szCs w:val="24"/>
                <w:lang w:val="en-US" w:eastAsia="zh-CN"/>
              </w:rPr>
              <w:t>t/a</w:t>
            </w:r>
            <w:r>
              <w:rPr>
                <w:rFonts w:hint="eastAsia" w:ascii="Times New Roman" w:hAnsi="Times New Roman" w:eastAsia="宋体" w:cs="Times New Roman"/>
                <w:b w:val="0"/>
                <w:bCs w:val="0"/>
                <w:snapToGrid w:val="0"/>
                <w:color w:val="auto"/>
                <w:kern w:val="2"/>
                <w:sz w:val="24"/>
                <w:szCs w:val="24"/>
                <w:lang w:val="en-US" w:eastAsia="zh-CN"/>
              </w:rPr>
              <w:t>。</w:t>
            </w:r>
          </w:p>
          <w:p w14:paraId="33DEEC31">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left"/>
              <w:textAlignment w:val="auto"/>
              <w:rPr>
                <w:rFonts w:hint="eastAsia" w:ascii="Times New Roman" w:hAnsi="Times New Roman" w:eastAsia="宋体" w:cs="Times New Roman"/>
                <w:color w:val="auto"/>
                <w:sz w:val="24"/>
                <w:lang w:eastAsia="zh-CN"/>
              </w:rPr>
            </w:pPr>
            <w:r>
              <w:rPr>
                <w:rFonts w:hint="eastAsia" w:cs="Times New Roman"/>
                <w:color w:val="auto"/>
                <w:sz w:val="24"/>
                <w:lang w:val="en-US" w:eastAsia="zh-CN"/>
              </w:rPr>
              <w:t>4</w:t>
            </w:r>
            <w:r>
              <w:rPr>
                <w:rFonts w:hint="eastAsia" w:cs="Times New Roman"/>
                <w:color w:val="auto"/>
                <w:sz w:val="24"/>
                <w:lang w:eastAsia="zh-CN"/>
              </w:rPr>
              <w:t>）</w:t>
            </w:r>
            <w:r>
              <w:rPr>
                <w:rFonts w:hint="eastAsia"/>
                <w:color w:val="auto"/>
                <w:sz w:val="24"/>
                <w:lang w:val="en-US" w:eastAsia="zh-CN"/>
              </w:rPr>
              <w:t>固化废气</w:t>
            </w:r>
          </w:p>
          <w:p w14:paraId="009E8557">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本项目需对喷塑工序处理后的工件进行高温固化，固化工序在</w:t>
            </w:r>
            <w:r>
              <w:rPr>
                <w:rFonts w:hint="eastAsia" w:cs="Times New Roman"/>
                <w:color w:val="auto"/>
                <w:sz w:val="24"/>
                <w:szCs w:val="24"/>
                <w:lang w:val="en-US" w:eastAsia="zh-CN"/>
              </w:rPr>
              <w:t>烘箱</w:t>
            </w:r>
            <w:r>
              <w:rPr>
                <w:rFonts w:hint="default" w:ascii="Times New Roman" w:hAnsi="Times New Roman" w:eastAsia="宋体" w:cs="Times New Roman"/>
                <w:color w:val="auto"/>
                <w:sz w:val="24"/>
                <w:szCs w:val="24"/>
              </w:rPr>
              <w:t>内完成，</w:t>
            </w:r>
            <w:r>
              <w:rPr>
                <w:rFonts w:hint="eastAsia" w:ascii="Times New Roman" w:hAnsi="Times New Roman" w:eastAsia="宋体" w:cs="Times New Roman"/>
                <w:color w:val="auto"/>
                <w:sz w:val="24"/>
                <w:szCs w:val="24"/>
                <w:lang w:eastAsia="zh-CN"/>
              </w:rPr>
              <w:t>烘箱</w:t>
            </w:r>
            <w:r>
              <w:rPr>
                <w:rFonts w:hint="default" w:ascii="Times New Roman" w:hAnsi="Times New Roman" w:eastAsia="宋体" w:cs="Times New Roman"/>
                <w:color w:val="auto"/>
                <w:sz w:val="24"/>
                <w:szCs w:val="24"/>
              </w:rPr>
              <w:t>采用</w:t>
            </w:r>
            <w:r>
              <w:rPr>
                <w:rFonts w:hint="eastAsia" w:ascii="Times New Roman" w:hAnsi="Times New Roman" w:eastAsia="宋体" w:cs="Times New Roman"/>
                <w:color w:val="auto"/>
                <w:sz w:val="24"/>
                <w:szCs w:val="24"/>
                <w:lang w:eastAsia="zh-CN"/>
              </w:rPr>
              <w:t>电</w:t>
            </w:r>
            <w:r>
              <w:rPr>
                <w:rFonts w:hint="default" w:ascii="Times New Roman" w:hAnsi="Times New Roman" w:eastAsia="宋体" w:cs="Times New Roman"/>
                <w:color w:val="auto"/>
                <w:sz w:val="24"/>
                <w:szCs w:val="24"/>
                <w:lang w:eastAsia="zh-CN"/>
              </w:rPr>
              <w:t>加热</w:t>
            </w:r>
            <w:r>
              <w:rPr>
                <w:rFonts w:hint="default" w:ascii="Times New Roman" w:hAnsi="Times New Roman" w:eastAsia="宋体" w:cs="Times New Roman"/>
                <w:color w:val="auto"/>
                <w:sz w:val="24"/>
                <w:szCs w:val="24"/>
              </w:rPr>
              <w:t>，固化温度180℃~200℃。固化过程中会产生一定量的有机废气。塑粉加热时的热解产物，受加工温度和热解温度的影响，加工温度和热解温度之间差距越大，危害越小。同时加工温度以及加工时间不同，其排放也不同。一般在生产过程中可能产生的有机废气包括不饱和烃、酯等，由于难以明确污染物的种类和排放量，本环评以挥发性有机物计。</w:t>
            </w:r>
          </w:p>
          <w:p w14:paraId="78D237EA">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textAlignment w:val="auto"/>
              <w:rPr>
                <w:rFonts w:hint="default" w:ascii="Times New Roman" w:hAnsi="Times New Roman" w:eastAsia="宋体" w:cs="Times New Roman"/>
                <w:bCs/>
                <w:color w:val="auto"/>
                <w:kern w:val="24"/>
                <w:sz w:val="24"/>
                <w:szCs w:val="24"/>
                <w:lang w:val="en-US" w:eastAsia="zh-CN"/>
              </w:rPr>
            </w:pPr>
            <w:r>
              <w:rPr>
                <w:color w:val="auto"/>
                <w:sz w:val="24"/>
                <w:szCs w:val="24"/>
                <w:highlight w:val="none"/>
              </w:rPr>
              <w:t>根</w:t>
            </w:r>
            <w:r>
              <w:rPr>
                <w:rFonts w:hint="eastAsia"/>
                <w:color w:val="auto"/>
                <w:sz w:val="24"/>
                <w:szCs w:val="24"/>
                <w:highlight w:val="none"/>
              </w:rPr>
              <w:t>据</w:t>
            </w:r>
            <w:r>
              <w:rPr>
                <w:rFonts w:hint="eastAsia" w:cs="Times New Roman"/>
                <w:b w:val="0"/>
                <w:bCs w:val="0"/>
                <w:snapToGrid w:val="0"/>
                <w:color w:val="auto"/>
                <w:kern w:val="2"/>
                <w:sz w:val="24"/>
                <w:szCs w:val="24"/>
                <w:lang w:val="en-US" w:eastAsia="zh-CN"/>
              </w:rPr>
              <w:t>《排放源统计调查产排污核算方法和系数手册》（33-37，431-434-机械行业系数手册）喷塑后烘干工序</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挥发性有机物的</w:t>
            </w:r>
            <w:r>
              <w:rPr>
                <w:color w:val="auto"/>
                <w:sz w:val="24"/>
                <w:szCs w:val="24"/>
                <w:highlight w:val="none"/>
              </w:rPr>
              <w:t>产</w:t>
            </w:r>
            <w:r>
              <w:rPr>
                <w:rFonts w:hint="eastAsia"/>
                <w:color w:val="auto"/>
                <w:sz w:val="24"/>
                <w:szCs w:val="24"/>
                <w:highlight w:val="none"/>
                <w:lang w:val="en-US" w:eastAsia="zh-CN"/>
              </w:rPr>
              <w:t>污系数</w:t>
            </w:r>
            <w:r>
              <w:rPr>
                <w:color w:val="auto"/>
                <w:sz w:val="24"/>
                <w:szCs w:val="24"/>
                <w:highlight w:val="none"/>
              </w:rPr>
              <w:t>为</w:t>
            </w:r>
            <w:r>
              <w:rPr>
                <w:rFonts w:hint="eastAsia"/>
                <w:color w:val="auto"/>
                <w:sz w:val="24"/>
                <w:szCs w:val="24"/>
                <w:highlight w:val="none"/>
                <w:lang w:val="en-US" w:eastAsia="zh-CN"/>
              </w:rPr>
              <w:t>1.2千克/吨-原料。</w:t>
            </w:r>
            <w:r>
              <w:rPr>
                <w:rFonts w:hint="eastAsia" w:cs="Times New Roman"/>
                <w:snapToGrid w:val="0"/>
                <w:color w:val="auto"/>
                <w:sz w:val="24"/>
                <w:szCs w:val="24"/>
                <w:lang w:eastAsia="zh-CN"/>
              </w:rPr>
              <w:t>全厂</w:t>
            </w:r>
            <w:r>
              <w:rPr>
                <w:rFonts w:hint="default" w:ascii="Times New Roman" w:hAnsi="Times New Roman" w:eastAsia="宋体" w:cs="Times New Roman"/>
                <w:snapToGrid w:val="0"/>
                <w:color w:val="auto"/>
                <w:sz w:val="24"/>
                <w:szCs w:val="24"/>
              </w:rPr>
              <w:t>塑粉年使用量为</w:t>
            </w:r>
            <w:r>
              <w:rPr>
                <w:rFonts w:hint="eastAsia" w:ascii="Times New Roman" w:hAnsi="Times New Roman" w:eastAsia="宋体" w:cs="Times New Roman"/>
                <w:snapToGrid w:val="0"/>
                <w:color w:val="auto"/>
                <w:sz w:val="24"/>
                <w:szCs w:val="24"/>
                <w:lang w:val="en-US" w:eastAsia="zh-CN"/>
              </w:rPr>
              <w:t>2</w:t>
            </w:r>
            <w:r>
              <w:rPr>
                <w:rFonts w:hint="default" w:ascii="Times New Roman" w:hAnsi="Times New Roman" w:eastAsia="宋体" w:cs="Times New Roman"/>
                <w:bCs/>
                <w:color w:val="auto"/>
                <w:kern w:val="24"/>
                <w:sz w:val="24"/>
                <w:szCs w:val="24"/>
              </w:rPr>
              <w:t>t/a，</w:t>
            </w:r>
            <w:r>
              <w:rPr>
                <w:rFonts w:hint="default" w:ascii="Times New Roman" w:hAnsi="Times New Roman" w:eastAsia="宋体" w:cs="Times New Roman"/>
                <w:bCs/>
                <w:color w:val="auto"/>
                <w:kern w:val="24"/>
                <w:sz w:val="24"/>
                <w:szCs w:val="24"/>
                <w:lang w:eastAsia="zh-CN"/>
              </w:rPr>
              <w:t>则</w:t>
            </w:r>
            <w:r>
              <w:rPr>
                <w:rFonts w:hint="eastAsia" w:cs="Times New Roman"/>
                <w:bCs/>
                <w:color w:val="auto"/>
                <w:kern w:val="24"/>
                <w:sz w:val="24"/>
                <w:szCs w:val="24"/>
                <w:lang w:eastAsia="zh-CN"/>
              </w:rPr>
              <w:t>固化</w:t>
            </w:r>
            <w:r>
              <w:rPr>
                <w:rFonts w:hint="eastAsia" w:ascii="Times New Roman" w:hAnsi="Times New Roman" w:eastAsia="宋体" w:cs="Times New Roman"/>
                <w:color w:val="auto"/>
                <w:sz w:val="24"/>
                <w:szCs w:val="24"/>
                <w:lang w:val="en-US" w:eastAsia="zh-CN"/>
              </w:rPr>
              <w:t>挥发性有机物</w:t>
            </w:r>
            <w:r>
              <w:rPr>
                <w:rFonts w:hint="default" w:ascii="Times New Roman" w:hAnsi="Times New Roman" w:eastAsia="宋体" w:cs="Times New Roman"/>
                <w:bCs/>
                <w:color w:val="auto"/>
                <w:kern w:val="24"/>
                <w:sz w:val="24"/>
                <w:szCs w:val="24"/>
                <w:lang w:eastAsia="zh-CN"/>
              </w:rPr>
              <w:t>产生量</w:t>
            </w:r>
            <w:r>
              <w:rPr>
                <w:rFonts w:hint="eastAsia" w:ascii="Times New Roman" w:hAnsi="Times New Roman" w:eastAsia="宋体" w:cs="Times New Roman"/>
                <w:bCs/>
                <w:color w:val="auto"/>
                <w:kern w:val="24"/>
                <w:sz w:val="24"/>
                <w:szCs w:val="24"/>
                <w:lang w:val="en-US" w:eastAsia="zh-CN"/>
              </w:rPr>
              <w:t>0.0024</w:t>
            </w:r>
            <w:r>
              <w:rPr>
                <w:rFonts w:hint="default" w:ascii="Times New Roman" w:hAnsi="Times New Roman" w:eastAsia="宋体" w:cs="Times New Roman"/>
                <w:bCs/>
                <w:color w:val="auto"/>
                <w:kern w:val="24"/>
                <w:sz w:val="24"/>
                <w:szCs w:val="24"/>
                <w:lang w:val="en-US" w:eastAsia="zh-CN"/>
              </w:rPr>
              <w:t>t/a。</w:t>
            </w:r>
          </w:p>
          <w:p w14:paraId="65033F56">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left"/>
              <w:textAlignment w:val="auto"/>
              <w:rPr>
                <w:rFonts w:hint="default" w:ascii="Times New Roman" w:hAnsi="Times New Roman" w:eastAsia="宋体" w:cs="Times New Roman"/>
                <w:b w:val="0"/>
                <w:bCs w:val="0"/>
                <w:snapToGrid w:val="0"/>
                <w:color w:val="auto"/>
                <w:kern w:val="2"/>
                <w:sz w:val="24"/>
                <w:szCs w:val="24"/>
                <w:lang w:val="en-US" w:eastAsia="zh-CN"/>
              </w:rPr>
            </w:pPr>
            <w:r>
              <w:rPr>
                <w:rFonts w:hint="default" w:ascii="Times New Roman" w:hAnsi="Times New Roman" w:eastAsia="宋体" w:cs="Times New Roman"/>
                <w:color w:val="auto"/>
                <w:sz w:val="24"/>
              </w:rPr>
              <w:t>本环评要求</w:t>
            </w:r>
            <w:r>
              <w:rPr>
                <w:rFonts w:hint="default" w:ascii="Times New Roman" w:hAnsi="Times New Roman" w:eastAsia="宋体" w:cs="Times New Roman"/>
                <w:b w:val="0"/>
                <w:bCs w:val="0"/>
                <w:snapToGrid w:val="0"/>
                <w:color w:val="auto"/>
                <w:kern w:val="2"/>
                <w:sz w:val="24"/>
                <w:szCs w:val="24"/>
                <w:lang w:val="en-US" w:eastAsia="zh-CN"/>
              </w:rPr>
              <w:t>扩建</w:t>
            </w:r>
            <w:r>
              <w:rPr>
                <w:rFonts w:hint="eastAsia" w:cs="Times New Roman"/>
                <w:b w:val="0"/>
                <w:bCs w:val="0"/>
                <w:snapToGrid w:val="0"/>
                <w:color w:val="auto"/>
                <w:kern w:val="2"/>
                <w:sz w:val="24"/>
                <w:szCs w:val="24"/>
                <w:lang w:val="en-US" w:eastAsia="zh-CN"/>
              </w:rPr>
              <w:t>工程的2#生产车间注塑机、固化炉产气点</w:t>
            </w:r>
            <w:r>
              <w:rPr>
                <w:rFonts w:hint="default" w:ascii="Times New Roman" w:hAnsi="Times New Roman" w:eastAsia="宋体" w:cs="Times New Roman"/>
                <w:color w:val="auto"/>
                <w:sz w:val="24"/>
              </w:rPr>
              <w:t>上方设置</w:t>
            </w:r>
            <w:r>
              <w:rPr>
                <w:rFonts w:hint="default" w:ascii="Times New Roman" w:hAnsi="Times New Roman" w:eastAsia="宋体" w:cs="Times New Roman"/>
                <w:color w:val="auto"/>
                <w:spacing w:val="-2"/>
                <w:sz w:val="24"/>
              </w:rPr>
              <w:t>集气罩收集</w:t>
            </w:r>
            <w:r>
              <w:rPr>
                <w:rFonts w:hint="eastAsia" w:ascii="Times New Roman" w:hAnsi="Times New Roman" w:eastAsia="宋体" w:cs="Times New Roman"/>
                <w:color w:val="auto"/>
                <w:sz w:val="24"/>
                <w:lang w:val="en-US" w:eastAsia="zh-CN"/>
              </w:rPr>
              <w:t>挥发性有机物</w:t>
            </w:r>
            <w:r>
              <w:rPr>
                <w:rFonts w:hint="default" w:ascii="Times New Roman" w:hAnsi="Times New Roman" w:eastAsia="宋体" w:cs="Times New Roman"/>
                <w:color w:val="auto"/>
                <w:spacing w:val="-2"/>
                <w:sz w:val="24"/>
              </w:rPr>
              <w:t>，</w:t>
            </w:r>
            <w:r>
              <w:rPr>
                <w:rFonts w:hint="default" w:ascii="Times New Roman" w:hAnsi="Times New Roman" w:eastAsia="宋体" w:cs="Times New Roman"/>
                <w:color w:val="auto"/>
                <w:sz w:val="24"/>
                <w:lang w:val="en-US" w:eastAsia="zh-CN"/>
              </w:rPr>
              <w:t>和</w:t>
            </w:r>
            <w:r>
              <w:rPr>
                <w:rFonts w:hint="default" w:ascii="Times New Roman" w:hAnsi="Times New Roman" w:eastAsia="宋体" w:cs="Times New Roman"/>
                <w:color w:val="auto"/>
                <w:sz w:val="24"/>
                <w:lang w:eastAsia="zh-CN"/>
              </w:rPr>
              <w:t>现有工程的</w:t>
            </w:r>
            <w:r>
              <w:rPr>
                <w:rFonts w:hint="eastAsia" w:ascii="Times New Roman" w:hAnsi="Times New Roman" w:eastAsia="宋体" w:cs="Times New Roman"/>
                <w:b w:val="0"/>
                <w:bCs w:val="0"/>
                <w:snapToGrid w:val="0"/>
                <w:color w:val="auto"/>
                <w:kern w:val="2"/>
                <w:sz w:val="24"/>
                <w:szCs w:val="24"/>
                <w:lang w:val="en-US" w:eastAsia="zh-CN"/>
              </w:rPr>
              <w:t>1#</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w:t>
            </w:r>
            <w:r>
              <w:rPr>
                <w:rFonts w:hint="eastAsia" w:ascii="Times New Roman" w:hAnsi="Times New Roman" w:eastAsia="宋体" w:cs="Times New Roman"/>
                <w:color w:val="auto"/>
                <w:sz w:val="24"/>
                <w:lang w:val="en-US" w:eastAsia="zh-CN"/>
              </w:rPr>
              <w:t>挥发性有机物</w:t>
            </w:r>
            <w:r>
              <w:rPr>
                <w:rFonts w:hint="default" w:ascii="Times New Roman" w:hAnsi="Times New Roman" w:eastAsia="宋体" w:cs="Times New Roman"/>
                <w:color w:val="auto"/>
                <w:sz w:val="24"/>
                <w:lang w:val="en-US" w:eastAsia="zh-CN"/>
              </w:rPr>
              <w:t>一同汇入</w:t>
            </w:r>
            <w:r>
              <w:rPr>
                <w:rFonts w:hint="eastAsia" w:ascii="Times New Roman" w:hAnsi="Times New Roman" w:eastAsia="宋体" w:cs="Times New Roman"/>
                <w:color w:val="auto"/>
                <w:sz w:val="24"/>
                <w:lang w:val="en-US" w:eastAsia="zh-CN"/>
              </w:rPr>
              <w:t>二级活性炭吸附装置</w:t>
            </w:r>
            <w:r>
              <w:rPr>
                <w:rFonts w:hint="default" w:ascii="Times New Roman" w:hAnsi="Times New Roman" w:eastAsia="宋体" w:cs="Times New Roman"/>
                <w:color w:val="auto"/>
                <w:sz w:val="24"/>
                <w:lang w:val="en-US" w:eastAsia="zh-CN"/>
              </w:rPr>
              <w:t>处理，处理后尾气通过一个15m高排气筒（DA00</w:t>
            </w:r>
            <w:r>
              <w:rPr>
                <w:rFonts w:hint="eastAsia" w:cs="Times New Roman"/>
                <w:color w:val="auto"/>
                <w:sz w:val="24"/>
                <w:lang w:val="en-US" w:eastAsia="zh-CN"/>
              </w:rPr>
              <w:t>3</w:t>
            </w:r>
            <w:r>
              <w:rPr>
                <w:rFonts w:hint="default" w:ascii="Times New Roman" w:hAnsi="Times New Roman" w:eastAsia="宋体" w:cs="Times New Roman"/>
                <w:color w:val="auto"/>
                <w:sz w:val="24"/>
                <w:lang w:val="en-US" w:eastAsia="zh-CN"/>
              </w:rPr>
              <w:t>）排放</w:t>
            </w:r>
            <w:r>
              <w:rPr>
                <w:rFonts w:hint="default" w:ascii="Times New Roman" w:hAnsi="Times New Roman" w:eastAsia="宋体" w:cs="Times New Roman"/>
                <w:color w:val="auto"/>
                <w:sz w:val="24"/>
              </w:rPr>
              <w:t>。</w:t>
            </w:r>
            <w:r>
              <w:rPr>
                <w:rFonts w:hint="eastAsia" w:ascii="Times New Roman" w:hAnsi="Times New Roman" w:eastAsia="宋体" w:cs="Times New Roman"/>
                <w:b w:val="0"/>
                <w:bCs w:val="0"/>
                <w:snapToGrid w:val="0"/>
                <w:color w:val="auto"/>
                <w:kern w:val="2"/>
                <w:sz w:val="24"/>
                <w:szCs w:val="24"/>
                <w:lang w:val="en-US" w:eastAsia="zh-CN"/>
              </w:rPr>
              <w:t>1#</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w:t>
            </w:r>
            <w:r>
              <w:rPr>
                <w:rFonts w:hint="eastAsia" w:ascii="Times New Roman" w:hAnsi="Times New Roman" w:eastAsia="宋体" w:cs="Times New Roman"/>
                <w:color w:val="auto"/>
                <w:sz w:val="24"/>
                <w:lang w:eastAsia="zh-CN"/>
              </w:rPr>
              <w:t>工序</w:t>
            </w:r>
            <w:r>
              <w:rPr>
                <w:rFonts w:hint="eastAsia" w:cs="Times New Roman"/>
                <w:b w:val="0"/>
                <w:bCs w:val="0"/>
                <w:color w:val="auto"/>
                <w:spacing w:val="-2"/>
                <w:sz w:val="24"/>
                <w:szCs w:val="24"/>
                <w:highlight w:val="none"/>
                <w:lang w:val="en-US" w:eastAsia="zh-CN"/>
              </w:rPr>
              <w:t>原有风机风量为</w:t>
            </w:r>
            <w:r>
              <w:rPr>
                <w:rFonts w:hint="eastAsia" w:cs="Times New Roman"/>
                <w:color w:val="auto"/>
                <w:sz w:val="24"/>
                <w:lang w:val="en-US" w:eastAsia="zh-CN"/>
              </w:rPr>
              <w:t>60</w:t>
            </w:r>
            <w:r>
              <w:rPr>
                <w:rFonts w:hint="default" w:ascii="Times New Roman" w:hAnsi="Times New Roman" w:eastAsia="宋体" w:cs="Times New Roman"/>
                <w:color w:val="auto"/>
                <w:sz w:val="24"/>
                <w:lang w:val="en-US" w:eastAsia="zh-CN"/>
              </w:rPr>
              <w:t>00</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/h</w:t>
            </w:r>
            <w:r>
              <w:rPr>
                <w:rFonts w:hint="default"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挥发性有机物</w:t>
            </w:r>
            <w:r>
              <w:rPr>
                <w:rFonts w:hint="default" w:ascii="Times New Roman" w:hAnsi="Times New Roman" w:eastAsia="宋体" w:cs="Times New Roman"/>
                <w:color w:val="auto"/>
                <w:spacing w:val="-2"/>
                <w:sz w:val="24"/>
              </w:rPr>
              <w:t>的集气效率取</w:t>
            </w:r>
            <w:r>
              <w:rPr>
                <w:rFonts w:hint="default" w:ascii="Times New Roman" w:hAnsi="Times New Roman" w:eastAsia="宋体" w:cs="Times New Roman"/>
                <w:color w:val="auto"/>
                <w:spacing w:val="-2"/>
                <w:sz w:val="24"/>
                <w:lang w:val="en-US" w:eastAsia="zh-CN"/>
              </w:rPr>
              <w:t>90</w:t>
            </w:r>
            <w:r>
              <w:rPr>
                <w:rFonts w:hint="default" w:ascii="Times New Roman" w:hAnsi="Times New Roman" w:eastAsia="宋体" w:cs="Times New Roman"/>
                <w:color w:val="auto"/>
                <w:spacing w:val="-2"/>
                <w:sz w:val="24"/>
              </w:rPr>
              <w:t>%。</w:t>
            </w:r>
          </w:p>
          <w:p w14:paraId="1B2B8E9F">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left"/>
              <w:textAlignment w:val="auto"/>
              <w:rPr>
                <w:rFonts w:hint="default" w:ascii="Times New Roman" w:hAnsi="Times New Roman" w:eastAsia="宋体" w:cs="Times New Roman"/>
                <w:b w:val="0"/>
                <w:bCs w:val="0"/>
                <w:snapToGrid w:val="0"/>
                <w:color w:val="auto"/>
                <w:kern w:val="2"/>
                <w:sz w:val="24"/>
                <w:szCs w:val="24"/>
                <w:lang w:val="en-US" w:eastAsia="zh-CN"/>
              </w:rPr>
            </w:pPr>
            <w:r>
              <w:rPr>
                <w:rFonts w:hint="default" w:ascii="Times New Roman" w:hAnsi="Times New Roman" w:eastAsia="宋体" w:cs="Times New Roman"/>
                <w:color w:val="auto"/>
                <w:sz w:val="24"/>
              </w:rPr>
              <w:t>则</w:t>
            </w:r>
            <w:r>
              <w:rPr>
                <w:rFonts w:hint="default" w:ascii="Times New Roman" w:hAnsi="Times New Roman" w:eastAsia="宋体" w:cs="Times New Roman"/>
                <w:b w:val="0"/>
                <w:bCs w:val="0"/>
                <w:snapToGrid w:val="0"/>
                <w:color w:val="auto"/>
                <w:kern w:val="2"/>
                <w:sz w:val="24"/>
                <w:szCs w:val="24"/>
                <w:lang w:val="en-US" w:eastAsia="zh-CN"/>
              </w:rPr>
              <w:t>扩建</w:t>
            </w:r>
            <w:r>
              <w:rPr>
                <w:rFonts w:hint="eastAsia" w:cs="Times New Roman"/>
                <w:b w:val="0"/>
                <w:bCs w:val="0"/>
                <w:snapToGrid w:val="0"/>
                <w:color w:val="auto"/>
                <w:kern w:val="2"/>
                <w:sz w:val="24"/>
                <w:szCs w:val="24"/>
                <w:lang w:val="en-US" w:eastAsia="zh-CN"/>
              </w:rPr>
              <w:t>工程</w:t>
            </w:r>
            <w:r>
              <w:rPr>
                <w:rFonts w:hint="eastAsia" w:ascii="Times New Roman" w:hAnsi="Times New Roman" w:eastAsia="宋体" w:cs="Times New Roman"/>
                <w:b w:val="0"/>
                <w:bCs w:val="0"/>
                <w:snapToGrid w:val="0"/>
                <w:color w:val="auto"/>
                <w:kern w:val="2"/>
                <w:sz w:val="24"/>
                <w:szCs w:val="24"/>
                <w:lang w:val="en-US" w:eastAsia="zh-CN"/>
              </w:rPr>
              <w:t>1#</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w:t>
            </w:r>
            <w:r>
              <w:rPr>
                <w:rFonts w:hint="eastAsia" w:cs="Times New Roman"/>
                <w:b w:val="0"/>
                <w:bCs w:val="0"/>
                <w:snapToGrid w:val="0"/>
                <w:color w:val="auto"/>
                <w:kern w:val="2"/>
                <w:sz w:val="24"/>
                <w:szCs w:val="24"/>
                <w:lang w:val="en-US" w:eastAsia="zh-CN"/>
              </w:rPr>
              <w:t>及固化</w:t>
            </w:r>
            <w:r>
              <w:rPr>
                <w:rFonts w:hint="eastAsia" w:ascii="Times New Roman" w:hAnsi="Times New Roman" w:eastAsia="宋体" w:cs="Times New Roman"/>
                <w:color w:val="auto"/>
                <w:sz w:val="24"/>
                <w:lang w:val="en-US" w:eastAsia="zh-CN"/>
              </w:rPr>
              <w:t>挥发性有机物</w:t>
            </w:r>
            <w:r>
              <w:rPr>
                <w:rFonts w:hint="default" w:ascii="Times New Roman" w:hAnsi="Times New Roman" w:eastAsia="宋体" w:cs="Times New Roman"/>
                <w:color w:val="auto"/>
                <w:sz w:val="24"/>
              </w:rPr>
              <w:t>有组织产生量约为</w:t>
            </w:r>
            <w:r>
              <w:rPr>
                <w:rFonts w:hint="eastAsia" w:cs="Times New Roman"/>
                <w:color w:val="auto"/>
                <w:sz w:val="24"/>
                <w:lang w:val="en-US" w:eastAsia="zh-CN"/>
              </w:rPr>
              <w:t>0.477</w:t>
            </w:r>
            <w:r>
              <w:rPr>
                <w:rFonts w:hint="default" w:ascii="Times New Roman" w:hAnsi="Times New Roman" w:eastAsia="宋体" w:cs="Times New Roman"/>
                <w:color w:val="auto"/>
                <w:sz w:val="24"/>
                <w:lang w:val="en-US" w:eastAsia="zh-CN"/>
              </w:rPr>
              <w:t>t</w:t>
            </w:r>
            <w:r>
              <w:rPr>
                <w:rFonts w:hint="default" w:ascii="Times New Roman" w:hAnsi="Times New Roman" w:eastAsia="宋体" w:cs="Times New Roman"/>
                <w:color w:val="auto"/>
                <w:sz w:val="24"/>
              </w:rPr>
              <w:t>/a，有组织产生浓度</w:t>
            </w:r>
            <w:r>
              <w:rPr>
                <w:rFonts w:hint="eastAsia" w:cs="Times New Roman"/>
                <w:color w:val="auto"/>
                <w:sz w:val="24"/>
                <w:lang w:eastAsia="zh-CN"/>
              </w:rPr>
              <w:t>约</w:t>
            </w:r>
            <w:r>
              <w:rPr>
                <w:rFonts w:hint="default" w:ascii="Times New Roman" w:hAnsi="Times New Roman" w:eastAsia="宋体" w:cs="Times New Roman"/>
                <w:color w:val="auto"/>
                <w:sz w:val="24"/>
              </w:rPr>
              <w:t>为</w:t>
            </w:r>
            <w:r>
              <w:rPr>
                <w:rFonts w:hint="eastAsia" w:cs="Times New Roman"/>
                <w:color w:val="auto"/>
                <w:sz w:val="24"/>
                <w:lang w:val="en-US" w:eastAsia="zh-CN"/>
              </w:rPr>
              <w:t>11.05</w:t>
            </w:r>
            <w:r>
              <w:rPr>
                <w:rFonts w:hint="default" w:ascii="Times New Roman" w:hAnsi="Times New Roman" w:eastAsia="宋体" w:cs="Times New Roman"/>
                <w:color w:val="auto"/>
                <w:sz w:val="24"/>
                <w:szCs w:val="24"/>
              </w:rPr>
              <w:t>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w:t>
            </w:r>
            <w:r>
              <w:rPr>
                <w:rFonts w:hint="eastAsia" w:cs="Times New Roman"/>
                <w:color w:val="auto"/>
                <w:sz w:val="24"/>
                <w:szCs w:val="24"/>
                <w:lang w:eastAsia="zh-CN"/>
              </w:rPr>
              <w:t>二级活性炭吸附效率取</w:t>
            </w:r>
            <w:r>
              <w:rPr>
                <w:rFonts w:hint="eastAsia" w:cs="Times New Roman"/>
                <w:color w:val="auto"/>
                <w:sz w:val="24"/>
                <w:szCs w:val="24"/>
                <w:lang w:val="en-US" w:eastAsia="zh-CN"/>
              </w:rPr>
              <w:t>90%，</w:t>
            </w:r>
            <w:r>
              <w:rPr>
                <w:rFonts w:hint="default" w:ascii="Times New Roman" w:hAnsi="Times New Roman" w:eastAsia="宋体" w:cs="Times New Roman"/>
                <w:color w:val="auto"/>
                <w:sz w:val="24"/>
                <w:szCs w:val="24"/>
              </w:rPr>
              <w:t>经</w:t>
            </w:r>
            <w:r>
              <w:rPr>
                <w:rFonts w:hint="eastAsia" w:ascii="Times New Roman" w:hAnsi="Times New Roman" w:eastAsia="宋体" w:cs="Times New Roman"/>
                <w:color w:val="auto"/>
                <w:sz w:val="24"/>
                <w:szCs w:val="24"/>
                <w:lang w:val="en-US" w:eastAsia="zh-CN"/>
              </w:rPr>
              <w:t>二级活性炭吸附装置</w:t>
            </w:r>
            <w:r>
              <w:rPr>
                <w:rFonts w:hint="default" w:ascii="Times New Roman" w:hAnsi="Times New Roman" w:eastAsia="宋体" w:cs="Times New Roman"/>
                <w:color w:val="auto"/>
                <w:sz w:val="24"/>
                <w:szCs w:val="24"/>
              </w:rPr>
              <w:t>处理后</w:t>
            </w:r>
            <w:r>
              <w:rPr>
                <w:rFonts w:hint="eastAsia" w:ascii="Times New Roman" w:hAnsi="Times New Roman" w:eastAsia="宋体" w:cs="Times New Roman"/>
                <w:b w:val="0"/>
                <w:bCs w:val="0"/>
                <w:snapToGrid w:val="0"/>
                <w:color w:val="auto"/>
                <w:kern w:val="2"/>
                <w:sz w:val="24"/>
                <w:szCs w:val="24"/>
                <w:lang w:val="en-US" w:eastAsia="zh-CN"/>
              </w:rPr>
              <w:t>1#</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w:t>
            </w:r>
            <w:r>
              <w:rPr>
                <w:rFonts w:hint="eastAsia" w:ascii="Times New Roman" w:hAnsi="Times New Roman" w:eastAsia="宋体" w:cs="Times New Roman"/>
                <w:color w:val="auto"/>
                <w:sz w:val="24"/>
                <w:szCs w:val="24"/>
                <w:lang w:val="en-US" w:eastAsia="zh-CN"/>
              </w:rPr>
              <w:t>挥发性有机物</w:t>
            </w:r>
            <w:r>
              <w:rPr>
                <w:rFonts w:hint="default" w:ascii="Times New Roman" w:hAnsi="Times New Roman" w:eastAsia="宋体" w:cs="Times New Roman"/>
                <w:color w:val="auto"/>
                <w:sz w:val="24"/>
                <w:szCs w:val="24"/>
                <w:lang w:eastAsia="zh-CN"/>
              </w:rPr>
              <w:t>有组织</w:t>
            </w:r>
            <w:r>
              <w:rPr>
                <w:rFonts w:hint="default" w:ascii="Times New Roman" w:hAnsi="Times New Roman" w:eastAsia="宋体" w:cs="Times New Roman"/>
                <w:color w:val="auto"/>
                <w:sz w:val="24"/>
                <w:szCs w:val="24"/>
              </w:rPr>
              <w:t>排放量约为</w:t>
            </w:r>
            <w:r>
              <w:rPr>
                <w:rFonts w:hint="eastAsia" w:cs="Times New Roman"/>
                <w:color w:val="auto"/>
                <w:sz w:val="24"/>
                <w:szCs w:val="24"/>
                <w:lang w:val="en-US" w:eastAsia="zh-CN"/>
              </w:rPr>
              <w:t>0.0477</w:t>
            </w:r>
            <w:r>
              <w:rPr>
                <w:rFonts w:hint="default" w:ascii="Times New Roman" w:hAnsi="Times New Roman" w:eastAsia="宋体" w:cs="Times New Roman"/>
                <w:color w:val="auto"/>
                <w:sz w:val="24"/>
                <w:szCs w:val="24"/>
              </w:rPr>
              <w:t>t/a，排放速率约为</w:t>
            </w:r>
            <w:r>
              <w:rPr>
                <w:rFonts w:hint="eastAsia" w:cs="Times New Roman"/>
                <w:color w:val="auto"/>
                <w:sz w:val="24"/>
                <w:szCs w:val="24"/>
                <w:lang w:val="en-US" w:eastAsia="zh-CN"/>
              </w:rPr>
              <w:t>6.6</w:t>
            </w:r>
            <w:r>
              <w:rPr>
                <w:rFonts w:hint="default" w:ascii="Arial" w:hAnsi="Arial" w:eastAsia="宋体" w:cs="Arial"/>
                <w:b w:val="0"/>
                <w:bCs w:val="0"/>
                <w:color w:val="auto"/>
                <w:sz w:val="24"/>
                <w:szCs w:val="24"/>
                <w:lang w:val="en-US" w:eastAsia="zh-CN"/>
              </w:rPr>
              <w:t>×</w:t>
            </w:r>
            <w:r>
              <w:rPr>
                <w:rFonts w:hint="eastAsia" w:eastAsia="宋体" w:cs="Times New Roman"/>
                <w:b w:val="0"/>
                <w:bCs w:val="0"/>
                <w:color w:val="auto"/>
                <w:sz w:val="24"/>
                <w:szCs w:val="24"/>
                <w:lang w:val="en-US" w:eastAsia="zh-CN"/>
              </w:rPr>
              <w:t>10</w:t>
            </w:r>
            <w:r>
              <w:rPr>
                <w:rFonts w:hint="eastAsia" w:eastAsia="宋体" w:cs="Times New Roman"/>
                <w:b w:val="0"/>
                <w:bCs w:val="0"/>
                <w:color w:val="auto"/>
                <w:sz w:val="24"/>
                <w:szCs w:val="24"/>
                <w:vertAlign w:val="superscript"/>
                <w:lang w:val="en-US" w:eastAsia="zh-CN"/>
              </w:rPr>
              <w:t>-</w:t>
            </w:r>
            <w:r>
              <w:rPr>
                <w:rFonts w:hint="eastAsia" w:cs="Times New Roman"/>
                <w:b w:val="0"/>
                <w:bCs w:val="0"/>
                <w:color w:val="auto"/>
                <w:sz w:val="24"/>
                <w:szCs w:val="24"/>
                <w:vertAlign w:val="superscript"/>
                <w:lang w:val="en-US" w:eastAsia="zh-CN"/>
              </w:rPr>
              <w:t>3</w:t>
            </w:r>
            <w:r>
              <w:rPr>
                <w:rFonts w:hint="default" w:ascii="Times New Roman" w:hAnsi="Times New Roman" w:eastAsia="宋体" w:cs="Times New Roman"/>
                <w:color w:val="auto"/>
                <w:sz w:val="24"/>
                <w:szCs w:val="24"/>
              </w:rPr>
              <w:t>kg/h，排放浓度约为</w:t>
            </w:r>
            <w:r>
              <w:rPr>
                <w:rFonts w:hint="eastAsia" w:cs="Times New Roman"/>
                <w:color w:val="auto"/>
                <w:sz w:val="24"/>
                <w:szCs w:val="24"/>
                <w:lang w:val="en-US" w:eastAsia="zh-CN"/>
              </w:rPr>
              <w:t>1.11</w:t>
            </w:r>
            <w:r>
              <w:rPr>
                <w:rFonts w:hint="default" w:ascii="Times New Roman" w:hAnsi="Times New Roman" w:eastAsia="宋体" w:cs="Times New Roman"/>
                <w:color w:val="auto"/>
                <w:sz w:val="24"/>
                <w:szCs w:val="24"/>
              </w:rPr>
              <w:t>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w:t>
            </w:r>
          </w:p>
          <w:p w14:paraId="5075D805">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left"/>
              <w:textAlignment w:val="auto"/>
              <w:rPr>
                <w:rFonts w:hint="default" w:ascii="Times New Roman" w:hAnsi="Times New Roman" w:eastAsia="宋体" w:cs="Times New Roman"/>
                <w:b w:val="0"/>
                <w:bCs w:val="0"/>
                <w:snapToGrid w:val="0"/>
                <w:color w:val="auto"/>
                <w:kern w:val="2"/>
                <w:sz w:val="24"/>
                <w:szCs w:val="24"/>
                <w:lang w:val="en-US" w:eastAsia="zh-CN"/>
              </w:rPr>
            </w:pPr>
            <w:r>
              <w:rPr>
                <w:rFonts w:hint="default" w:ascii="Times New Roman" w:hAnsi="Times New Roman" w:eastAsia="宋体" w:cs="Times New Roman"/>
                <w:b w:val="0"/>
                <w:bCs w:val="0"/>
                <w:snapToGrid w:val="0"/>
                <w:color w:val="auto"/>
                <w:kern w:val="2"/>
                <w:sz w:val="24"/>
                <w:szCs w:val="24"/>
                <w:lang w:val="en-US" w:eastAsia="zh-CN"/>
              </w:rPr>
              <w:t>扩建</w:t>
            </w:r>
            <w:r>
              <w:rPr>
                <w:rFonts w:hint="eastAsia" w:cs="Times New Roman"/>
                <w:b w:val="0"/>
                <w:bCs w:val="0"/>
                <w:snapToGrid w:val="0"/>
                <w:color w:val="auto"/>
                <w:kern w:val="2"/>
                <w:sz w:val="24"/>
                <w:szCs w:val="24"/>
                <w:lang w:val="en-US" w:eastAsia="zh-CN"/>
              </w:rPr>
              <w:t>工程</w:t>
            </w:r>
            <w:r>
              <w:rPr>
                <w:rFonts w:hint="eastAsia" w:ascii="Times New Roman" w:hAnsi="Times New Roman" w:eastAsia="宋体" w:cs="Times New Roman"/>
                <w:b w:val="0"/>
                <w:bCs w:val="0"/>
                <w:snapToGrid w:val="0"/>
                <w:color w:val="auto"/>
                <w:kern w:val="2"/>
                <w:sz w:val="24"/>
                <w:szCs w:val="24"/>
                <w:lang w:val="en-US" w:eastAsia="zh-CN"/>
              </w:rPr>
              <w:t>1#</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w:t>
            </w:r>
            <w:r>
              <w:rPr>
                <w:rFonts w:hint="eastAsia" w:cs="Times New Roman"/>
                <w:b w:val="0"/>
                <w:bCs w:val="0"/>
                <w:snapToGrid w:val="0"/>
                <w:color w:val="auto"/>
                <w:kern w:val="2"/>
                <w:sz w:val="24"/>
                <w:szCs w:val="24"/>
                <w:lang w:val="en-US" w:eastAsia="zh-CN"/>
              </w:rPr>
              <w:t>工序</w:t>
            </w:r>
            <w:r>
              <w:rPr>
                <w:rFonts w:hint="eastAsia" w:ascii="Times New Roman" w:hAnsi="Times New Roman" w:eastAsia="宋体" w:cs="Times New Roman"/>
                <w:color w:val="auto"/>
                <w:sz w:val="24"/>
                <w:lang w:val="en-US" w:eastAsia="zh-CN"/>
              </w:rPr>
              <w:t>挥发性有机物</w:t>
            </w:r>
            <w:r>
              <w:rPr>
                <w:rFonts w:hint="default" w:ascii="Times New Roman" w:hAnsi="Times New Roman" w:eastAsia="宋体" w:cs="Times New Roman"/>
                <w:color w:val="auto"/>
                <w:sz w:val="24"/>
              </w:rPr>
              <w:t>无组织</w:t>
            </w:r>
            <w:r>
              <w:rPr>
                <w:rFonts w:hint="eastAsia" w:ascii="Times New Roman" w:hAnsi="Times New Roman" w:eastAsia="宋体" w:cs="Times New Roman"/>
                <w:color w:val="auto"/>
                <w:sz w:val="24"/>
                <w:lang w:eastAsia="zh-CN"/>
              </w:rPr>
              <w:t>排放</w:t>
            </w:r>
            <w:r>
              <w:rPr>
                <w:rFonts w:hint="default" w:ascii="Times New Roman" w:hAnsi="Times New Roman" w:eastAsia="宋体" w:cs="Times New Roman"/>
                <w:color w:val="auto"/>
                <w:sz w:val="24"/>
              </w:rPr>
              <w:t>量约</w:t>
            </w:r>
            <w:r>
              <w:rPr>
                <w:rFonts w:hint="eastAsia" w:cs="Times New Roman"/>
                <w:color w:val="auto"/>
                <w:sz w:val="24"/>
                <w:lang w:val="en-US" w:eastAsia="zh-CN"/>
              </w:rPr>
              <w:t>0.0534</w:t>
            </w:r>
            <w:r>
              <w:rPr>
                <w:rFonts w:hint="default" w:ascii="Times New Roman" w:hAnsi="Times New Roman" w:eastAsia="宋体" w:cs="Times New Roman"/>
                <w:color w:val="auto"/>
                <w:sz w:val="24"/>
              </w:rPr>
              <w:t>t/a。</w:t>
            </w:r>
          </w:p>
          <w:p w14:paraId="3B67BAD3">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left"/>
              <w:textAlignment w:val="auto"/>
              <w:rPr>
                <w:rFonts w:hint="eastAsia" w:cs="Times New Roman"/>
                <w:b w:val="0"/>
                <w:bCs w:val="0"/>
                <w:snapToGrid w:val="0"/>
                <w:color w:val="auto"/>
                <w:kern w:val="2"/>
                <w:sz w:val="24"/>
                <w:szCs w:val="24"/>
                <w:lang w:val="en-US" w:eastAsia="zh-CN"/>
              </w:rPr>
            </w:pPr>
            <w:r>
              <w:rPr>
                <w:rFonts w:hint="default" w:ascii="Times New Roman" w:hAnsi="Times New Roman" w:eastAsia="宋体" w:cs="Times New Roman"/>
                <w:color w:val="auto"/>
                <w:sz w:val="24"/>
                <w:lang w:eastAsia="zh-CN"/>
              </w:rPr>
              <w:t>根据建设单位提供资料，</w:t>
            </w:r>
            <w:r>
              <w:rPr>
                <w:rFonts w:hint="default" w:ascii="Times New Roman" w:hAnsi="Times New Roman" w:eastAsia="宋体" w:cs="Times New Roman"/>
                <w:b w:val="0"/>
                <w:bCs w:val="0"/>
                <w:snapToGrid w:val="0"/>
                <w:color w:val="auto"/>
                <w:kern w:val="2"/>
                <w:sz w:val="24"/>
                <w:szCs w:val="24"/>
                <w:lang w:val="en-US" w:eastAsia="zh-CN"/>
              </w:rPr>
              <w:t>扩建</w:t>
            </w:r>
            <w:r>
              <w:rPr>
                <w:rFonts w:hint="eastAsia" w:cs="Times New Roman"/>
                <w:b w:val="0"/>
                <w:bCs w:val="0"/>
                <w:snapToGrid w:val="0"/>
                <w:color w:val="auto"/>
                <w:kern w:val="2"/>
                <w:sz w:val="24"/>
                <w:szCs w:val="24"/>
                <w:lang w:val="en-US" w:eastAsia="zh-CN"/>
              </w:rPr>
              <w:t>工程的</w:t>
            </w:r>
            <w:r>
              <w:rPr>
                <w:rFonts w:hint="eastAsia" w:ascii="Times New Roman" w:hAnsi="Times New Roman" w:eastAsia="宋体" w:cs="Times New Roman"/>
                <w:b w:val="0"/>
                <w:bCs w:val="0"/>
                <w:snapToGrid w:val="0"/>
                <w:color w:val="auto"/>
                <w:kern w:val="2"/>
                <w:sz w:val="24"/>
                <w:szCs w:val="24"/>
                <w:lang w:val="en-US" w:eastAsia="zh-CN"/>
              </w:rPr>
              <w:t>1#</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、注塑工序</w:t>
            </w:r>
            <w:r>
              <w:rPr>
                <w:rFonts w:hint="eastAsia" w:ascii="Times New Roman" w:hAnsi="Times New Roman" w:eastAsia="宋体" w:cs="Times New Roman"/>
                <w:color w:val="auto"/>
                <w:sz w:val="24"/>
                <w:szCs w:val="24"/>
                <w:lang w:val="en-US" w:eastAsia="zh-CN"/>
              </w:rPr>
              <w:t>挥发性有机物</w:t>
            </w:r>
            <w:r>
              <w:rPr>
                <w:rFonts w:hint="default" w:ascii="Times New Roman" w:hAnsi="Times New Roman" w:eastAsia="宋体" w:cs="Times New Roman"/>
                <w:color w:val="auto"/>
                <w:sz w:val="24"/>
                <w:szCs w:val="24"/>
                <w:lang w:val="en-US" w:eastAsia="zh-CN"/>
              </w:rPr>
              <w:t>经集气罩收集后和</w:t>
            </w:r>
            <w:r>
              <w:rPr>
                <w:rFonts w:hint="default" w:ascii="Times New Roman" w:hAnsi="Times New Roman" w:eastAsia="宋体" w:cs="Times New Roman"/>
                <w:color w:val="auto"/>
                <w:sz w:val="24"/>
                <w:szCs w:val="24"/>
                <w:lang w:eastAsia="zh-CN"/>
              </w:rPr>
              <w:t>现有工程的</w:t>
            </w:r>
            <w:r>
              <w:rPr>
                <w:rFonts w:hint="eastAsia" w:ascii="Times New Roman" w:hAnsi="Times New Roman" w:eastAsia="宋体" w:cs="Times New Roman"/>
                <w:b w:val="0"/>
                <w:bCs w:val="0"/>
                <w:snapToGrid w:val="0"/>
                <w:color w:val="auto"/>
                <w:kern w:val="2"/>
                <w:sz w:val="24"/>
                <w:szCs w:val="24"/>
                <w:lang w:val="en-US" w:eastAsia="zh-CN"/>
              </w:rPr>
              <w:t>1#</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、注塑工序</w:t>
            </w:r>
            <w:r>
              <w:rPr>
                <w:rFonts w:hint="eastAsia" w:ascii="Times New Roman" w:hAnsi="Times New Roman" w:eastAsia="宋体" w:cs="Times New Roman"/>
                <w:color w:val="auto"/>
                <w:sz w:val="24"/>
                <w:szCs w:val="24"/>
                <w:lang w:val="en-US" w:eastAsia="zh-CN"/>
              </w:rPr>
              <w:t>挥发性有机物</w:t>
            </w:r>
            <w:r>
              <w:rPr>
                <w:rFonts w:hint="default" w:ascii="Times New Roman" w:hAnsi="Times New Roman" w:eastAsia="宋体" w:cs="Times New Roman"/>
                <w:color w:val="auto"/>
                <w:sz w:val="24"/>
                <w:szCs w:val="24"/>
                <w:lang w:val="en-US" w:eastAsia="zh-CN"/>
              </w:rPr>
              <w:t>一同汇入</w:t>
            </w:r>
            <w:r>
              <w:rPr>
                <w:rFonts w:hint="eastAsia" w:ascii="Times New Roman" w:hAnsi="Times New Roman" w:eastAsia="宋体" w:cs="Times New Roman"/>
                <w:color w:val="auto"/>
                <w:sz w:val="24"/>
                <w:szCs w:val="24"/>
                <w:lang w:val="en-US" w:eastAsia="zh-CN"/>
              </w:rPr>
              <w:t>二级活性炭吸附装置</w:t>
            </w:r>
            <w:r>
              <w:rPr>
                <w:rFonts w:hint="default" w:ascii="Times New Roman" w:hAnsi="Times New Roman" w:eastAsia="宋体" w:cs="Times New Roman"/>
                <w:color w:val="auto"/>
                <w:sz w:val="24"/>
                <w:szCs w:val="24"/>
                <w:lang w:val="en-US" w:eastAsia="zh-CN"/>
              </w:rPr>
              <w:t>处理，处理后尾气通过一个15m高排气筒（DA00</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）排放</w:t>
            </w:r>
            <w:r>
              <w:rPr>
                <w:rFonts w:hint="default" w:ascii="Times New Roman" w:hAnsi="Times New Roman" w:eastAsia="宋体" w:cs="Times New Roman"/>
                <w:color w:val="auto"/>
                <w:sz w:val="24"/>
                <w:szCs w:val="24"/>
              </w:rPr>
              <w:t>。</w:t>
            </w:r>
            <w:r>
              <w:rPr>
                <w:rFonts w:hint="eastAsia" w:ascii="Times New Roman" w:hAnsi="Times New Roman" w:eastAsia="宋体" w:cs="Times New Roman"/>
                <w:b w:val="0"/>
                <w:bCs w:val="0"/>
                <w:snapToGrid w:val="0"/>
                <w:color w:val="auto"/>
                <w:kern w:val="2"/>
                <w:sz w:val="24"/>
                <w:szCs w:val="24"/>
                <w:lang w:val="en-US" w:eastAsia="zh-CN"/>
              </w:rPr>
              <w:t>1#</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w:t>
            </w:r>
            <w:r>
              <w:rPr>
                <w:rFonts w:hint="eastAsia" w:ascii="Times New Roman" w:hAnsi="Times New Roman" w:eastAsia="宋体" w:cs="Times New Roman"/>
                <w:color w:val="auto"/>
                <w:sz w:val="24"/>
                <w:szCs w:val="24"/>
                <w:lang w:eastAsia="zh-CN"/>
              </w:rPr>
              <w:t>工序</w:t>
            </w:r>
            <w:r>
              <w:rPr>
                <w:rFonts w:hint="default" w:ascii="Times New Roman" w:hAnsi="Times New Roman" w:eastAsia="宋体" w:cs="Times New Roman"/>
                <w:color w:val="auto"/>
                <w:sz w:val="24"/>
                <w:szCs w:val="24"/>
              </w:rPr>
              <w:t>风机风量</w:t>
            </w:r>
            <w:r>
              <w:rPr>
                <w:rFonts w:hint="eastAsia" w:cs="Times New Roman"/>
                <w:color w:val="auto"/>
                <w:sz w:val="24"/>
                <w:szCs w:val="24"/>
                <w:lang w:val="en-US" w:eastAsia="zh-CN"/>
              </w:rPr>
              <w:t>60</w:t>
            </w:r>
            <w:r>
              <w:rPr>
                <w:rFonts w:hint="eastAsia" w:ascii="Times New Roman" w:hAnsi="Times New Roman" w:eastAsia="宋体" w:cs="Times New Roman"/>
                <w:color w:val="auto"/>
                <w:sz w:val="24"/>
                <w:szCs w:val="24"/>
                <w:lang w:val="en-US" w:eastAsia="zh-CN"/>
              </w:rPr>
              <w:t>0</w:t>
            </w:r>
            <w:r>
              <w:rPr>
                <w:rFonts w:hint="eastAsia" w:cs="Times New Roman"/>
                <w:color w:val="auto"/>
                <w:sz w:val="24"/>
                <w:szCs w:val="24"/>
                <w:lang w:val="en-US" w:eastAsia="zh-CN"/>
              </w:rPr>
              <w:t>0</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/h</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挥发性有机物</w:t>
            </w:r>
            <w:r>
              <w:rPr>
                <w:rFonts w:hint="default" w:ascii="Times New Roman" w:hAnsi="Times New Roman" w:eastAsia="宋体" w:cs="Times New Roman"/>
                <w:color w:val="auto"/>
                <w:spacing w:val="-2"/>
                <w:sz w:val="24"/>
                <w:szCs w:val="24"/>
              </w:rPr>
              <w:t>的集气效率取</w:t>
            </w:r>
            <w:r>
              <w:rPr>
                <w:rFonts w:hint="default" w:ascii="Times New Roman" w:hAnsi="Times New Roman" w:eastAsia="宋体" w:cs="Times New Roman"/>
                <w:color w:val="auto"/>
                <w:spacing w:val="-2"/>
                <w:sz w:val="24"/>
                <w:szCs w:val="24"/>
                <w:lang w:val="en-US" w:eastAsia="zh-CN"/>
              </w:rPr>
              <w:t>90</w:t>
            </w:r>
            <w:r>
              <w:rPr>
                <w:rFonts w:hint="default" w:ascii="Times New Roman" w:hAnsi="Times New Roman" w:eastAsia="宋体" w:cs="Times New Roman"/>
                <w:color w:val="auto"/>
                <w:spacing w:val="-2"/>
                <w:sz w:val="24"/>
                <w:szCs w:val="24"/>
              </w:rPr>
              <w:t>%。</w:t>
            </w:r>
            <w:r>
              <w:rPr>
                <w:rFonts w:hint="default" w:ascii="Times New Roman" w:hAnsi="Times New Roman" w:eastAsia="宋体" w:cs="Times New Roman"/>
                <w:color w:val="auto"/>
                <w:sz w:val="24"/>
                <w:szCs w:val="24"/>
                <w:lang w:eastAsia="zh-CN"/>
              </w:rPr>
              <w:t>根据上述分析，</w:t>
            </w:r>
            <w:r>
              <w:rPr>
                <w:rFonts w:hint="default" w:ascii="Times New Roman" w:hAnsi="Times New Roman" w:eastAsia="宋体" w:cs="Times New Roman"/>
                <w:color w:val="auto"/>
                <w:sz w:val="24"/>
                <w:lang w:eastAsia="zh-CN"/>
              </w:rPr>
              <w:t>根据上述分析，</w:t>
            </w:r>
            <w:r>
              <w:rPr>
                <w:rFonts w:hint="eastAsia" w:ascii="Times New Roman" w:hAnsi="Times New Roman" w:eastAsia="宋体" w:cs="Times New Roman"/>
                <w:b w:val="0"/>
                <w:bCs w:val="0"/>
                <w:snapToGrid w:val="0"/>
                <w:color w:val="auto"/>
                <w:kern w:val="2"/>
                <w:sz w:val="24"/>
                <w:szCs w:val="24"/>
                <w:lang w:val="en-US" w:eastAsia="zh-CN"/>
              </w:rPr>
              <w:t>全厂1#</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w:t>
            </w:r>
            <w:r>
              <w:rPr>
                <w:rFonts w:hint="eastAsia" w:cs="Times New Roman"/>
                <w:b w:val="0"/>
                <w:bCs w:val="0"/>
                <w:snapToGrid w:val="0"/>
                <w:color w:val="auto"/>
                <w:kern w:val="2"/>
                <w:sz w:val="24"/>
                <w:szCs w:val="24"/>
                <w:lang w:val="en-US" w:eastAsia="zh-CN"/>
              </w:rPr>
              <w:t>及固化</w:t>
            </w:r>
            <w:r>
              <w:rPr>
                <w:rFonts w:hint="eastAsia" w:ascii="Times New Roman" w:hAnsi="Times New Roman" w:eastAsia="宋体" w:cs="Times New Roman"/>
                <w:color w:val="auto"/>
                <w:sz w:val="24"/>
                <w:szCs w:val="24"/>
                <w:lang w:val="en-US" w:eastAsia="zh-CN"/>
              </w:rPr>
              <w:t>挥发性有机物</w:t>
            </w:r>
            <w:r>
              <w:rPr>
                <w:rFonts w:hint="default" w:ascii="Times New Roman" w:hAnsi="Times New Roman" w:eastAsia="宋体" w:cs="Times New Roman"/>
                <w:color w:val="auto"/>
                <w:sz w:val="24"/>
                <w:szCs w:val="24"/>
              </w:rPr>
              <w:t>产生量约为</w:t>
            </w:r>
            <w:r>
              <w:rPr>
                <w:rFonts w:hint="eastAsia" w:cs="Times New Roman"/>
                <w:color w:val="auto"/>
                <w:sz w:val="24"/>
                <w:szCs w:val="24"/>
                <w:lang w:val="en-US" w:eastAsia="zh-CN"/>
              </w:rPr>
              <w:t>1.0584</w:t>
            </w:r>
            <w:r>
              <w:rPr>
                <w:rFonts w:hint="default" w:ascii="Times New Roman" w:hAnsi="Times New Roman" w:eastAsia="宋体" w:cs="Times New Roman"/>
                <w:color w:val="auto"/>
                <w:sz w:val="24"/>
                <w:szCs w:val="24"/>
                <w:lang w:val="en-US" w:eastAsia="zh-CN"/>
              </w:rPr>
              <w:t>t</w:t>
            </w:r>
            <w:r>
              <w:rPr>
                <w:rFonts w:hint="default" w:ascii="Times New Roman" w:hAnsi="Times New Roman" w:eastAsia="宋体" w:cs="Times New Roman"/>
                <w:color w:val="auto"/>
                <w:sz w:val="24"/>
                <w:szCs w:val="24"/>
              </w:rPr>
              <w:t>/a</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则</w:t>
            </w:r>
            <w:r>
              <w:rPr>
                <w:rFonts w:hint="eastAsia" w:ascii="Times New Roman" w:hAnsi="Times New Roman" w:eastAsia="宋体" w:cs="Times New Roman"/>
                <w:b w:val="0"/>
                <w:bCs w:val="0"/>
                <w:snapToGrid w:val="0"/>
                <w:color w:val="auto"/>
                <w:kern w:val="2"/>
                <w:sz w:val="24"/>
                <w:szCs w:val="24"/>
                <w:lang w:val="en-US" w:eastAsia="zh-CN"/>
              </w:rPr>
              <w:t>1#</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w:t>
            </w:r>
            <w:r>
              <w:rPr>
                <w:rFonts w:hint="eastAsia" w:ascii="Times New Roman" w:hAnsi="Times New Roman" w:eastAsia="宋体" w:cs="Times New Roman"/>
                <w:color w:val="auto"/>
                <w:sz w:val="24"/>
                <w:szCs w:val="24"/>
                <w:lang w:val="en-US" w:eastAsia="zh-CN"/>
              </w:rPr>
              <w:t>挥发性有机物</w:t>
            </w:r>
            <w:r>
              <w:rPr>
                <w:rFonts w:hint="default" w:ascii="Times New Roman" w:hAnsi="Times New Roman" w:eastAsia="宋体" w:cs="Times New Roman"/>
                <w:color w:val="auto"/>
                <w:sz w:val="24"/>
                <w:szCs w:val="24"/>
              </w:rPr>
              <w:t>有组织产生量约为</w:t>
            </w:r>
            <w:r>
              <w:rPr>
                <w:rFonts w:hint="eastAsia" w:cs="Times New Roman"/>
                <w:color w:val="auto"/>
                <w:sz w:val="24"/>
                <w:szCs w:val="24"/>
                <w:lang w:val="en-US" w:eastAsia="zh-CN"/>
              </w:rPr>
              <w:t>0.952</w:t>
            </w:r>
            <w:r>
              <w:rPr>
                <w:rFonts w:hint="default" w:ascii="Times New Roman" w:hAnsi="Times New Roman" w:eastAsia="宋体" w:cs="Times New Roman"/>
                <w:color w:val="auto"/>
                <w:sz w:val="24"/>
                <w:szCs w:val="24"/>
                <w:lang w:val="en-US" w:eastAsia="zh-CN"/>
              </w:rPr>
              <w:t>t</w:t>
            </w:r>
            <w:r>
              <w:rPr>
                <w:rFonts w:hint="default" w:ascii="Times New Roman" w:hAnsi="Times New Roman" w:eastAsia="宋体" w:cs="Times New Roman"/>
                <w:color w:val="auto"/>
                <w:sz w:val="24"/>
                <w:szCs w:val="24"/>
              </w:rPr>
              <w:t>/a，有组织产生浓度约为</w:t>
            </w:r>
            <w:r>
              <w:rPr>
                <w:rFonts w:hint="eastAsia" w:cs="Times New Roman"/>
                <w:color w:val="auto"/>
                <w:sz w:val="24"/>
                <w:szCs w:val="24"/>
                <w:lang w:val="en-US" w:eastAsia="zh-CN"/>
              </w:rPr>
              <w:t>22</w:t>
            </w:r>
            <w:r>
              <w:rPr>
                <w:rFonts w:hint="default" w:ascii="Times New Roman" w:hAnsi="Times New Roman" w:eastAsia="宋体" w:cs="Times New Roman"/>
                <w:color w:val="auto"/>
                <w:sz w:val="24"/>
                <w:szCs w:val="24"/>
              </w:rPr>
              <w:t>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w:t>
            </w:r>
            <w:r>
              <w:rPr>
                <w:rFonts w:hint="eastAsia" w:cs="Times New Roman"/>
                <w:color w:val="auto"/>
                <w:sz w:val="24"/>
                <w:szCs w:val="24"/>
                <w:lang w:eastAsia="zh-CN"/>
              </w:rPr>
              <w:t>二级活性炭吸附效率取</w:t>
            </w:r>
            <w:r>
              <w:rPr>
                <w:rFonts w:hint="eastAsia" w:cs="Times New Roman"/>
                <w:color w:val="auto"/>
                <w:sz w:val="24"/>
                <w:szCs w:val="24"/>
                <w:lang w:val="en-US" w:eastAsia="zh-CN"/>
              </w:rPr>
              <w:t>90%，</w:t>
            </w:r>
            <w:r>
              <w:rPr>
                <w:rFonts w:hint="default" w:ascii="Times New Roman" w:hAnsi="Times New Roman" w:eastAsia="宋体" w:cs="Times New Roman"/>
                <w:color w:val="auto"/>
                <w:sz w:val="24"/>
                <w:szCs w:val="24"/>
              </w:rPr>
              <w:t>经</w:t>
            </w:r>
            <w:r>
              <w:rPr>
                <w:rFonts w:hint="eastAsia" w:ascii="Times New Roman" w:hAnsi="Times New Roman" w:eastAsia="宋体" w:cs="Times New Roman"/>
                <w:color w:val="auto"/>
                <w:sz w:val="24"/>
                <w:szCs w:val="24"/>
                <w:lang w:val="en-US" w:eastAsia="zh-CN"/>
              </w:rPr>
              <w:t>二级活性炭吸附装置</w:t>
            </w:r>
            <w:r>
              <w:rPr>
                <w:rFonts w:hint="default" w:ascii="Times New Roman" w:hAnsi="Times New Roman" w:eastAsia="宋体" w:cs="Times New Roman"/>
                <w:color w:val="auto"/>
                <w:sz w:val="24"/>
                <w:szCs w:val="24"/>
              </w:rPr>
              <w:t>处理后</w:t>
            </w:r>
            <w:r>
              <w:rPr>
                <w:rFonts w:hint="eastAsia" w:ascii="Times New Roman" w:hAnsi="Times New Roman" w:eastAsia="宋体" w:cs="Times New Roman"/>
                <w:b w:val="0"/>
                <w:bCs w:val="0"/>
                <w:snapToGrid w:val="0"/>
                <w:color w:val="auto"/>
                <w:kern w:val="2"/>
                <w:sz w:val="24"/>
                <w:szCs w:val="24"/>
                <w:lang w:val="en-US" w:eastAsia="zh-CN"/>
              </w:rPr>
              <w:t>1#</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w:t>
            </w:r>
            <w:r>
              <w:rPr>
                <w:rFonts w:hint="eastAsia" w:ascii="Times New Roman" w:hAnsi="Times New Roman" w:eastAsia="宋体" w:cs="Times New Roman"/>
                <w:color w:val="auto"/>
                <w:sz w:val="24"/>
                <w:szCs w:val="24"/>
                <w:lang w:val="en-US" w:eastAsia="zh-CN"/>
              </w:rPr>
              <w:t>挥发性有机物</w:t>
            </w:r>
            <w:r>
              <w:rPr>
                <w:rFonts w:hint="default" w:ascii="Times New Roman" w:hAnsi="Times New Roman" w:eastAsia="宋体" w:cs="Times New Roman"/>
                <w:color w:val="auto"/>
                <w:sz w:val="24"/>
                <w:szCs w:val="24"/>
                <w:lang w:eastAsia="zh-CN"/>
              </w:rPr>
              <w:t>有组织</w:t>
            </w:r>
            <w:r>
              <w:rPr>
                <w:rFonts w:hint="default" w:ascii="Times New Roman" w:hAnsi="Times New Roman" w:eastAsia="宋体" w:cs="Times New Roman"/>
                <w:color w:val="auto"/>
                <w:sz w:val="24"/>
                <w:szCs w:val="24"/>
              </w:rPr>
              <w:t>排放量约为</w:t>
            </w:r>
            <w:r>
              <w:rPr>
                <w:rFonts w:hint="eastAsia" w:cs="Times New Roman"/>
                <w:color w:val="auto"/>
                <w:sz w:val="24"/>
                <w:szCs w:val="24"/>
                <w:lang w:val="en-US" w:eastAsia="zh-CN"/>
              </w:rPr>
              <w:t>0.0952</w:t>
            </w:r>
            <w:r>
              <w:rPr>
                <w:rFonts w:hint="default" w:ascii="Times New Roman" w:hAnsi="Times New Roman" w:eastAsia="宋体" w:cs="Times New Roman"/>
                <w:color w:val="auto"/>
                <w:sz w:val="24"/>
                <w:szCs w:val="24"/>
              </w:rPr>
              <w:t>t/a，排放速率约为</w:t>
            </w:r>
            <w:r>
              <w:rPr>
                <w:rFonts w:hint="eastAsia" w:cs="Times New Roman"/>
                <w:color w:val="auto"/>
                <w:sz w:val="24"/>
                <w:szCs w:val="24"/>
                <w:lang w:val="en-US" w:eastAsia="zh-CN"/>
              </w:rPr>
              <w:t>0.013</w:t>
            </w:r>
            <w:r>
              <w:rPr>
                <w:rFonts w:hint="default" w:ascii="Times New Roman" w:hAnsi="Times New Roman" w:eastAsia="宋体" w:cs="Times New Roman"/>
                <w:color w:val="auto"/>
                <w:sz w:val="24"/>
                <w:szCs w:val="24"/>
              </w:rPr>
              <w:t>kg/h，排放浓度约为</w:t>
            </w:r>
            <w:r>
              <w:rPr>
                <w:rFonts w:hint="eastAsia" w:cs="Times New Roman"/>
                <w:color w:val="auto"/>
                <w:sz w:val="24"/>
                <w:szCs w:val="24"/>
                <w:lang w:val="en-US" w:eastAsia="zh-CN"/>
              </w:rPr>
              <w:t>2.20</w:t>
            </w:r>
            <w:r>
              <w:rPr>
                <w:rFonts w:hint="default" w:ascii="Times New Roman" w:hAnsi="Times New Roman" w:eastAsia="宋体" w:cs="Times New Roman"/>
                <w:color w:val="auto"/>
                <w:sz w:val="24"/>
                <w:szCs w:val="24"/>
              </w:rPr>
              <w:t>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w:t>
            </w:r>
          </w:p>
          <w:p w14:paraId="02B05492">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left"/>
              <w:textAlignment w:val="auto"/>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全厂</w:t>
            </w:r>
            <w:r>
              <w:rPr>
                <w:rFonts w:hint="eastAsia" w:ascii="Times New Roman" w:hAnsi="Times New Roman" w:eastAsia="宋体" w:cs="Times New Roman"/>
                <w:color w:val="auto"/>
                <w:sz w:val="24"/>
                <w:szCs w:val="24"/>
                <w:lang w:val="en-US" w:eastAsia="zh-CN"/>
              </w:rPr>
              <w:t>挥发性有机物</w:t>
            </w:r>
            <w:r>
              <w:rPr>
                <w:rFonts w:hint="default" w:ascii="Times New Roman" w:hAnsi="Times New Roman" w:eastAsia="宋体" w:cs="Times New Roman"/>
                <w:color w:val="auto"/>
                <w:sz w:val="24"/>
                <w:szCs w:val="24"/>
              </w:rPr>
              <w:t>无组织</w:t>
            </w:r>
            <w:r>
              <w:rPr>
                <w:rFonts w:hint="default" w:ascii="Times New Roman" w:hAnsi="Times New Roman" w:eastAsia="宋体" w:cs="Times New Roman"/>
                <w:color w:val="auto"/>
                <w:sz w:val="24"/>
                <w:szCs w:val="24"/>
                <w:lang w:eastAsia="zh-CN"/>
              </w:rPr>
              <w:t>排放</w:t>
            </w:r>
            <w:r>
              <w:rPr>
                <w:rFonts w:hint="default" w:ascii="Times New Roman" w:hAnsi="Times New Roman" w:eastAsia="宋体" w:cs="Times New Roman"/>
                <w:color w:val="auto"/>
                <w:sz w:val="24"/>
                <w:szCs w:val="24"/>
              </w:rPr>
              <w:t>量约</w:t>
            </w:r>
            <w:r>
              <w:rPr>
                <w:rFonts w:hint="eastAsia" w:cs="Times New Roman"/>
                <w:color w:val="auto"/>
                <w:sz w:val="24"/>
                <w:szCs w:val="24"/>
                <w:lang w:val="en-US" w:eastAsia="zh-CN"/>
              </w:rPr>
              <w:t>0.1064</w:t>
            </w:r>
            <w:r>
              <w:rPr>
                <w:rFonts w:hint="default" w:ascii="Times New Roman" w:hAnsi="Times New Roman" w:eastAsia="宋体" w:cs="Times New Roman"/>
                <w:color w:val="auto"/>
                <w:sz w:val="24"/>
                <w:szCs w:val="24"/>
              </w:rPr>
              <w:t>t/a。</w:t>
            </w:r>
          </w:p>
          <w:p w14:paraId="4B057B05">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left"/>
              <w:textAlignment w:val="auto"/>
              <w:rPr>
                <w:rFonts w:hint="eastAsia" w:cs="Times New Roman"/>
                <w:b w:val="0"/>
                <w:bCs w:val="0"/>
                <w:snapToGrid w:val="0"/>
                <w:color w:val="auto"/>
                <w:kern w:val="2"/>
                <w:sz w:val="24"/>
                <w:szCs w:val="24"/>
                <w:lang w:val="en-US" w:eastAsia="zh-CN"/>
              </w:rPr>
            </w:pPr>
            <w:r>
              <w:rPr>
                <w:rFonts w:hint="eastAsia" w:cs="Times New Roman"/>
                <w:b w:val="0"/>
                <w:bCs w:val="0"/>
                <w:snapToGrid w:val="0"/>
                <w:color w:val="auto"/>
                <w:kern w:val="2"/>
                <w:sz w:val="24"/>
                <w:szCs w:val="24"/>
                <w:lang w:val="en-US" w:eastAsia="zh-CN"/>
              </w:rPr>
              <w:t>3）2</w:t>
            </w:r>
            <w:r>
              <w:rPr>
                <w:rFonts w:hint="eastAsia" w:ascii="Times New Roman" w:hAnsi="Times New Roman" w:eastAsia="宋体" w:cs="Times New Roman"/>
                <w:b w:val="0"/>
                <w:bCs w:val="0"/>
                <w:snapToGrid w:val="0"/>
                <w:color w:val="auto"/>
                <w:kern w:val="2"/>
                <w:sz w:val="24"/>
                <w:szCs w:val="24"/>
                <w:lang w:val="en-US" w:eastAsia="zh-CN"/>
              </w:rPr>
              <w:t>#</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w:t>
            </w:r>
            <w:r>
              <w:rPr>
                <w:rFonts w:hint="eastAsia" w:cs="Times New Roman"/>
                <w:b w:val="0"/>
                <w:bCs w:val="0"/>
                <w:snapToGrid w:val="0"/>
                <w:color w:val="auto"/>
                <w:kern w:val="2"/>
                <w:sz w:val="24"/>
                <w:szCs w:val="24"/>
                <w:lang w:val="en-US" w:eastAsia="zh-CN"/>
              </w:rPr>
              <w:t>废气</w:t>
            </w:r>
          </w:p>
          <w:p w14:paraId="5D3E43FF">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left"/>
              <w:textAlignment w:val="auto"/>
              <w:rPr>
                <w:rFonts w:hint="default" w:ascii="Times New Roman" w:hAnsi="Times New Roman" w:eastAsia="宋体" w:cs="Times New Roman"/>
                <w:b w:val="0"/>
                <w:bCs w:val="0"/>
                <w:snapToGrid w:val="0"/>
                <w:color w:val="auto"/>
                <w:kern w:val="2"/>
                <w:sz w:val="24"/>
                <w:szCs w:val="24"/>
                <w:lang w:val="en-US" w:eastAsia="zh-CN"/>
              </w:rPr>
            </w:pPr>
            <w:r>
              <w:rPr>
                <w:rFonts w:hint="eastAsia"/>
                <w:color w:val="auto"/>
                <w:sz w:val="24"/>
                <w:lang w:eastAsia="zh-CN"/>
              </w:rPr>
              <w:t>扩建工程</w:t>
            </w:r>
            <w:r>
              <w:rPr>
                <w:rFonts w:hint="eastAsia" w:eastAsia="宋体" w:cs="Times New Roman"/>
                <w:color w:val="auto"/>
                <w:sz w:val="24"/>
                <w:szCs w:val="24"/>
                <w:lang w:eastAsia="zh-CN"/>
              </w:rPr>
              <w:t>钨合金渔坠年产能为</w:t>
            </w:r>
            <w:r>
              <w:rPr>
                <w:rFonts w:hint="eastAsia" w:ascii="Times New Roman" w:hAnsi="Times New Roman" w:eastAsia="宋体" w:cs="Times New Roman"/>
                <w:snapToGrid/>
                <w:color w:val="auto"/>
                <w:spacing w:val="0"/>
                <w:kern w:val="0"/>
                <w:position w:val="0"/>
                <w:sz w:val="24"/>
                <w:szCs w:val="24"/>
                <w:lang w:val="en-US" w:eastAsia="zh-CN"/>
              </w:rPr>
              <w:t>30</w:t>
            </w:r>
            <w:r>
              <w:rPr>
                <w:rFonts w:hint="default" w:ascii="Times New Roman" w:hAnsi="Times New Roman" w:eastAsia="宋体" w:cs="Times New Roman"/>
                <w:snapToGrid/>
                <w:color w:val="auto"/>
                <w:spacing w:val="0"/>
                <w:kern w:val="0"/>
                <w:position w:val="0"/>
                <w:sz w:val="24"/>
                <w:szCs w:val="24"/>
                <w:lang w:val="en-US" w:eastAsia="zh-CN"/>
              </w:rPr>
              <w:t>t</w:t>
            </w:r>
            <w:r>
              <w:rPr>
                <w:rFonts w:hint="eastAsia" w:ascii="Times New Roman" w:hAnsi="Times New Roman" w:eastAsia="宋体" w:cs="Times New Roman"/>
                <w:b w:val="0"/>
                <w:bCs w:val="0"/>
                <w:snapToGrid w:val="0"/>
                <w:color w:val="auto"/>
                <w:kern w:val="2"/>
                <w:sz w:val="24"/>
                <w:szCs w:val="24"/>
                <w:lang w:val="en-US" w:eastAsia="zh-CN"/>
              </w:rPr>
              <w:t>，类比得</w:t>
            </w:r>
            <w:r>
              <w:rPr>
                <w:rFonts w:hint="eastAsia"/>
                <w:color w:val="auto"/>
                <w:sz w:val="24"/>
                <w:lang w:eastAsia="zh-CN"/>
              </w:rPr>
              <w:t>扩建工程</w:t>
            </w:r>
            <w:r>
              <w:rPr>
                <w:rFonts w:hint="eastAsia" w:ascii="Times New Roman" w:hAnsi="Times New Roman" w:eastAsia="宋体" w:cs="Times New Roman"/>
                <w:b w:val="0"/>
                <w:bCs w:val="0"/>
                <w:snapToGrid w:val="0"/>
                <w:color w:val="auto"/>
                <w:kern w:val="2"/>
                <w:sz w:val="24"/>
                <w:szCs w:val="24"/>
                <w:lang w:val="en-US" w:eastAsia="zh-CN"/>
              </w:rPr>
              <w:t>1#</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、注塑工序挥发性有机物</w:t>
            </w:r>
            <w:r>
              <w:rPr>
                <w:rFonts w:hint="default" w:ascii="Times New Roman" w:hAnsi="Times New Roman" w:eastAsia="宋体" w:cs="Times New Roman"/>
                <w:b w:val="0"/>
                <w:bCs w:val="0"/>
                <w:snapToGrid w:val="0"/>
                <w:color w:val="auto"/>
                <w:kern w:val="2"/>
                <w:sz w:val="24"/>
                <w:szCs w:val="24"/>
                <w:lang w:val="en-US" w:eastAsia="zh-CN"/>
              </w:rPr>
              <w:t>产生</w:t>
            </w:r>
            <w:r>
              <w:rPr>
                <w:rFonts w:hint="eastAsia" w:ascii="Times New Roman" w:hAnsi="Times New Roman" w:eastAsia="宋体" w:cs="Times New Roman"/>
                <w:b w:val="0"/>
                <w:bCs w:val="0"/>
                <w:snapToGrid w:val="0"/>
                <w:color w:val="auto"/>
                <w:kern w:val="2"/>
                <w:sz w:val="24"/>
                <w:szCs w:val="24"/>
                <w:lang w:val="en-US" w:eastAsia="zh-CN"/>
              </w:rPr>
              <w:t>量</w:t>
            </w:r>
            <w:r>
              <w:rPr>
                <w:rFonts w:hint="default" w:ascii="Times New Roman" w:hAnsi="Times New Roman" w:eastAsia="宋体" w:cs="Times New Roman"/>
                <w:b w:val="0"/>
                <w:bCs w:val="0"/>
                <w:snapToGrid w:val="0"/>
                <w:color w:val="auto"/>
                <w:kern w:val="2"/>
                <w:sz w:val="24"/>
                <w:szCs w:val="24"/>
                <w:lang w:val="en-US" w:eastAsia="zh-CN"/>
              </w:rPr>
              <w:t>约为</w:t>
            </w:r>
            <w:r>
              <w:rPr>
                <w:rFonts w:hint="eastAsia" w:cs="Times New Roman"/>
                <w:b w:val="0"/>
                <w:bCs w:val="0"/>
                <w:snapToGrid w:val="0"/>
                <w:color w:val="auto"/>
                <w:kern w:val="2"/>
                <w:sz w:val="24"/>
                <w:szCs w:val="24"/>
                <w:lang w:val="en-US" w:eastAsia="zh-CN"/>
              </w:rPr>
              <w:t>0.427</w:t>
            </w:r>
            <w:r>
              <w:rPr>
                <w:rFonts w:hint="default" w:ascii="Times New Roman" w:hAnsi="Times New Roman" w:eastAsia="宋体" w:cs="Times New Roman"/>
                <w:b w:val="0"/>
                <w:bCs w:val="0"/>
                <w:snapToGrid w:val="0"/>
                <w:color w:val="auto"/>
                <w:kern w:val="2"/>
                <w:sz w:val="24"/>
                <w:szCs w:val="24"/>
                <w:lang w:val="en-US" w:eastAsia="zh-CN"/>
              </w:rPr>
              <w:t>t/a</w:t>
            </w:r>
            <w:r>
              <w:rPr>
                <w:rFonts w:hint="eastAsia" w:ascii="Times New Roman" w:hAnsi="Times New Roman" w:eastAsia="宋体" w:cs="Times New Roman"/>
                <w:b w:val="0"/>
                <w:bCs w:val="0"/>
                <w:snapToGrid w:val="0"/>
                <w:color w:val="auto"/>
                <w:kern w:val="2"/>
                <w:sz w:val="24"/>
                <w:szCs w:val="24"/>
                <w:lang w:val="en-US" w:eastAsia="zh-CN"/>
              </w:rPr>
              <w:t>。</w:t>
            </w:r>
          </w:p>
          <w:p w14:paraId="22D3DAE6">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left"/>
              <w:textAlignment w:val="auto"/>
              <w:rPr>
                <w:rFonts w:hint="default" w:ascii="Times New Roman" w:hAnsi="Times New Roman" w:eastAsia="宋体" w:cs="Times New Roman"/>
                <w:color w:val="auto"/>
                <w:spacing w:val="-2"/>
                <w:sz w:val="24"/>
              </w:rPr>
            </w:pPr>
            <w:r>
              <w:rPr>
                <w:rFonts w:hint="default" w:ascii="Times New Roman" w:hAnsi="Times New Roman" w:eastAsia="宋体" w:cs="Times New Roman"/>
                <w:color w:val="auto"/>
                <w:sz w:val="24"/>
              </w:rPr>
              <w:t>本环评要求</w:t>
            </w:r>
            <w:r>
              <w:rPr>
                <w:rFonts w:hint="default" w:ascii="Times New Roman" w:hAnsi="Times New Roman" w:eastAsia="宋体" w:cs="Times New Roman"/>
                <w:b w:val="0"/>
                <w:bCs w:val="0"/>
                <w:snapToGrid w:val="0"/>
                <w:color w:val="auto"/>
                <w:kern w:val="2"/>
                <w:sz w:val="24"/>
                <w:szCs w:val="24"/>
                <w:lang w:val="en-US" w:eastAsia="zh-CN"/>
              </w:rPr>
              <w:t>扩建</w:t>
            </w:r>
            <w:r>
              <w:rPr>
                <w:rFonts w:hint="eastAsia" w:cs="Times New Roman"/>
                <w:b w:val="0"/>
                <w:bCs w:val="0"/>
                <w:snapToGrid w:val="0"/>
                <w:color w:val="auto"/>
                <w:kern w:val="2"/>
                <w:sz w:val="24"/>
                <w:szCs w:val="24"/>
                <w:lang w:val="en-US" w:eastAsia="zh-CN"/>
              </w:rPr>
              <w:t>工程的2#生产车间注塑机、脱除粘结剂工序用的钼丝炉产气点</w:t>
            </w:r>
            <w:r>
              <w:rPr>
                <w:rFonts w:hint="default" w:ascii="Times New Roman" w:hAnsi="Times New Roman" w:eastAsia="宋体" w:cs="Times New Roman"/>
                <w:color w:val="auto"/>
                <w:sz w:val="24"/>
              </w:rPr>
              <w:t>上方设置</w:t>
            </w:r>
            <w:r>
              <w:rPr>
                <w:rFonts w:hint="default" w:ascii="Times New Roman" w:hAnsi="Times New Roman" w:eastAsia="宋体" w:cs="Times New Roman"/>
                <w:color w:val="auto"/>
                <w:spacing w:val="-2"/>
                <w:sz w:val="24"/>
              </w:rPr>
              <w:t>集气罩收集</w:t>
            </w:r>
            <w:r>
              <w:rPr>
                <w:rFonts w:hint="eastAsia" w:ascii="Times New Roman" w:hAnsi="Times New Roman" w:eastAsia="宋体" w:cs="Times New Roman"/>
                <w:color w:val="auto"/>
                <w:sz w:val="24"/>
                <w:lang w:val="en-US" w:eastAsia="zh-CN"/>
              </w:rPr>
              <w:t>挥发性有机物</w:t>
            </w:r>
            <w:r>
              <w:rPr>
                <w:rFonts w:hint="default" w:ascii="Times New Roman" w:hAnsi="Times New Roman" w:eastAsia="宋体" w:cs="Times New Roman"/>
                <w:color w:val="auto"/>
                <w:spacing w:val="-2"/>
                <w:sz w:val="24"/>
              </w:rPr>
              <w:t>，</w:t>
            </w:r>
            <w:r>
              <w:rPr>
                <w:rFonts w:hint="default" w:ascii="Times New Roman" w:hAnsi="Times New Roman" w:eastAsia="宋体" w:cs="Times New Roman"/>
                <w:color w:val="auto"/>
                <w:sz w:val="24"/>
                <w:lang w:val="en-US" w:eastAsia="zh-CN"/>
              </w:rPr>
              <w:t>和</w:t>
            </w:r>
            <w:r>
              <w:rPr>
                <w:rFonts w:hint="default" w:ascii="Times New Roman" w:hAnsi="Times New Roman" w:eastAsia="宋体" w:cs="Times New Roman"/>
                <w:color w:val="auto"/>
                <w:sz w:val="24"/>
                <w:lang w:eastAsia="zh-CN"/>
              </w:rPr>
              <w:t>现有工程的</w:t>
            </w:r>
            <w:r>
              <w:rPr>
                <w:rFonts w:hint="eastAsia" w:cs="Times New Roman"/>
                <w:b w:val="0"/>
                <w:bCs w:val="0"/>
                <w:snapToGrid w:val="0"/>
                <w:color w:val="auto"/>
                <w:kern w:val="2"/>
                <w:sz w:val="24"/>
                <w:szCs w:val="24"/>
                <w:lang w:val="en-US" w:eastAsia="zh-CN"/>
              </w:rPr>
              <w:t>2</w:t>
            </w:r>
            <w:r>
              <w:rPr>
                <w:rFonts w:hint="eastAsia" w:ascii="Times New Roman" w:hAnsi="Times New Roman" w:eastAsia="宋体" w:cs="Times New Roman"/>
                <w:b w:val="0"/>
                <w:bCs w:val="0"/>
                <w:snapToGrid w:val="0"/>
                <w:color w:val="auto"/>
                <w:kern w:val="2"/>
                <w:sz w:val="24"/>
                <w:szCs w:val="24"/>
                <w:lang w:val="en-US" w:eastAsia="zh-CN"/>
              </w:rPr>
              <w:t>#</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w:t>
            </w:r>
            <w:r>
              <w:rPr>
                <w:rFonts w:hint="eastAsia" w:ascii="Times New Roman" w:hAnsi="Times New Roman" w:eastAsia="宋体" w:cs="Times New Roman"/>
                <w:color w:val="auto"/>
                <w:sz w:val="24"/>
                <w:lang w:val="en-US" w:eastAsia="zh-CN"/>
              </w:rPr>
              <w:t>挥发性有机物</w:t>
            </w:r>
            <w:r>
              <w:rPr>
                <w:rFonts w:hint="default" w:ascii="Times New Roman" w:hAnsi="Times New Roman" w:eastAsia="宋体" w:cs="Times New Roman"/>
                <w:color w:val="auto"/>
                <w:sz w:val="24"/>
                <w:lang w:val="en-US" w:eastAsia="zh-CN"/>
              </w:rPr>
              <w:t>一同汇入</w:t>
            </w:r>
            <w:r>
              <w:rPr>
                <w:rFonts w:hint="eastAsia" w:ascii="Times New Roman" w:hAnsi="Times New Roman" w:eastAsia="宋体" w:cs="Times New Roman"/>
                <w:color w:val="auto"/>
                <w:sz w:val="24"/>
                <w:lang w:val="en-US" w:eastAsia="zh-CN"/>
              </w:rPr>
              <w:t>二级活性炭吸附装置</w:t>
            </w:r>
            <w:r>
              <w:rPr>
                <w:rFonts w:hint="default" w:ascii="Times New Roman" w:hAnsi="Times New Roman" w:eastAsia="宋体" w:cs="Times New Roman"/>
                <w:color w:val="auto"/>
                <w:sz w:val="24"/>
                <w:lang w:val="en-US" w:eastAsia="zh-CN"/>
              </w:rPr>
              <w:t>处理，处理后尾气通过一个15m高排气筒（DA00</w:t>
            </w:r>
            <w:r>
              <w:rPr>
                <w:rFonts w:hint="eastAsia" w:cs="Times New Roman"/>
                <w:color w:val="auto"/>
                <w:sz w:val="24"/>
                <w:lang w:val="en-US" w:eastAsia="zh-CN"/>
              </w:rPr>
              <w:t>4</w:t>
            </w:r>
            <w:r>
              <w:rPr>
                <w:rFonts w:hint="default" w:ascii="Times New Roman" w:hAnsi="Times New Roman" w:eastAsia="宋体" w:cs="Times New Roman"/>
                <w:color w:val="auto"/>
                <w:sz w:val="24"/>
                <w:lang w:val="en-US" w:eastAsia="zh-CN"/>
              </w:rPr>
              <w:t>）排放</w:t>
            </w:r>
            <w:r>
              <w:rPr>
                <w:rFonts w:hint="default" w:ascii="Times New Roman" w:hAnsi="Times New Roman" w:eastAsia="宋体" w:cs="Times New Roman"/>
                <w:color w:val="auto"/>
                <w:sz w:val="24"/>
              </w:rPr>
              <w:t>。</w:t>
            </w:r>
            <w:r>
              <w:rPr>
                <w:rFonts w:hint="eastAsia" w:cs="Times New Roman"/>
                <w:b w:val="0"/>
                <w:bCs w:val="0"/>
                <w:snapToGrid w:val="0"/>
                <w:color w:val="auto"/>
                <w:kern w:val="2"/>
                <w:sz w:val="24"/>
                <w:szCs w:val="24"/>
                <w:lang w:val="en-US" w:eastAsia="zh-CN"/>
              </w:rPr>
              <w:t>2</w:t>
            </w:r>
            <w:r>
              <w:rPr>
                <w:rFonts w:hint="eastAsia" w:ascii="Times New Roman" w:hAnsi="Times New Roman" w:eastAsia="宋体" w:cs="Times New Roman"/>
                <w:b w:val="0"/>
                <w:bCs w:val="0"/>
                <w:snapToGrid w:val="0"/>
                <w:color w:val="auto"/>
                <w:kern w:val="2"/>
                <w:sz w:val="24"/>
                <w:szCs w:val="24"/>
                <w:lang w:val="en-US" w:eastAsia="zh-CN"/>
              </w:rPr>
              <w:t>#</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w:t>
            </w:r>
            <w:r>
              <w:rPr>
                <w:rFonts w:hint="eastAsia" w:ascii="Times New Roman" w:hAnsi="Times New Roman" w:eastAsia="宋体" w:cs="Times New Roman"/>
                <w:color w:val="auto"/>
                <w:sz w:val="24"/>
                <w:lang w:eastAsia="zh-CN"/>
              </w:rPr>
              <w:t>工序</w:t>
            </w:r>
            <w:r>
              <w:rPr>
                <w:rFonts w:hint="eastAsia" w:cs="Times New Roman"/>
                <w:b w:val="0"/>
                <w:bCs w:val="0"/>
                <w:color w:val="auto"/>
                <w:spacing w:val="-2"/>
                <w:sz w:val="24"/>
                <w:szCs w:val="24"/>
                <w:highlight w:val="none"/>
                <w:lang w:val="en-US" w:eastAsia="zh-CN"/>
              </w:rPr>
              <w:t>原有风机风量为</w:t>
            </w:r>
            <w:r>
              <w:rPr>
                <w:rFonts w:hint="eastAsia" w:cs="Times New Roman"/>
                <w:color w:val="auto"/>
                <w:sz w:val="24"/>
                <w:lang w:val="en-US" w:eastAsia="zh-CN"/>
              </w:rPr>
              <w:t>60</w:t>
            </w:r>
            <w:r>
              <w:rPr>
                <w:rFonts w:hint="default" w:ascii="Times New Roman" w:hAnsi="Times New Roman" w:eastAsia="宋体" w:cs="Times New Roman"/>
                <w:color w:val="auto"/>
                <w:sz w:val="24"/>
                <w:lang w:val="en-US" w:eastAsia="zh-CN"/>
              </w:rPr>
              <w:t>00</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/h</w:t>
            </w:r>
            <w:r>
              <w:rPr>
                <w:rFonts w:hint="default"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挥发性有机物</w:t>
            </w:r>
            <w:r>
              <w:rPr>
                <w:rFonts w:hint="default" w:ascii="Times New Roman" w:hAnsi="Times New Roman" w:eastAsia="宋体" w:cs="Times New Roman"/>
                <w:color w:val="auto"/>
                <w:spacing w:val="-2"/>
                <w:sz w:val="24"/>
              </w:rPr>
              <w:t>的集气效率取</w:t>
            </w:r>
            <w:r>
              <w:rPr>
                <w:rFonts w:hint="default" w:ascii="Times New Roman" w:hAnsi="Times New Roman" w:eastAsia="宋体" w:cs="Times New Roman"/>
                <w:color w:val="auto"/>
                <w:spacing w:val="-2"/>
                <w:sz w:val="24"/>
                <w:lang w:val="en-US" w:eastAsia="zh-CN"/>
              </w:rPr>
              <w:t>90</w:t>
            </w:r>
            <w:r>
              <w:rPr>
                <w:rFonts w:hint="default" w:ascii="Times New Roman" w:hAnsi="Times New Roman" w:eastAsia="宋体" w:cs="Times New Roman"/>
                <w:color w:val="auto"/>
                <w:spacing w:val="-2"/>
                <w:sz w:val="24"/>
              </w:rPr>
              <w:t>%。</w:t>
            </w:r>
          </w:p>
          <w:p w14:paraId="22DDB941">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left"/>
              <w:textAlignment w:val="auto"/>
              <w:rPr>
                <w:rFonts w:hint="default" w:ascii="Times New Roman" w:hAnsi="Times New Roman" w:eastAsia="宋体" w:cs="Times New Roman"/>
                <w:b w:val="0"/>
                <w:bCs w:val="0"/>
                <w:snapToGrid w:val="0"/>
                <w:color w:val="auto"/>
                <w:kern w:val="2"/>
                <w:sz w:val="24"/>
                <w:szCs w:val="24"/>
                <w:lang w:val="en-US" w:eastAsia="zh-CN"/>
              </w:rPr>
            </w:pPr>
            <w:r>
              <w:rPr>
                <w:rFonts w:hint="default" w:ascii="Times New Roman" w:hAnsi="Times New Roman" w:eastAsia="宋体" w:cs="Times New Roman"/>
                <w:color w:val="auto"/>
                <w:sz w:val="24"/>
              </w:rPr>
              <w:t>则</w:t>
            </w:r>
            <w:r>
              <w:rPr>
                <w:rFonts w:hint="default" w:ascii="Times New Roman" w:hAnsi="Times New Roman" w:eastAsia="宋体" w:cs="Times New Roman"/>
                <w:b w:val="0"/>
                <w:bCs w:val="0"/>
                <w:snapToGrid w:val="0"/>
                <w:color w:val="auto"/>
                <w:kern w:val="2"/>
                <w:sz w:val="24"/>
                <w:szCs w:val="24"/>
                <w:lang w:val="en-US" w:eastAsia="zh-CN"/>
              </w:rPr>
              <w:t>扩建</w:t>
            </w:r>
            <w:r>
              <w:rPr>
                <w:rFonts w:hint="eastAsia" w:cs="Times New Roman"/>
                <w:b w:val="0"/>
                <w:bCs w:val="0"/>
                <w:snapToGrid w:val="0"/>
                <w:color w:val="auto"/>
                <w:kern w:val="2"/>
                <w:sz w:val="24"/>
                <w:szCs w:val="24"/>
                <w:lang w:val="en-US" w:eastAsia="zh-CN"/>
              </w:rPr>
              <w:t>工程2</w:t>
            </w:r>
            <w:r>
              <w:rPr>
                <w:rFonts w:hint="eastAsia" w:ascii="Times New Roman" w:hAnsi="Times New Roman" w:eastAsia="宋体" w:cs="Times New Roman"/>
                <w:b w:val="0"/>
                <w:bCs w:val="0"/>
                <w:snapToGrid w:val="0"/>
                <w:color w:val="auto"/>
                <w:kern w:val="2"/>
                <w:sz w:val="24"/>
                <w:szCs w:val="24"/>
                <w:lang w:val="en-US" w:eastAsia="zh-CN"/>
              </w:rPr>
              <w:t>#</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w:t>
            </w:r>
            <w:r>
              <w:rPr>
                <w:rFonts w:hint="eastAsia" w:ascii="Times New Roman" w:hAnsi="Times New Roman" w:eastAsia="宋体" w:cs="Times New Roman"/>
                <w:color w:val="auto"/>
                <w:sz w:val="24"/>
                <w:lang w:val="en-US" w:eastAsia="zh-CN"/>
              </w:rPr>
              <w:t>挥发性有机物</w:t>
            </w:r>
            <w:r>
              <w:rPr>
                <w:rFonts w:hint="default" w:ascii="Times New Roman" w:hAnsi="Times New Roman" w:eastAsia="宋体" w:cs="Times New Roman"/>
                <w:color w:val="auto"/>
                <w:sz w:val="24"/>
              </w:rPr>
              <w:t>有组织产生量约为</w:t>
            </w:r>
            <w:r>
              <w:rPr>
                <w:rFonts w:hint="eastAsia" w:cs="Times New Roman"/>
                <w:color w:val="auto"/>
                <w:sz w:val="24"/>
                <w:lang w:val="en-US" w:eastAsia="zh-CN"/>
              </w:rPr>
              <w:t>0.384</w:t>
            </w:r>
            <w:r>
              <w:rPr>
                <w:rFonts w:hint="default" w:ascii="Times New Roman" w:hAnsi="Times New Roman" w:eastAsia="宋体" w:cs="Times New Roman"/>
                <w:color w:val="auto"/>
                <w:sz w:val="24"/>
                <w:lang w:val="en-US" w:eastAsia="zh-CN"/>
              </w:rPr>
              <w:t>t</w:t>
            </w:r>
            <w:r>
              <w:rPr>
                <w:rFonts w:hint="default" w:ascii="Times New Roman" w:hAnsi="Times New Roman" w:eastAsia="宋体" w:cs="Times New Roman"/>
                <w:color w:val="auto"/>
                <w:sz w:val="24"/>
              </w:rPr>
              <w:t>/a，有组织产生浓度约为</w:t>
            </w:r>
            <w:r>
              <w:rPr>
                <w:rFonts w:hint="eastAsia" w:cs="Times New Roman"/>
                <w:color w:val="auto"/>
                <w:sz w:val="24"/>
                <w:lang w:val="en-US" w:eastAsia="zh-CN"/>
              </w:rPr>
              <w:t>8.90</w:t>
            </w:r>
            <w:r>
              <w:rPr>
                <w:rFonts w:hint="default" w:ascii="Times New Roman" w:hAnsi="Times New Roman" w:eastAsia="宋体" w:cs="Times New Roman"/>
                <w:color w:val="auto"/>
                <w:sz w:val="24"/>
                <w:szCs w:val="24"/>
              </w:rPr>
              <w:t>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w:t>
            </w:r>
            <w:r>
              <w:rPr>
                <w:rFonts w:hint="eastAsia" w:cs="Times New Roman"/>
                <w:color w:val="auto"/>
                <w:sz w:val="24"/>
                <w:szCs w:val="24"/>
                <w:lang w:eastAsia="zh-CN"/>
              </w:rPr>
              <w:t>二级活性炭吸附效率取</w:t>
            </w:r>
            <w:r>
              <w:rPr>
                <w:rFonts w:hint="eastAsia" w:cs="Times New Roman"/>
                <w:color w:val="auto"/>
                <w:sz w:val="24"/>
                <w:szCs w:val="24"/>
                <w:lang w:val="en-US" w:eastAsia="zh-CN"/>
              </w:rPr>
              <w:t>90%，</w:t>
            </w:r>
            <w:r>
              <w:rPr>
                <w:rFonts w:hint="default" w:ascii="Times New Roman" w:hAnsi="Times New Roman" w:eastAsia="宋体" w:cs="Times New Roman"/>
                <w:color w:val="auto"/>
                <w:sz w:val="24"/>
                <w:szCs w:val="24"/>
              </w:rPr>
              <w:t>经</w:t>
            </w:r>
            <w:r>
              <w:rPr>
                <w:rFonts w:hint="eastAsia" w:ascii="Times New Roman" w:hAnsi="Times New Roman" w:eastAsia="宋体" w:cs="Times New Roman"/>
                <w:color w:val="auto"/>
                <w:sz w:val="24"/>
                <w:szCs w:val="24"/>
                <w:lang w:val="en-US" w:eastAsia="zh-CN"/>
              </w:rPr>
              <w:t>二级活性炭吸附装置</w:t>
            </w:r>
            <w:r>
              <w:rPr>
                <w:rFonts w:hint="default" w:ascii="Times New Roman" w:hAnsi="Times New Roman" w:eastAsia="宋体" w:cs="Times New Roman"/>
                <w:color w:val="auto"/>
                <w:sz w:val="24"/>
                <w:szCs w:val="24"/>
              </w:rPr>
              <w:t>处理后</w:t>
            </w:r>
            <w:r>
              <w:rPr>
                <w:rFonts w:hint="eastAsia" w:ascii="Times New Roman" w:hAnsi="Times New Roman" w:eastAsia="宋体" w:cs="Times New Roman"/>
                <w:b w:val="0"/>
                <w:bCs w:val="0"/>
                <w:snapToGrid w:val="0"/>
                <w:color w:val="auto"/>
                <w:kern w:val="2"/>
                <w:sz w:val="24"/>
                <w:szCs w:val="24"/>
                <w:lang w:val="en-US" w:eastAsia="zh-CN"/>
              </w:rPr>
              <w:t>1#</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w:t>
            </w:r>
            <w:r>
              <w:rPr>
                <w:rFonts w:hint="eastAsia" w:ascii="Times New Roman" w:hAnsi="Times New Roman" w:eastAsia="宋体" w:cs="Times New Roman"/>
                <w:color w:val="auto"/>
                <w:sz w:val="24"/>
                <w:szCs w:val="24"/>
                <w:lang w:val="en-US" w:eastAsia="zh-CN"/>
              </w:rPr>
              <w:t>挥发性有机物</w:t>
            </w:r>
            <w:r>
              <w:rPr>
                <w:rFonts w:hint="default" w:ascii="Times New Roman" w:hAnsi="Times New Roman" w:eastAsia="宋体" w:cs="Times New Roman"/>
                <w:color w:val="auto"/>
                <w:sz w:val="24"/>
                <w:szCs w:val="24"/>
                <w:lang w:eastAsia="zh-CN"/>
              </w:rPr>
              <w:t>有组织</w:t>
            </w:r>
            <w:r>
              <w:rPr>
                <w:rFonts w:hint="default" w:ascii="Times New Roman" w:hAnsi="Times New Roman" w:eastAsia="宋体" w:cs="Times New Roman"/>
                <w:color w:val="auto"/>
                <w:sz w:val="24"/>
                <w:szCs w:val="24"/>
              </w:rPr>
              <w:t>排放量约为</w:t>
            </w:r>
            <w:r>
              <w:rPr>
                <w:rFonts w:hint="eastAsia" w:cs="Times New Roman"/>
                <w:color w:val="auto"/>
                <w:sz w:val="24"/>
                <w:szCs w:val="24"/>
                <w:lang w:val="en-US" w:eastAsia="zh-CN"/>
              </w:rPr>
              <w:t>0.0384</w:t>
            </w:r>
            <w:r>
              <w:rPr>
                <w:rFonts w:hint="default" w:ascii="Times New Roman" w:hAnsi="Times New Roman" w:eastAsia="宋体" w:cs="Times New Roman"/>
                <w:color w:val="auto"/>
                <w:sz w:val="24"/>
                <w:szCs w:val="24"/>
              </w:rPr>
              <w:t>t/a，排放速率约为</w:t>
            </w:r>
            <w:r>
              <w:rPr>
                <w:rFonts w:hint="eastAsia" w:cs="Times New Roman"/>
                <w:color w:val="auto"/>
                <w:sz w:val="24"/>
                <w:szCs w:val="24"/>
                <w:lang w:val="en-US" w:eastAsia="zh-CN"/>
              </w:rPr>
              <w:t>5.33</w:t>
            </w:r>
            <w:r>
              <w:rPr>
                <w:rFonts w:hint="default" w:ascii="Arial" w:hAnsi="Arial" w:eastAsia="宋体" w:cs="Arial"/>
                <w:b w:val="0"/>
                <w:bCs w:val="0"/>
                <w:color w:val="auto"/>
                <w:sz w:val="24"/>
                <w:szCs w:val="24"/>
                <w:lang w:val="en-US" w:eastAsia="zh-CN"/>
              </w:rPr>
              <w:t>×</w:t>
            </w:r>
            <w:r>
              <w:rPr>
                <w:rFonts w:hint="eastAsia" w:eastAsia="宋体" w:cs="Times New Roman"/>
                <w:b w:val="0"/>
                <w:bCs w:val="0"/>
                <w:color w:val="auto"/>
                <w:sz w:val="24"/>
                <w:szCs w:val="24"/>
                <w:lang w:val="en-US" w:eastAsia="zh-CN"/>
              </w:rPr>
              <w:t>10</w:t>
            </w:r>
            <w:r>
              <w:rPr>
                <w:rFonts w:hint="eastAsia" w:eastAsia="宋体" w:cs="Times New Roman"/>
                <w:b w:val="0"/>
                <w:bCs w:val="0"/>
                <w:color w:val="auto"/>
                <w:sz w:val="24"/>
                <w:szCs w:val="24"/>
                <w:vertAlign w:val="superscript"/>
                <w:lang w:val="en-US" w:eastAsia="zh-CN"/>
              </w:rPr>
              <w:t>-</w:t>
            </w:r>
            <w:r>
              <w:rPr>
                <w:rFonts w:hint="eastAsia" w:cs="Times New Roman"/>
                <w:b w:val="0"/>
                <w:bCs w:val="0"/>
                <w:color w:val="auto"/>
                <w:sz w:val="24"/>
                <w:szCs w:val="24"/>
                <w:vertAlign w:val="superscript"/>
                <w:lang w:val="en-US" w:eastAsia="zh-CN"/>
              </w:rPr>
              <w:t>3</w:t>
            </w:r>
            <w:r>
              <w:rPr>
                <w:rFonts w:hint="default" w:ascii="Times New Roman" w:hAnsi="Times New Roman" w:eastAsia="宋体" w:cs="Times New Roman"/>
                <w:color w:val="auto"/>
                <w:sz w:val="24"/>
                <w:szCs w:val="24"/>
              </w:rPr>
              <w:t>kg/h，排放浓度约为</w:t>
            </w:r>
            <w:r>
              <w:rPr>
                <w:rFonts w:hint="eastAsia" w:cs="Times New Roman"/>
                <w:color w:val="auto"/>
                <w:sz w:val="24"/>
                <w:szCs w:val="24"/>
                <w:lang w:val="en-US" w:eastAsia="zh-CN"/>
              </w:rPr>
              <w:t>0.89</w:t>
            </w:r>
            <w:r>
              <w:rPr>
                <w:rFonts w:hint="default" w:ascii="Times New Roman" w:hAnsi="Times New Roman" w:eastAsia="宋体" w:cs="Times New Roman"/>
                <w:color w:val="auto"/>
                <w:sz w:val="24"/>
                <w:szCs w:val="24"/>
              </w:rPr>
              <w:t>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w:t>
            </w:r>
          </w:p>
          <w:p w14:paraId="721712B2">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left"/>
              <w:textAlignment w:val="auto"/>
              <w:rPr>
                <w:rFonts w:hint="default" w:ascii="Times New Roman" w:hAnsi="Times New Roman" w:eastAsia="宋体" w:cs="Times New Roman"/>
                <w:color w:val="auto"/>
                <w:sz w:val="24"/>
              </w:rPr>
            </w:pPr>
            <w:r>
              <w:rPr>
                <w:rFonts w:hint="default" w:ascii="Times New Roman" w:hAnsi="Times New Roman" w:eastAsia="宋体" w:cs="Times New Roman"/>
                <w:b w:val="0"/>
                <w:bCs w:val="0"/>
                <w:snapToGrid w:val="0"/>
                <w:color w:val="auto"/>
                <w:kern w:val="2"/>
                <w:sz w:val="24"/>
                <w:szCs w:val="24"/>
                <w:lang w:val="en-US" w:eastAsia="zh-CN"/>
              </w:rPr>
              <w:t>扩建</w:t>
            </w:r>
            <w:r>
              <w:rPr>
                <w:rFonts w:hint="eastAsia" w:cs="Times New Roman"/>
                <w:b w:val="0"/>
                <w:bCs w:val="0"/>
                <w:snapToGrid w:val="0"/>
                <w:color w:val="auto"/>
                <w:kern w:val="2"/>
                <w:sz w:val="24"/>
                <w:szCs w:val="24"/>
                <w:lang w:val="en-US" w:eastAsia="zh-CN"/>
              </w:rPr>
              <w:t>工程2</w:t>
            </w:r>
            <w:r>
              <w:rPr>
                <w:rFonts w:hint="eastAsia" w:ascii="Times New Roman" w:hAnsi="Times New Roman" w:eastAsia="宋体" w:cs="Times New Roman"/>
                <w:b w:val="0"/>
                <w:bCs w:val="0"/>
                <w:snapToGrid w:val="0"/>
                <w:color w:val="auto"/>
                <w:kern w:val="2"/>
                <w:sz w:val="24"/>
                <w:szCs w:val="24"/>
                <w:lang w:val="en-US" w:eastAsia="zh-CN"/>
              </w:rPr>
              <w:t>#</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w:t>
            </w:r>
            <w:r>
              <w:rPr>
                <w:rFonts w:hint="eastAsia" w:cs="Times New Roman"/>
                <w:b w:val="0"/>
                <w:bCs w:val="0"/>
                <w:snapToGrid w:val="0"/>
                <w:color w:val="auto"/>
                <w:kern w:val="2"/>
                <w:sz w:val="24"/>
                <w:szCs w:val="24"/>
                <w:lang w:val="en-US" w:eastAsia="zh-CN"/>
              </w:rPr>
              <w:t>工序</w:t>
            </w:r>
            <w:r>
              <w:rPr>
                <w:rFonts w:hint="eastAsia" w:ascii="Times New Roman" w:hAnsi="Times New Roman" w:eastAsia="宋体" w:cs="Times New Roman"/>
                <w:color w:val="auto"/>
                <w:sz w:val="24"/>
                <w:lang w:val="en-US" w:eastAsia="zh-CN"/>
              </w:rPr>
              <w:t>挥发性有机物</w:t>
            </w:r>
            <w:r>
              <w:rPr>
                <w:rFonts w:hint="default" w:ascii="Times New Roman" w:hAnsi="Times New Roman" w:eastAsia="宋体" w:cs="Times New Roman"/>
                <w:color w:val="auto"/>
                <w:sz w:val="24"/>
              </w:rPr>
              <w:t>无组织</w:t>
            </w:r>
            <w:r>
              <w:rPr>
                <w:rFonts w:hint="eastAsia" w:ascii="Times New Roman" w:hAnsi="Times New Roman" w:eastAsia="宋体" w:cs="Times New Roman"/>
                <w:color w:val="auto"/>
                <w:sz w:val="24"/>
                <w:lang w:eastAsia="zh-CN"/>
              </w:rPr>
              <w:t>排放</w:t>
            </w:r>
            <w:r>
              <w:rPr>
                <w:rFonts w:hint="default" w:ascii="Times New Roman" w:hAnsi="Times New Roman" w:eastAsia="宋体" w:cs="Times New Roman"/>
                <w:color w:val="auto"/>
                <w:sz w:val="24"/>
              </w:rPr>
              <w:t>量约</w:t>
            </w:r>
            <w:r>
              <w:rPr>
                <w:rFonts w:hint="eastAsia" w:cs="Times New Roman"/>
                <w:color w:val="auto"/>
                <w:sz w:val="24"/>
                <w:lang w:val="en-US" w:eastAsia="zh-CN"/>
              </w:rPr>
              <w:t>0.043</w:t>
            </w:r>
            <w:r>
              <w:rPr>
                <w:rFonts w:hint="default" w:ascii="Times New Roman" w:hAnsi="Times New Roman" w:eastAsia="宋体" w:cs="Times New Roman"/>
                <w:color w:val="auto"/>
                <w:sz w:val="24"/>
              </w:rPr>
              <w:t>t/a。</w:t>
            </w:r>
          </w:p>
          <w:p w14:paraId="191253E3">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left"/>
              <w:textAlignment w:val="auto"/>
              <w:rPr>
                <w:rFonts w:hint="eastAsia" w:cs="Times New Roman"/>
                <w:b w:val="0"/>
                <w:bCs w:val="0"/>
                <w:snapToGrid w:val="0"/>
                <w:color w:val="auto"/>
                <w:kern w:val="2"/>
                <w:sz w:val="24"/>
                <w:szCs w:val="24"/>
                <w:lang w:val="en-US" w:eastAsia="zh-CN"/>
              </w:rPr>
            </w:pPr>
            <w:r>
              <w:rPr>
                <w:rFonts w:hint="default" w:ascii="Times New Roman" w:hAnsi="Times New Roman" w:eastAsia="宋体" w:cs="Times New Roman"/>
                <w:color w:val="auto"/>
                <w:sz w:val="24"/>
                <w:lang w:eastAsia="zh-CN"/>
              </w:rPr>
              <w:t>根据建设单位提供资料，</w:t>
            </w:r>
            <w:r>
              <w:rPr>
                <w:rFonts w:hint="default" w:ascii="Times New Roman" w:hAnsi="Times New Roman" w:eastAsia="宋体" w:cs="Times New Roman"/>
                <w:b w:val="0"/>
                <w:bCs w:val="0"/>
                <w:snapToGrid w:val="0"/>
                <w:color w:val="auto"/>
                <w:kern w:val="2"/>
                <w:sz w:val="24"/>
                <w:szCs w:val="24"/>
                <w:lang w:val="en-US" w:eastAsia="zh-CN"/>
              </w:rPr>
              <w:t>扩建</w:t>
            </w:r>
            <w:r>
              <w:rPr>
                <w:rFonts w:hint="eastAsia" w:cs="Times New Roman"/>
                <w:b w:val="0"/>
                <w:bCs w:val="0"/>
                <w:snapToGrid w:val="0"/>
                <w:color w:val="auto"/>
                <w:kern w:val="2"/>
                <w:sz w:val="24"/>
                <w:szCs w:val="24"/>
                <w:lang w:val="en-US" w:eastAsia="zh-CN"/>
              </w:rPr>
              <w:t>工程的2</w:t>
            </w:r>
            <w:r>
              <w:rPr>
                <w:rFonts w:hint="eastAsia" w:ascii="Times New Roman" w:hAnsi="Times New Roman" w:eastAsia="宋体" w:cs="Times New Roman"/>
                <w:b w:val="0"/>
                <w:bCs w:val="0"/>
                <w:snapToGrid w:val="0"/>
                <w:color w:val="auto"/>
                <w:kern w:val="2"/>
                <w:sz w:val="24"/>
                <w:szCs w:val="24"/>
                <w:lang w:val="en-US" w:eastAsia="zh-CN"/>
              </w:rPr>
              <w:t>#</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、注塑工序</w:t>
            </w:r>
            <w:r>
              <w:rPr>
                <w:rFonts w:hint="eastAsia" w:ascii="Times New Roman" w:hAnsi="Times New Roman" w:eastAsia="宋体" w:cs="Times New Roman"/>
                <w:color w:val="auto"/>
                <w:sz w:val="24"/>
                <w:szCs w:val="24"/>
                <w:lang w:val="en-US" w:eastAsia="zh-CN"/>
              </w:rPr>
              <w:t>挥发性有机物</w:t>
            </w:r>
            <w:r>
              <w:rPr>
                <w:rFonts w:hint="default" w:ascii="Times New Roman" w:hAnsi="Times New Roman" w:eastAsia="宋体" w:cs="Times New Roman"/>
                <w:color w:val="auto"/>
                <w:sz w:val="24"/>
                <w:szCs w:val="24"/>
                <w:lang w:val="en-US" w:eastAsia="zh-CN"/>
              </w:rPr>
              <w:t>经集气罩收集后和</w:t>
            </w:r>
            <w:r>
              <w:rPr>
                <w:rFonts w:hint="default" w:ascii="Times New Roman" w:hAnsi="Times New Roman" w:eastAsia="宋体" w:cs="Times New Roman"/>
                <w:color w:val="auto"/>
                <w:sz w:val="24"/>
                <w:szCs w:val="24"/>
                <w:lang w:eastAsia="zh-CN"/>
              </w:rPr>
              <w:t>现有工程的</w:t>
            </w:r>
            <w:r>
              <w:rPr>
                <w:rFonts w:hint="eastAsia" w:cs="Times New Roman"/>
                <w:b w:val="0"/>
                <w:bCs w:val="0"/>
                <w:snapToGrid w:val="0"/>
                <w:color w:val="auto"/>
                <w:kern w:val="2"/>
                <w:sz w:val="24"/>
                <w:szCs w:val="24"/>
                <w:lang w:val="en-US" w:eastAsia="zh-CN"/>
              </w:rPr>
              <w:t>2</w:t>
            </w:r>
            <w:r>
              <w:rPr>
                <w:rFonts w:hint="eastAsia" w:ascii="Times New Roman" w:hAnsi="Times New Roman" w:eastAsia="宋体" w:cs="Times New Roman"/>
                <w:b w:val="0"/>
                <w:bCs w:val="0"/>
                <w:snapToGrid w:val="0"/>
                <w:color w:val="auto"/>
                <w:kern w:val="2"/>
                <w:sz w:val="24"/>
                <w:szCs w:val="24"/>
                <w:lang w:val="en-US" w:eastAsia="zh-CN"/>
              </w:rPr>
              <w:t>#</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、注塑工序</w:t>
            </w:r>
            <w:r>
              <w:rPr>
                <w:rFonts w:hint="eastAsia" w:ascii="Times New Roman" w:hAnsi="Times New Roman" w:eastAsia="宋体" w:cs="Times New Roman"/>
                <w:color w:val="auto"/>
                <w:sz w:val="24"/>
                <w:szCs w:val="24"/>
                <w:lang w:val="en-US" w:eastAsia="zh-CN"/>
              </w:rPr>
              <w:t>挥发性有机物</w:t>
            </w:r>
            <w:r>
              <w:rPr>
                <w:rFonts w:hint="default" w:ascii="Times New Roman" w:hAnsi="Times New Roman" w:eastAsia="宋体" w:cs="Times New Roman"/>
                <w:color w:val="auto"/>
                <w:sz w:val="24"/>
                <w:szCs w:val="24"/>
                <w:lang w:val="en-US" w:eastAsia="zh-CN"/>
              </w:rPr>
              <w:t>一同汇入</w:t>
            </w:r>
            <w:r>
              <w:rPr>
                <w:rFonts w:hint="eastAsia" w:ascii="Times New Roman" w:hAnsi="Times New Roman" w:eastAsia="宋体" w:cs="Times New Roman"/>
                <w:color w:val="auto"/>
                <w:sz w:val="24"/>
                <w:szCs w:val="24"/>
                <w:lang w:val="en-US" w:eastAsia="zh-CN"/>
              </w:rPr>
              <w:t>二级活性炭吸附装置</w:t>
            </w:r>
            <w:r>
              <w:rPr>
                <w:rFonts w:hint="default" w:ascii="Times New Roman" w:hAnsi="Times New Roman" w:eastAsia="宋体" w:cs="Times New Roman"/>
                <w:color w:val="auto"/>
                <w:sz w:val="24"/>
                <w:szCs w:val="24"/>
                <w:lang w:val="en-US" w:eastAsia="zh-CN"/>
              </w:rPr>
              <w:t>处理，处理后尾气通过一个15m高排气筒（DA00</w:t>
            </w: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）排放</w:t>
            </w:r>
            <w:r>
              <w:rPr>
                <w:rFonts w:hint="default" w:ascii="Times New Roman" w:hAnsi="Times New Roman" w:eastAsia="宋体" w:cs="Times New Roman"/>
                <w:color w:val="auto"/>
                <w:sz w:val="24"/>
                <w:szCs w:val="24"/>
              </w:rPr>
              <w:t>。</w:t>
            </w:r>
            <w:r>
              <w:rPr>
                <w:rFonts w:hint="eastAsia" w:cs="Times New Roman"/>
                <w:b w:val="0"/>
                <w:bCs w:val="0"/>
                <w:snapToGrid w:val="0"/>
                <w:color w:val="auto"/>
                <w:kern w:val="2"/>
                <w:sz w:val="24"/>
                <w:szCs w:val="24"/>
                <w:lang w:val="en-US" w:eastAsia="zh-CN"/>
              </w:rPr>
              <w:t>2</w:t>
            </w:r>
            <w:r>
              <w:rPr>
                <w:rFonts w:hint="eastAsia" w:ascii="Times New Roman" w:hAnsi="Times New Roman" w:eastAsia="宋体" w:cs="Times New Roman"/>
                <w:b w:val="0"/>
                <w:bCs w:val="0"/>
                <w:snapToGrid w:val="0"/>
                <w:color w:val="auto"/>
                <w:kern w:val="2"/>
                <w:sz w:val="24"/>
                <w:szCs w:val="24"/>
                <w:lang w:val="en-US" w:eastAsia="zh-CN"/>
              </w:rPr>
              <w:t>#</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w:t>
            </w:r>
            <w:r>
              <w:rPr>
                <w:rFonts w:hint="eastAsia" w:ascii="Times New Roman" w:hAnsi="Times New Roman" w:eastAsia="宋体" w:cs="Times New Roman"/>
                <w:color w:val="auto"/>
                <w:sz w:val="24"/>
                <w:szCs w:val="24"/>
                <w:lang w:eastAsia="zh-CN"/>
              </w:rPr>
              <w:t>工序</w:t>
            </w:r>
            <w:r>
              <w:rPr>
                <w:rFonts w:hint="default" w:ascii="Times New Roman" w:hAnsi="Times New Roman" w:eastAsia="宋体" w:cs="Times New Roman"/>
                <w:color w:val="auto"/>
                <w:sz w:val="24"/>
                <w:szCs w:val="24"/>
              </w:rPr>
              <w:t>风机风量</w:t>
            </w:r>
            <w:r>
              <w:rPr>
                <w:rFonts w:hint="eastAsia" w:cs="Times New Roman"/>
                <w:color w:val="auto"/>
                <w:sz w:val="24"/>
                <w:szCs w:val="24"/>
                <w:lang w:val="en-US" w:eastAsia="zh-CN"/>
              </w:rPr>
              <w:t>6</w:t>
            </w:r>
            <w:r>
              <w:rPr>
                <w:rFonts w:hint="eastAsia" w:ascii="Times New Roman" w:hAnsi="Times New Roman" w:eastAsia="宋体" w:cs="Times New Roman"/>
                <w:color w:val="auto"/>
                <w:sz w:val="24"/>
                <w:szCs w:val="24"/>
                <w:lang w:val="en-US" w:eastAsia="zh-CN"/>
              </w:rPr>
              <w:t>00</w:t>
            </w:r>
            <w:r>
              <w:rPr>
                <w:rFonts w:hint="eastAsia" w:cs="Times New Roman"/>
                <w:color w:val="auto"/>
                <w:sz w:val="24"/>
                <w:szCs w:val="24"/>
                <w:lang w:val="en-US" w:eastAsia="zh-CN"/>
              </w:rPr>
              <w:t>0</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/h</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挥发性有机物</w:t>
            </w:r>
            <w:r>
              <w:rPr>
                <w:rFonts w:hint="default" w:ascii="Times New Roman" w:hAnsi="Times New Roman" w:eastAsia="宋体" w:cs="Times New Roman"/>
                <w:color w:val="auto"/>
                <w:spacing w:val="-2"/>
                <w:sz w:val="24"/>
                <w:szCs w:val="24"/>
              </w:rPr>
              <w:t>的集气效率取</w:t>
            </w:r>
            <w:r>
              <w:rPr>
                <w:rFonts w:hint="default" w:ascii="Times New Roman" w:hAnsi="Times New Roman" w:eastAsia="宋体" w:cs="Times New Roman"/>
                <w:color w:val="auto"/>
                <w:spacing w:val="-2"/>
                <w:sz w:val="24"/>
                <w:szCs w:val="24"/>
                <w:lang w:val="en-US" w:eastAsia="zh-CN"/>
              </w:rPr>
              <w:t>90</w:t>
            </w:r>
            <w:r>
              <w:rPr>
                <w:rFonts w:hint="default" w:ascii="Times New Roman" w:hAnsi="Times New Roman" w:eastAsia="宋体" w:cs="Times New Roman"/>
                <w:color w:val="auto"/>
                <w:spacing w:val="-2"/>
                <w:sz w:val="24"/>
                <w:szCs w:val="24"/>
              </w:rPr>
              <w:t>%。</w:t>
            </w:r>
            <w:r>
              <w:rPr>
                <w:rFonts w:hint="default" w:ascii="Times New Roman" w:hAnsi="Times New Roman" w:eastAsia="宋体" w:cs="Times New Roman"/>
                <w:color w:val="auto"/>
                <w:sz w:val="24"/>
                <w:szCs w:val="24"/>
                <w:lang w:eastAsia="zh-CN"/>
              </w:rPr>
              <w:t>根据上述分析，</w:t>
            </w:r>
            <w:r>
              <w:rPr>
                <w:rFonts w:hint="eastAsia" w:cs="Times New Roman"/>
                <w:color w:val="auto"/>
                <w:sz w:val="24"/>
                <w:szCs w:val="24"/>
                <w:lang w:eastAsia="zh-CN"/>
              </w:rPr>
              <w:t>全厂</w:t>
            </w:r>
            <w:r>
              <w:rPr>
                <w:rFonts w:hint="eastAsia" w:cs="Times New Roman"/>
                <w:b w:val="0"/>
                <w:bCs w:val="0"/>
                <w:snapToGrid w:val="0"/>
                <w:color w:val="auto"/>
                <w:kern w:val="2"/>
                <w:sz w:val="24"/>
                <w:szCs w:val="24"/>
                <w:lang w:val="en-US" w:eastAsia="zh-CN"/>
              </w:rPr>
              <w:t>2</w:t>
            </w:r>
            <w:r>
              <w:rPr>
                <w:rFonts w:hint="eastAsia" w:ascii="Times New Roman" w:hAnsi="Times New Roman" w:eastAsia="宋体" w:cs="Times New Roman"/>
                <w:b w:val="0"/>
                <w:bCs w:val="0"/>
                <w:snapToGrid w:val="0"/>
                <w:color w:val="auto"/>
                <w:kern w:val="2"/>
                <w:sz w:val="24"/>
                <w:szCs w:val="24"/>
                <w:lang w:val="en-US" w:eastAsia="zh-CN"/>
              </w:rPr>
              <w:t>#</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w:t>
            </w:r>
            <w:r>
              <w:rPr>
                <w:rFonts w:hint="eastAsia" w:ascii="Times New Roman" w:hAnsi="Times New Roman" w:eastAsia="宋体" w:cs="Times New Roman"/>
                <w:color w:val="auto"/>
                <w:sz w:val="24"/>
                <w:szCs w:val="24"/>
                <w:lang w:val="en-US" w:eastAsia="zh-CN"/>
              </w:rPr>
              <w:t>挥发性有机物</w:t>
            </w:r>
            <w:r>
              <w:rPr>
                <w:rFonts w:hint="default" w:ascii="Times New Roman" w:hAnsi="Times New Roman" w:eastAsia="宋体" w:cs="Times New Roman"/>
                <w:color w:val="auto"/>
                <w:sz w:val="24"/>
                <w:szCs w:val="24"/>
              </w:rPr>
              <w:t>产生量约为</w:t>
            </w:r>
            <w:r>
              <w:rPr>
                <w:rFonts w:hint="eastAsia" w:cs="Times New Roman"/>
                <w:color w:val="auto"/>
                <w:sz w:val="24"/>
                <w:szCs w:val="24"/>
                <w:lang w:val="en-US" w:eastAsia="zh-CN"/>
              </w:rPr>
              <w:t>0.854</w:t>
            </w:r>
            <w:r>
              <w:rPr>
                <w:rFonts w:hint="default" w:ascii="Times New Roman" w:hAnsi="Times New Roman" w:eastAsia="宋体" w:cs="Times New Roman"/>
                <w:color w:val="auto"/>
                <w:sz w:val="24"/>
                <w:szCs w:val="24"/>
                <w:lang w:val="en-US" w:eastAsia="zh-CN"/>
              </w:rPr>
              <w:t>t</w:t>
            </w:r>
            <w:r>
              <w:rPr>
                <w:rFonts w:hint="default" w:ascii="Times New Roman" w:hAnsi="Times New Roman" w:eastAsia="宋体" w:cs="Times New Roman"/>
                <w:color w:val="auto"/>
                <w:sz w:val="24"/>
                <w:szCs w:val="24"/>
              </w:rPr>
              <w:t>/a</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则</w:t>
            </w:r>
            <w:r>
              <w:rPr>
                <w:rFonts w:hint="eastAsia" w:cs="Times New Roman"/>
                <w:b w:val="0"/>
                <w:bCs w:val="0"/>
                <w:snapToGrid w:val="0"/>
                <w:color w:val="auto"/>
                <w:kern w:val="2"/>
                <w:sz w:val="24"/>
                <w:szCs w:val="24"/>
                <w:lang w:val="en-US" w:eastAsia="zh-CN"/>
              </w:rPr>
              <w:t>2</w:t>
            </w:r>
            <w:r>
              <w:rPr>
                <w:rFonts w:hint="eastAsia" w:ascii="Times New Roman" w:hAnsi="Times New Roman" w:eastAsia="宋体" w:cs="Times New Roman"/>
                <w:b w:val="0"/>
                <w:bCs w:val="0"/>
                <w:snapToGrid w:val="0"/>
                <w:color w:val="auto"/>
                <w:kern w:val="2"/>
                <w:sz w:val="24"/>
                <w:szCs w:val="24"/>
                <w:lang w:val="en-US" w:eastAsia="zh-CN"/>
              </w:rPr>
              <w:t>#</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w:t>
            </w:r>
            <w:r>
              <w:rPr>
                <w:rFonts w:hint="eastAsia" w:ascii="Times New Roman" w:hAnsi="Times New Roman" w:eastAsia="宋体" w:cs="Times New Roman"/>
                <w:color w:val="auto"/>
                <w:sz w:val="24"/>
                <w:szCs w:val="24"/>
                <w:lang w:val="en-US" w:eastAsia="zh-CN"/>
              </w:rPr>
              <w:t>挥发性有机物</w:t>
            </w:r>
            <w:r>
              <w:rPr>
                <w:rFonts w:hint="default" w:ascii="Times New Roman" w:hAnsi="Times New Roman" w:eastAsia="宋体" w:cs="Times New Roman"/>
                <w:color w:val="auto"/>
                <w:sz w:val="24"/>
                <w:szCs w:val="24"/>
              </w:rPr>
              <w:t>有组织产生量约为</w:t>
            </w:r>
            <w:r>
              <w:rPr>
                <w:rFonts w:hint="eastAsia" w:cs="Times New Roman"/>
                <w:color w:val="auto"/>
                <w:sz w:val="24"/>
                <w:szCs w:val="24"/>
                <w:lang w:val="en-US" w:eastAsia="zh-CN"/>
              </w:rPr>
              <w:t>0.768</w:t>
            </w:r>
            <w:r>
              <w:rPr>
                <w:rFonts w:hint="default" w:ascii="Times New Roman" w:hAnsi="Times New Roman" w:eastAsia="宋体" w:cs="Times New Roman"/>
                <w:color w:val="auto"/>
                <w:sz w:val="24"/>
                <w:szCs w:val="24"/>
                <w:lang w:val="en-US" w:eastAsia="zh-CN"/>
              </w:rPr>
              <w:t>t</w:t>
            </w:r>
            <w:r>
              <w:rPr>
                <w:rFonts w:hint="default" w:ascii="Times New Roman" w:hAnsi="Times New Roman" w:eastAsia="宋体" w:cs="Times New Roman"/>
                <w:color w:val="auto"/>
                <w:sz w:val="24"/>
                <w:szCs w:val="24"/>
              </w:rPr>
              <w:t>/a，有组织产生浓度约为</w:t>
            </w:r>
            <w:r>
              <w:rPr>
                <w:rFonts w:hint="eastAsia" w:cs="Times New Roman"/>
                <w:color w:val="auto"/>
                <w:sz w:val="24"/>
                <w:szCs w:val="24"/>
                <w:lang w:val="en-US" w:eastAsia="zh-CN"/>
              </w:rPr>
              <w:t>17.78</w:t>
            </w:r>
            <w:r>
              <w:rPr>
                <w:rFonts w:hint="default" w:ascii="Times New Roman" w:hAnsi="Times New Roman" w:eastAsia="宋体" w:cs="Times New Roman"/>
                <w:color w:val="auto"/>
                <w:sz w:val="24"/>
                <w:szCs w:val="24"/>
              </w:rPr>
              <w:t>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w:t>
            </w:r>
            <w:r>
              <w:rPr>
                <w:rFonts w:hint="eastAsia" w:cs="Times New Roman"/>
                <w:color w:val="auto"/>
                <w:sz w:val="24"/>
                <w:szCs w:val="24"/>
                <w:lang w:eastAsia="zh-CN"/>
              </w:rPr>
              <w:t>二级活性炭吸附效率取</w:t>
            </w:r>
            <w:r>
              <w:rPr>
                <w:rFonts w:hint="eastAsia" w:cs="Times New Roman"/>
                <w:color w:val="auto"/>
                <w:sz w:val="24"/>
                <w:szCs w:val="24"/>
                <w:lang w:val="en-US" w:eastAsia="zh-CN"/>
              </w:rPr>
              <w:t>90%，</w:t>
            </w:r>
            <w:r>
              <w:rPr>
                <w:rFonts w:hint="default" w:ascii="Times New Roman" w:hAnsi="Times New Roman" w:eastAsia="宋体" w:cs="Times New Roman"/>
                <w:color w:val="auto"/>
                <w:sz w:val="24"/>
                <w:szCs w:val="24"/>
              </w:rPr>
              <w:t>经</w:t>
            </w:r>
            <w:r>
              <w:rPr>
                <w:rFonts w:hint="eastAsia" w:ascii="Times New Roman" w:hAnsi="Times New Roman" w:eastAsia="宋体" w:cs="Times New Roman"/>
                <w:color w:val="auto"/>
                <w:sz w:val="24"/>
                <w:szCs w:val="24"/>
                <w:lang w:val="en-US" w:eastAsia="zh-CN"/>
              </w:rPr>
              <w:t>二级活性炭吸附装置</w:t>
            </w:r>
            <w:r>
              <w:rPr>
                <w:rFonts w:hint="default" w:ascii="Times New Roman" w:hAnsi="Times New Roman" w:eastAsia="宋体" w:cs="Times New Roman"/>
                <w:color w:val="auto"/>
                <w:sz w:val="24"/>
                <w:szCs w:val="24"/>
              </w:rPr>
              <w:t>处理后</w:t>
            </w:r>
            <w:r>
              <w:rPr>
                <w:rFonts w:hint="eastAsia" w:cs="Times New Roman"/>
                <w:b w:val="0"/>
                <w:bCs w:val="0"/>
                <w:snapToGrid w:val="0"/>
                <w:color w:val="auto"/>
                <w:kern w:val="2"/>
                <w:sz w:val="24"/>
                <w:szCs w:val="24"/>
                <w:lang w:val="en-US" w:eastAsia="zh-CN"/>
              </w:rPr>
              <w:t>2</w:t>
            </w:r>
            <w:r>
              <w:rPr>
                <w:rFonts w:hint="eastAsia" w:ascii="Times New Roman" w:hAnsi="Times New Roman" w:eastAsia="宋体" w:cs="Times New Roman"/>
                <w:b w:val="0"/>
                <w:bCs w:val="0"/>
                <w:snapToGrid w:val="0"/>
                <w:color w:val="auto"/>
                <w:kern w:val="2"/>
                <w:sz w:val="24"/>
                <w:szCs w:val="24"/>
                <w:lang w:val="en-US" w:eastAsia="zh-CN"/>
              </w:rPr>
              <w:t>#</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w:t>
            </w:r>
            <w:r>
              <w:rPr>
                <w:rFonts w:hint="eastAsia" w:ascii="Times New Roman" w:hAnsi="Times New Roman" w:eastAsia="宋体" w:cs="Times New Roman"/>
                <w:color w:val="auto"/>
                <w:sz w:val="24"/>
                <w:szCs w:val="24"/>
                <w:lang w:val="en-US" w:eastAsia="zh-CN"/>
              </w:rPr>
              <w:t>挥发性有机物</w:t>
            </w:r>
            <w:r>
              <w:rPr>
                <w:rFonts w:hint="default" w:ascii="Times New Roman" w:hAnsi="Times New Roman" w:eastAsia="宋体" w:cs="Times New Roman"/>
                <w:color w:val="auto"/>
                <w:sz w:val="24"/>
                <w:szCs w:val="24"/>
                <w:lang w:eastAsia="zh-CN"/>
              </w:rPr>
              <w:t>有组织</w:t>
            </w:r>
            <w:r>
              <w:rPr>
                <w:rFonts w:hint="default" w:ascii="Times New Roman" w:hAnsi="Times New Roman" w:eastAsia="宋体" w:cs="Times New Roman"/>
                <w:color w:val="auto"/>
                <w:sz w:val="24"/>
                <w:szCs w:val="24"/>
              </w:rPr>
              <w:t>排放量约为</w:t>
            </w:r>
            <w:r>
              <w:rPr>
                <w:rFonts w:hint="eastAsia" w:cs="Times New Roman"/>
                <w:color w:val="auto"/>
                <w:sz w:val="24"/>
                <w:szCs w:val="24"/>
                <w:lang w:val="en-US" w:eastAsia="zh-CN"/>
              </w:rPr>
              <w:t>0.0768</w:t>
            </w:r>
            <w:r>
              <w:rPr>
                <w:rFonts w:hint="default" w:ascii="Times New Roman" w:hAnsi="Times New Roman" w:eastAsia="宋体" w:cs="Times New Roman"/>
                <w:color w:val="auto"/>
                <w:sz w:val="24"/>
                <w:szCs w:val="24"/>
              </w:rPr>
              <w:t>t/a，排放速率约为</w:t>
            </w:r>
            <w:r>
              <w:rPr>
                <w:rFonts w:hint="eastAsia" w:cs="Times New Roman"/>
                <w:color w:val="auto"/>
                <w:sz w:val="24"/>
                <w:szCs w:val="24"/>
                <w:lang w:val="en-US" w:eastAsia="zh-CN"/>
              </w:rPr>
              <w:t>0.011</w:t>
            </w:r>
            <w:r>
              <w:rPr>
                <w:rFonts w:hint="default" w:ascii="Times New Roman" w:hAnsi="Times New Roman" w:eastAsia="宋体" w:cs="Times New Roman"/>
                <w:color w:val="auto"/>
                <w:sz w:val="24"/>
                <w:szCs w:val="24"/>
              </w:rPr>
              <w:t>kg/h，排放浓度约为</w:t>
            </w:r>
            <w:r>
              <w:rPr>
                <w:rFonts w:hint="eastAsia" w:cs="Times New Roman"/>
                <w:color w:val="auto"/>
                <w:sz w:val="24"/>
                <w:szCs w:val="24"/>
                <w:lang w:val="en-US" w:eastAsia="zh-CN"/>
              </w:rPr>
              <w:t>1.78</w:t>
            </w:r>
            <w:r>
              <w:rPr>
                <w:rFonts w:hint="default" w:ascii="Times New Roman" w:hAnsi="Times New Roman" w:eastAsia="宋体" w:cs="Times New Roman"/>
                <w:color w:val="auto"/>
                <w:sz w:val="24"/>
                <w:szCs w:val="24"/>
              </w:rPr>
              <w:t>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w:t>
            </w:r>
          </w:p>
          <w:p w14:paraId="3F6CAD2E">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left"/>
              <w:textAlignment w:val="auto"/>
              <w:rPr>
                <w:rFonts w:hint="eastAsia" w:cs="Times New Roman"/>
                <w:b w:val="0"/>
                <w:bCs w:val="0"/>
                <w:snapToGrid w:val="0"/>
                <w:color w:val="auto"/>
                <w:kern w:val="2"/>
                <w:sz w:val="24"/>
                <w:szCs w:val="24"/>
                <w:lang w:val="en-US" w:eastAsia="zh-CN"/>
              </w:rPr>
            </w:pPr>
            <w:r>
              <w:rPr>
                <w:rFonts w:hint="eastAsia" w:ascii="Times New Roman" w:hAnsi="Times New Roman" w:eastAsia="宋体" w:cs="Times New Roman"/>
                <w:color w:val="auto"/>
                <w:sz w:val="24"/>
                <w:szCs w:val="24"/>
                <w:lang w:val="en-US" w:eastAsia="zh-CN"/>
              </w:rPr>
              <w:t>挥发性有机物</w:t>
            </w:r>
            <w:r>
              <w:rPr>
                <w:rFonts w:hint="default" w:ascii="Times New Roman" w:hAnsi="Times New Roman" w:eastAsia="宋体" w:cs="Times New Roman"/>
                <w:color w:val="auto"/>
                <w:sz w:val="24"/>
                <w:szCs w:val="24"/>
              </w:rPr>
              <w:t>无组织</w:t>
            </w:r>
            <w:r>
              <w:rPr>
                <w:rFonts w:hint="default" w:ascii="Times New Roman" w:hAnsi="Times New Roman" w:eastAsia="宋体" w:cs="Times New Roman"/>
                <w:color w:val="auto"/>
                <w:sz w:val="24"/>
                <w:szCs w:val="24"/>
                <w:lang w:eastAsia="zh-CN"/>
              </w:rPr>
              <w:t>排放</w:t>
            </w:r>
            <w:r>
              <w:rPr>
                <w:rFonts w:hint="default" w:ascii="Times New Roman" w:hAnsi="Times New Roman" w:eastAsia="宋体" w:cs="Times New Roman"/>
                <w:color w:val="auto"/>
                <w:sz w:val="24"/>
                <w:szCs w:val="24"/>
              </w:rPr>
              <w:t>量约</w:t>
            </w:r>
            <w:r>
              <w:rPr>
                <w:rFonts w:hint="eastAsia" w:cs="Times New Roman"/>
                <w:color w:val="auto"/>
                <w:sz w:val="24"/>
                <w:szCs w:val="24"/>
                <w:lang w:val="en-US" w:eastAsia="zh-CN"/>
              </w:rPr>
              <w:t>0.086</w:t>
            </w:r>
            <w:r>
              <w:rPr>
                <w:rFonts w:hint="default" w:ascii="Times New Roman" w:hAnsi="Times New Roman" w:eastAsia="宋体" w:cs="Times New Roman"/>
                <w:color w:val="auto"/>
                <w:sz w:val="24"/>
                <w:szCs w:val="24"/>
              </w:rPr>
              <w:t>t/a。</w:t>
            </w:r>
          </w:p>
          <w:p w14:paraId="29215369">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left"/>
              <w:textAlignment w:val="auto"/>
              <w:rPr>
                <w:rFonts w:hint="eastAsia" w:cs="Times New Roman"/>
                <w:b w:val="0"/>
                <w:bCs w:val="0"/>
                <w:snapToGrid w:val="0"/>
                <w:color w:val="auto"/>
                <w:kern w:val="2"/>
                <w:sz w:val="24"/>
                <w:szCs w:val="24"/>
                <w:lang w:val="en-US" w:eastAsia="zh-CN"/>
              </w:rPr>
            </w:pPr>
            <w:r>
              <w:rPr>
                <w:rFonts w:hint="eastAsia" w:cs="Times New Roman"/>
                <w:b w:val="0"/>
                <w:bCs w:val="0"/>
                <w:snapToGrid w:val="0"/>
                <w:color w:val="auto"/>
                <w:kern w:val="2"/>
                <w:sz w:val="24"/>
                <w:szCs w:val="24"/>
                <w:lang w:val="en-US" w:eastAsia="zh-CN"/>
              </w:rPr>
              <w:t>（2）喷塑废气</w:t>
            </w:r>
          </w:p>
          <w:p w14:paraId="682D8F42">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cs="Times New Roman"/>
                <w:b w:val="0"/>
                <w:bCs w:val="0"/>
                <w:snapToGrid w:val="0"/>
                <w:color w:val="auto"/>
                <w:kern w:val="2"/>
                <w:sz w:val="24"/>
                <w:szCs w:val="24"/>
                <w:lang w:val="en-US" w:eastAsia="zh-CN"/>
              </w:rPr>
              <w:t>本项目成品进行喷塑，</w:t>
            </w:r>
            <w:r>
              <w:rPr>
                <w:rFonts w:hint="default" w:ascii="Times New Roman" w:hAnsi="Times New Roman" w:eastAsia="宋体" w:cs="Times New Roman"/>
                <w:b w:val="0"/>
                <w:bCs w:val="0"/>
                <w:color w:val="auto"/>
                <w:sz w:val="24"/>
                <w:szCs w:val="24"/>
                <w:highlight w:val="none"/>
                <w:lang w:val="en-US" w:eastAsia="zh-CN"/>
              </w:rPr>
              <w:t>喷塑工序在喷塑室内完成，</w:t>
            </w:r>
            <w:r>
              <w:rPr>
                <w:rFonts w:hint="eastAsia" w:cs="Times New Roman"/>
                <w:b w:val="0"/>
                <w:bCs w:val="0"/>
                <w:snapToGrid w:val="0"/>
                <w:color w:val="auto"/>
                <w:kern w:val="2"/>
                <w:sz w:val="24"/>
                <w:szCs w:val="24"/>
                <w:lang w:val="en-US" w:eastAsia="zh-CN"/>
              </w:rPr>
              <w:t>参照《排放源统计调查产排污核算方法和系数手册》（33-37，431-434-机械行业系数手册）喷塑工序，颗粒物的产污系数为300kg/t原料，扩建工程年使用塑粉量为1t/a，则颗粒物</w:t>
            </w:r>
            <w:r>
              <w:rPr>
                <w:rFonts w:hint="default" w:ascii="Times New Roman" w:hAnsi="Times New Roman" w:eastAsia="宋体" w:cs="Times New Roman"/>
                <w:b w:val="0"/>
                <w:bCs w:val="0"/>
                <w:color w:val="auto"/>
                <w:sz w:val="24"/>
                <w:szCs w:val="24"/>
                <w:highlight w:val="none"/>
                <w:lang w:val="en-US" w:eastAsia="zh-CN"/>
              </w:rPr>
              <w:t>产生量为</w:t>
            </w:r>
            <w:r>
              <w:rPr>
                <w:rFonts w:hint="eastAsia" w:cs="Times New Roman"/>
                <w:b w:val="0"/>
                <w:bCs w:val="0"/>
                <w:color w:val="auto"/>
                <w:sz w:val="24"/>
                <w:szCs w:val="24"/>
                <w:highlight w:val="none"/>
                <w:lang w:val="en-US" w:eastAsia="zh-CN"/>
              </w:rPr>
              <w:t>0.3</w:t>
            </w:r>
            <w:r>
              <w:rPr>
                <w:rFonts w:hint="default" w:ascii="Times New Roman" w:hAnsi="Times New Roman" w:eastAsia="宋体" w:cs="Times New Roman"/>
                <w:b w:val="0"/>
                <w:bCs w:val="0"/>
                <w:color w:val="auto"/>
                <w:sz w:val="24"/>
                <w:szCs w:val="24"/>
                <w:highlight w:val="none"/>
                <w:lang w:val="en-US" w:eastAsia="zh-CN"/>
              </w:rPr>
              <w:t>t/a。喷塑工序年工作时间</w:t>
            </w:r>
            <w:r>
              <w:rPr>
                <w:rFonts w:hint="eastAsia" w:cs="Times New Roman"/>
                <w:b w:val="0"/>
                <w:bCs w:val="0"/>
                <w:color w:val="auto"/>
                <w:sz w:val="24"/>
                <w:szCs w:val="24"/>
                <w:highlight w:val="none"/>
                <w:lang w:val="en-US" w:eastAsia="zh-CN"/>
              </w:rPr>
              <w:t>2400</w:t>
            </w:r>
            <w:r>
              <w:rPr>
                <w:rFonts w:hint="default" w:ascii="Times New Roman" w:hAnsi="Times New Roman" w:eastAsia="宋体" w:cs="Times New Roman"/>
                <w:b w:val="0"/>
                <w:bCs w:val="0"/>
                <w:color w:val="auto"/>
                <w:sz w:val="24"/>
                <w:szCs w:val="24"/>
                <w:highlight w:val="none"/>
                <w:lang w:val="en-US" w:eastAsia="zh-CN"/>
              </w:rPr>
              <w:t>h。</w:t>
            </w:r>
          </w:p>
          <w:p w14:paraId="284E5F71">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left"/>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highlight w:val="none"/>
                <w:lang w:val="en-US" w:eastAsia="zh-CN"/>
              </w:rPr>
              <w:t>喷塑工序</w:t>
            </w:r>
            <w:r>
              <w:rPr>
                <w:rFonts w:hint="eastAsia" w:cs="Times New Roman"/>
                <w:b w:val="0"/>
                <w:bCs w:val="0"/>
                <w:color w:val="auto"/>
                <w:sz w:val="24"/>
                <w:szCs w:val="24"/>
                <w:highlight w:val="none"/>
                <w:lang w:val="en-US" w:eastAsia="zh-CN"/>
              </w:rPr>
              <w:t>依托原有</w:t>
            </w:r>
            <w:r>
              <w:rPr>
                <w:rFonts w:hint="default" w:ascii="Times New Roman" w:hAnsi="Times New Roman" w:eastAsia="宋体" w:cs="Times New Roman"/>
                <w:b w:val="0"/>
                <w:bCs w:val="0"/>
                <w:color w:val="auto"/>
                <w:sz w:val="24"/>
                <w:szCs w:val="24"/>
                <w:highlight w:val="none"/>
                <w:lang w:val="en-US" w:eastAsia="zh-CN"/>
              </w:rPr>
              <w:t>喷塑房（密闭）进行，喷塑</w:t>
            </w:r>
            <w:r>
              <w:rPr>
                <w:rFonts w:hint="eastAsia" w:cs="Times New Roman"/>
                <w:b w:val="0"/>
                <w:bCs w:val="0"/>
                <w:color w:val="auto"/>
                <w:sz w:val="24"/>
                <w:szCs w:val="24"/>
                <w:highlight w:val="none"/>
                <w:lang w:val="en-US" w:eastAsia="zh-CN"/>
              </w:rPr>
              <w:t>颗粒物</w:t>
            </w:r>
            <w:r>
              <w:rPr>
                <w:rFonts w:hint="eastAsia" w:cs="Times New Roman"/>
                <w:b w:val="0"/>
                <w:bCs w:val="0"/>
                <w:color w:val="auto"/>
                <w:spacing w:val="-2"/>
                <w:sz w:val="24"/>
                <w:szCs w:val="24"/>
                <w:highlight w:val="none"/>
                <w:lang w:val="en-US" w:eastAsia="zh-CN"/>
              </w:rPr>
              <w:t>依托原有布袋除尘器处理（原有风机风量为3000m</w:t>
            </w:r>
            <w:r>
              <w:rPr>
                <w:rFonts w:hint="eastAsia" w:cs="Times New Roman"/>
                <w:b w:val="0"/>
                <w:bCs w:val="0"/>
                <w:color w:val="auto"/>
                <w:spacing w:val="-2"/>
                <w:sz w:val="24"/>
                <w:szCs w:val="24"/>
                <w:highlight w:val="none"/>
                <w:vertAlign w:val="superscript"/>
                <w:lang w:val="en-US" w:eastAsia="zh-CN"/>
              </w:rPr>
              <w:t>3</w:t>
            </w:r>
            <w:r>
              <w:rPr>
                <w:rFonts w:hint="eastAsia" w:cs="Times New Roman"/>
                <w:b w:val="0"/>
                <w:bCs w:val="0"/>
                <w:color w:val="auto"/>
                <w:spacing w:val="-2"/>
                <w:sz w:val="24"/>
                <w:szCs w:val="24"/>
                <w:highlight w:val="none"/>
                <w:lang w:val="en-US" w:eastAsia="zh-CN"/>
              </w:rPr>
              <w:t>/h）</w:t>
            </w:r>
            <w:r>
              <w:rPr>
                <w:rFonts w:hint="default" w:ascii="Times New Roman" w:hAnsi="Times New Roman" w:eastAsia="宋体" w:cs="Times New Roman"/>
                <w:b w:val="0"/>
                <w:bCs w:val="0"/>
                <w:color w:val="auto"/>
                <w:sz w:val="24"/>
                <w:szCs w:val="24"/>
                <w:highlight w:val="none"/>
                <w:lang w:val="en-US" w:eastAsia="zh-CN"/>
              </w:rPr>
              <w:t>，处理后的尾气</w:t>
            </w:r>
            <w:r>
              <w:rPr>
                <w:rFonts w:hint="eastAsia" w:cs="Times New Roman"/>
                <w:b w:val="0"/>
                <w:bCs w:val="0"/>
                <w:color w:val="auto"/>
                <w:sz w:val="24"/>
                <w:szCs w:val="24"/>
                <w:highlight w:val="none"/>
                <w:lang w:val="en-US" w:eastAsia="zh-CN"/>
              </w:rPr>
              <w:t>依托原有15</w:t>
            </w:r>
            <w:r>
              <w:rPr>
                <w:rFonts w:hint="default" w:ascii="Times New Roman" w:hAnsi="Times New Roman" w:eastAsia="宋体" w:cs="Times New Roman"/>
                <w:b w:val="0"/>
                <w:bCs w:val="0"/>
                <w:color w:val="auto"/>
                <w:sz w:val="24"/>
                <w:szCs w:val="24"/>
                <w:highlight w:val="none"/>
                <w:lang w:val="en-US" w:eastAsia="zh-CN"/>
              </w:rPr>
              <w:t>m高排气筒（DA00</w:t>
            </w:r>
            <w:r>
              <w:rPr>
                <w:rFonts w:hint="eastAsia" w:cs="Times New Roman"/>
                <w:b w:val="0"/>
                <w:bCs w:val="0"/>
                <w:color w:val="auto"/>
                <w:sz w:val="24"/>
                <w:szCs w:val="24"/>
                <w:highlight w:val="none"/>
                <w:lang w:val="en-US" w:eastAsia="zh-CN"/>
              </w:rPr>
              <w:t>5</w:t>
            </w:r>
            <w:r>
              <w:rPr>
                <w:rFonts w:hint="default" w:ascii="Times New Roman" w:hAnsi="Times New Roman" w:eastAsia="宋体" w:cs="Times New Roman"/>
                <w:b w:val="0"/>
                <w:bCs w:val="0"/>
                <w:color w:val="auto"/>
                <w:sz w:val="24"/>
                <w:szCs w:val="24"/>
                <w:highlight w:val="none"/>
                <w:lang w:val="en-US" w:eastAsia="zh-CN"/>
              </w:rPr>
              <w:t>）排放。</w:t>
            </w:r>
            <w:r>
              <w:rPr>
                <w:rFonts w:hint="default" w:ascii="Times New Roman" w:hAnsi="Times New Roman" w:eastAsia="宋体" w:cs="Times New Roman"/>
                <w:b w:val="0"/>
                <w:bCs w:val="0"/>
                <w:color w:val="auto"/>
                <w:spacing w:val="-2"/>
                <w:sz w:val="24"/>
                <w:szCs w:val="24"/>
                <w:highlight w:val="none"/>
                <w:lang w:val="en-US" w:eastAsia="zh-CN"/>
              </w:rPr>
              <w:t>根据同类工程实践，</w:t>
            </w:r>
            <w:r>
              <w:rPr>
                <w:rFonts w:hint="eastAsia" w:cs="Times New Roman"/>
                <w:b w:val="0"/>
                <w:bCs w:val="0"/>
                <w:color w:val="auto"/>
                <w:sz w:val="24"/>
                <w:szCs w:val="24"/>
                <w:highlight w:val="none"/>
                <w:lang w:val="en-US" w:eastAsia="zh-CN"/>
              </w:rPr>
              <w:t>颗粒物</w:t>
            </w:r>
            <w:r>
              <w:rPr>
                <w:rFonts w:hint="default" w:ascii="Times New Roman" w:hAnsi="Times New Roman" w:eastAsia="宋体" w:cs="Times New Roman"/>
                <w:b w:val="0"/>
                <w:bCs w:val="0"/>
                <w:color w:val="auto"/>
                <w:sz w:val="24"/>
                <w:szCs w:val="24"/>
                <w:highlight w:val="none"/>
                <w:lang w:val="en-US" w:eastAsia="zh-CN"/>
              </w:rPr>
              <w:t>自吸泵和</w:t>
            </w:r>
            <w:r>
              <w:rPr>
                <w:rFonts w:hint="default" w:ascii="Times New Roman" w:hAnsi="Times New Roman" w:eastAsia="宋体" w:cs="Times New Roman"/>
                <w:b w:val="0"/>
                <w:bCs w:val="0"/>
                <w:color w:val="auto"/>
                <w:spacing w:val="-2"/>
                <w:sz w:val="24"/>
                <w:szCs w:val="24"/>
                <w:highlight w:val="none"/>
                <w:lang w:val="en-US" w:eastAsia="zh-CN"/>
              </w:rPr>
              <w:t>侧向集气罩吸风方式吸风效率很高，接近100%。考虑到工艺控制条件下装置的可靠性，</w:t>
            </w:r>
            <w:r>
              <w:rPr>
                <w:rFonts w:hint="default" w:ascii="Times New Roman" w:hAnsi="Times New Roman" w:eastAsia="宋体" w:cs="Times New Roman"/>
                <w:b w:val="0"/>
                <w:bCs w:val="0"/>
                <w:color w:val="auto"/>
                <w:spacing w:val="-2"/>
                <w:sz w:val="24"/>
                <w:szCs w:val="24"/>
                <w:lang w:val="en-US" w:eastAsia="zh-CN"/>
              </w:rPr>
              <w:t>本项目</w:t>
            </w:r>
            <w:r>
              <w:rPr>
                <w:rFonts w:hint="eastAsia" w:cs="Times New Roman"/>
                <w:b w:val="0"/>
                <w:bCs w:val="0"/>
                <w:color w:val="auto"/>
                <w:sz w:val="24"/>
                <w:szCs w:val="24"/>
                <w:highlight w:val="none"/>
                <w:lang w:val="en-US" w:eastAsia="zh-CN"/>
              </w:rPr>
              <w:t>颗粒物</w:t>
            </w:r>
            <w:r>
              <w:rPr>
                <w:rFonts w:hint="default" w:ascii="Times New Roman" w:hAnsi="Times New Roman" w:eastAsia="宋体" w:cs="Times New Roman"/>
                <w:b w:val="0"/>
                <w:bCs w:val="0"/>
                <w:color w:val="auto"/>
                <w:spacing w:val="-2"/>
                <w:sz w:val="24"/>
                <w:szCs w:val="24"/>
                <w:lang w:val="en-US" w:eastAsia="zh-CN"/>
              </w:rPr>
              <w:t>的集气效率取95%。</w:t>
            </w:r>
            <w:r>
              <w:rPr>
                <w:rFonts w:hint="eastAsia" w:cs="Times New Roman"/>
                <w:b w:val="0"/>
                <w:bCs w:val="0"/>
                <w:color w:val="auto"/>
                <w:spacing w:val="-2"/>
                <w:sz w:val="24"/>
                <w:szCs w:val="24"/>
                <w:highlight w:val="none"/>
                <w:lang w:val="en-US" w:eastAsia="zh-CN"/>
              </w:rPr>
              <w:t>塑粉回收装置</w:t>
            </w:r>
            <w:r>
              <w:rPr>
                <w:rFonts w:hint="default" w:ascii="Times New Roman" w:hAnsi="Times New Roman" w:eastAsia="宋体" w:cs="Times New Roman"/>
                <w:b w:val="0"/>
                <w:bCs w:val="0"/>
                <w:color w:val="auto"/>
                <w:sz w:val="24"/>
                <w:szCs w:val="24"/>
                <w:lang w:val="en-US" w:eastAsia="zh-CN"/>
              </w:rPr>
              <w:t>处理效率取9</w:t>
            </w:r>
            <w:r>
              <w:rPr>
                <w:rFonts w:hint="eastAsia" w:cs="Times New Roman"/>
                <w:b w:val="0"/>
                <w:bCs w:val="0"/>
                <w:color w:val="auto"/>
                <w:sz w:val="24"/>
                <w:szCs w:val="24"/>
                <w:lang w:val="en-US" w:eastAsia="zh-CN"/>
              </w:rPr>
              <w:t>5</w:t>
            </w:r>
            <w:r>
              <w:rPr>
                <w:rFonts w:hint="default" w:ascii="Times New Roman" w:hAnsi="Times New Roman" w:eastAsia="宋体" w:cs="Times New Roman"/>
                <w:b w:val="0"/>
                <w:bCs w:val="0"/>
                <w:color w:val="auto"/>
                <w:sz w:val="24"/>
                <w:szCs w:val="24"/>
                <w:lang w:val="en-US" w:eastAsia="zh-CN"/>
              </w:rPr>
              <w:t>%。</w:t>
            </w:r>
          </w:p>
          <w:p w14:paraId="37CB5EB6">
            <w:pPr>
              <w:pStyle w:val="27"/>
              <w:keepNext w:val="0"/>
              <w:keepLines w:val="0"/>
              <w:pageBreakBefore w:val="0"/>
              <w:widowControl w:val="0"/>
              <w:numPr>
                <w:ilvl w:val="1"/>
                <w:numId w:val="0"/>
              </w:numPr>
              <w:kinsoku/>
              <w:wordWrap/>
              <w:overflowPunct/>
              <w:topLinePunct w:val="0"/>
              <w:bidi w:val="0"/>
              <w:adjustRightInd w:val="0"/>
              <w:snapToGrid w:val="0"/>
              <w:spacing w:line="360" w:lineRule="auto"/>
              <w:ind w:right="0" w:rightChars="0" w:firstLine="480" w:firstLineChars="200"/>
              <w:textAlignment w:val="auto"/>
              <w:rPr>
                <w:rFonts w:hint="eastAsia"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rPr>
              <w:t>则</w:t>
            </w:r>
            <w:r>
              <w:rPr>
                <w:rFonts w:hint="eastAsia" w:ascii="Times New Roman" w:hAnsi="Times New Roman" w:eastAsia="宋体" w:cs="Times New Roman"/>
                <w:b w:val="0"/>
                <w:bCs w:val="0"/>
                <w:color w:val="auto"/>
                <w:sz w:val="24"/>
                <w:szCs w:val="24"/>
                <w:lang w:eastAsia="zh-CN"/>
              </w:rPr>
              <w:t>扩建工程</w:t>
            </w:r>
            <w:r>
              <w:rPr>
                <w:rFonts w:hint="default" w:ascii="Times New Roman" w:hAnsi="Times New Roman" w:eastAsia="宋体" w:cs="Times New Roman"/>
                <w:b w:val="0"/>
                <w:bCs w:val="0"/>
                <w:color w:val="auto"/>
                <w:sz w:val="24"/>
                <w:szCs w:val="24"/>
              </w:rPr>
              <w:t>有组织喷塑</w:t>
            </w:r>
            <w:r>
              <w:rPr>
                <w:rFonts w:hint="eastAsia" w:cs="Times New Roman"/>
                <w:b w:val="0"/>
                <w:bCs w:val="0"/>
                <w:color w:val="auto"/>
                <w:sz w:val="24"/>
                <w:szCs w:val="24"/>
                <w:highlight w:val="none"/>
                <w:lang w:val="en-US" w:eastAsia="zh-CN"/>
              </w:rPr>
              <w:t>废气颗粒物</w:t>
            </w:r>
            <w:r>
              <w:rPr>
                <w:rFonts w:hint="default" w:ascii="Times New Roman" w:hAnsi="Times New Roman" w:eastAsia="宋体" w:cs="Times New Roman"/>
                <w:b w:val="0"/>
                <w:bCs w:val="0"/>
                <w:color w:val="auto"/>
                <w:sz w:val="24"/>
                <w:szCs w:val="24"/>
              </w:rPr>
              <w:t>产生量约为</w:t>
            </w:r>
            <w:r>
              <w:rPr>
                <w:rFonts w:hint="eastAsia" w:ascii="Times New Roman" w:hAnsi="Times New Roman" w:eastAsia="宋体" w:cs="Times New Roman"/>
                <w:b w:val="0"/>
                <w:bCs w:val="0"/>
                <w:color w:val="auto"/>
                <w:sz w:val="24"/>
                <w:szCs w:val="24"/>
                <w:lang w:val="en-US" w:eastAsia="zh-CN"/>
              </w:rPr>
              <w:t>0.285</w:t>
            </w:r>
            <w:r>
              <w:rPr>
                <w:rFonts w:hint="default" w:ascii="Times New Roman" w:hAnsi="Times New Roman" w:eastAsia="宋体" w:cs="Times New Roman"/>
                <w:b w:val="0"/>
                <w:bCs w:val="0"/>
                <w:color w:val="auto"/>
                <w:sz w:val="24"/>
                <w:szCs w:val="24"/>
              </w:rPr>
              <w:t>t/a，产生浓度约为</w:t>
            </w:r>
            <w:r>
              <w:rPr>
                <w:rFonts w:hint="eastAsia" w:cs="Times New Roman"/>
                <w:b w:val="0"/>
                <w:bCs w:val="0"/>
                <w:color w:val="auto"/>
                <w:sz w:val="24"/>
                <w:szCs w:val="24"/>
                <w:lang w:val="en-US" w:eastAsia="zh-CN"/>
              </w:rPr>
              <w:t>39.58</w:t>
            </w:r>
            <w:r>
              <w:rPr>
                <w:rFonts w:hint="default" w:ascii="Times New Roman" w:hAnsi="Times New Roman" w:eastAsia="宋体" w:cs="Times New Roman"/>
                <w:b w:val="0"/>
                <w:bCs w:val="0"/>
                <w:color w:val="auto"/>
                <w:sz w:val="24"/>
                <w:szCs w:val="24"/>
              </w:rPr>
              <w:t>mg/m</w:t>
            </w:r>
            <w:r>
              <w:rPr>
                <w:rFonts w:hint="default" w:ascii="Times New Roman" w:hAnsi="Times New Roman" w:eastAsia="宋体" w:cs="Times New Roman"/>
                <w:b w:val="0"/>
                <w:bCs w:val="0"/>
                <w:color w:val="auto"/>
                <w:sz w:val="24"/>
                <w:szCs w:val="24"/>
                <w:vertAlign w:val="superscript"/>
              </w:rPr>
              <w:t>3</w:t>
            </w:r>
            <w:r>
              <w:rPr>
                <w:rFonts w:hint="default" w:ascii="Times New Roman" w:hAnsi="Times New Roman" w:eastAsia="宋体" w:cs="Times New Roman"/>
                <w:b w:val="0"/>
                <w:bCs w:val="0"/>
                <w:color w:val="auto"/>
                <w:sz w:val="24"/>
                <w:szCs w:val="24"/>
              </w:rPr>
              <w:t>；</w:t>
            </w:r>
            <w:r>
              <w:rPr>
                <w:rFonts w:hint="default" w:ascii="Times New Roman" w:hAnsi="Times New Roman" w:eastAsia="宋体" w:cs="Times New Roman"/>
                <w:b w:val="0"/>
                <w:bCs w:val="0"/>
                <w:color w:val="auto"/>
                <w:sz w:val="24"/>
                <w:szCs w:val="24"/>
                <w:lang w:eastAsia="zh-CN"/>
              </w:rPr>
              <w:t>有组织</w:t>
            </w:r>
            <w:r>
              <w:rPr>
                <w:rFonts w:hint="eastAsia" w:cs="Times New Roman"/>
                <w:b w:val="0"/>
                <w:bCs w:val="0"/>
                <w:color w:val="auto"/>
                <w:sz w:val="24"/>
                <w:szCs w:val="24"/>
                <w:highlight w:val="none"/>
                <w:lang w:val="en-US" w:eastAsia="zh-CN"/>
              </w:rPr>
              <w:t>颗粒物</w:t>
            </w:r>
            <w:r>
              <w:rPr>
                <w:rFonts w:hint="default" w:ascii="Times New Roman" w:hAnsi="Times New Roman" w:eastAsia="宋体" w:cs="Times New Roman"/>
                <w:b w:val="0"/>
                <w:bCs w:val="0"/>
                <w:color w:val="auto"/>
                <w:sz w:val="24"/>
                <w:szCs w:val="24"/>
              </w:rPr>
              <w:t>排放量为</w:t>
            </w:r>
            <w:r>
              <w:rPr>
                <w:rFonts w:hint="eastAsia" w:ascii="Times New Roman" w:hAnsi="Times New Roman" w:eastAsia="宋体" w:cs="Times New Roman"/>
                <w:b w:val="0"/>
                <w:bCs w:val="0"/>
                <w:color w:val="auto"/>
                <w:sz w:val="24"/>
                <w:szCs w:val="24"/>
                <w:lang w:val="en-US" w:eastAsia="zh-CN"/>
              </w:rPr>
              <w:t>0.0143</w:t>
            </w:r>
            <w:r>
              <w:rPr>
                <w:rFonts w:hint="default" w:ascii="Times New Roman" w:hAnsi="Times New Roman" w:eastAsia="宋体" w:cs="Times New Roman"/>
                <w:b w:val="0"/>
                <w:bCs w:val="0"/>
                <w:color w:val="auto"/>
                <w:sz w:val="24"/>
                <w:szCs w:val="24"/>
              </w:rPr>
              <w:t>t/a，排放速率约为</w:t>
            </w:r>
            <w:r>
              <w:rPr>
                <w:rFonts w:hint="default" w:ascii="Times New Roman" w:hAnsi="Times New Roman" w:eastAsia="宋体" w:cs="Times New Roman"/>
                <w:b w:val="0"/>
                <w:bCs w:val="0"/>
                <w:color w:val="auto"/>
                <w:sz w:val="24"/>
                <w:szCs w:val="24"/>
                <w:lang w:val="en-US" w:eastAsia="zh-CN"/>
              </w:rPr>
              <w:t>0.</w:t>
            </w:r>
            <w:r>
              <w:rPr>
                <w:rFonts w:hint="eastAsia" w:cs="Times New Roman"/>
                <w:b w:val="0"/>
                <w:bCs w:val="0"/>
                <w:color w:val="auto"/>
                <w:sz w:val="24"/>
                <w:szCs w:val="24"/>
                <w:lang w:val="en-US" w:eastAsia="zh-CN"/>
              </w:rPr>
              <w:t>006</w:t>
            </w:r>
            <w:r>
              <w:rPr>
                <w:rFonts w:hint="default" w:ascii="Times New Roman" w:hAnsi="Times New Roman" w:eastAsia="宋体" w:cs="Times New Roman"/>
                <w:b w:val="0"/>
                <w:bCs w:val="0"/>
                <w:color w:val="auto"/>
                <w:sz w:val="24"/>
                <w:szCs w:val="24"/>
              </w:rPr>
              <w:t>kg/h，排放浓度约为</w:t>
            </w:r>
            <w:r>
              <w:rPr>
                <w:rFonts w:hint="eastAsia" w:cs="Times New Roman"/>
                <w:b w:val="0"/>
                <w:bCs w:val="0"/>
                <w:color w:val="auto"/>
                <w:sz w:val="24"/>
                <w:szCs w:val="24"/>
                <w:lang w:val="en-US" w:eastAsia="zh-CN"/>
              </w:rPr>
              <w:t>1.99</w:t>
            </w:r>
            <w:r>
              <w:rPr>
                <w:rFonts w:hint="default" w:ascii="Times New Roman" w:hAnsi="Times New Roman" w:eastAsia="宋体" w:cs="Times New Roman"/>
                <w:b w:val="0"/>
                <w:bCs w:val="0"/>
                <w:color w:val="auto"/>
                <w:sz w:val="24"/>
                <w:szCs w:val="24"/>
              </w:rPr>
              <w:t>mg/m</w:t>
            </w:r>
            <w:r>
              <w:rPr>
                <w:rFonts w:hint="default" w:ascii="Times New Roman" w:hAnsi="Times New Roman" w:eastAsia="宋体" w:cs="Times New Roman"/>
                <w:b w:val="0"/>
                <w:bCs w:val="0"/>
                <w:color w:val="auto"/>
                <w:sz w:val="24"/>
                <w:szCs w:val="24"/>
                <w:vertAlign w:val="superscript"/>
              </w:rPr>
              <w:t>3</w:t>
            </w:r>
            <w:r>
              <w:rPr>
                <w:rFonts w:hint="default" w:ascii="Times New Roman" w:hAnsi="Times New Roman" w:eastAsia="宋体" w:cs="Times New Roman"/>
                <w:b w:val="0"/>
                <w:bCs w:val="0"/>
                <w:color w:val="auto"/>
                <w:sz w:val="24"/>
                <w:szCs w:val="24"/>
              </w:rPr>
              <w:t>。</w:t>
            </w:r>
          </w:p>
          <w:p w14:paraId="585FC680">
            <w:pPr>
              <w:pStyle w:val="27"/>
              <w:keepNext w:val="0"/>
              <w:keepLines w:val="0"/>
              <w:pageBreakBefore w:val="0"/>
              <w:widowControl w:val="0"/>
              <w:numPr>
                <w:ilvl w:val="1"/>
                <w:numId w:val="0"/>
              </w:numPr>
              <w:kinsoku/>
              <w:wordWrap/>
              <w:overflowPunct/>
              <w:topLinePunct w:val="0"/>
              <w:bidi w:val="0"/>
              <w:adjustRightInd w:val="0"/>
              <w:snapToGrid w:val="0"/>
              <w:spacing w:line="360" w:lineRule="auto"/>
              <w:ind w:right="0" w:rightChars="0"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b w:val="0"/>
                <w:bCs w:val="0"/>
                <w:color w:val="auto"/>
                <w:sz w:val="24"/>
                <w:szCs w:val="24"/>
                <w:lang w:eastAsia="zh-CN"/>
              </w:rPr>
              <w:t>扩建工程</w:t>
            </w:r>
            <w:r>
              <w:rPr>
                <w:rFonts w:hint="default" w:ascii="Times New Roman" w:hAnsi="Times New Roman" w:eastAsia="宋体" w:cs="Times New Roman"/>
                <w:b w:val="0"/>
                <w:bCs w:val="0"/>
                <w:color w:val="auto"/>
                <w:sz w:val="24"/>
                <w:szCs w:val="24"/>
              </w:rPr>
              <w:t>无组织喷塑</w:t>
            </w:r>
            <w:r>
              <w:rPr>
                <w:rFonts w:hint="eastAsia" w:cs="Times New Roman"/>
                <w:b w:val="0"/>
                <w:bCs w:val="0"/>
                <w:color w:val="auto"/>
                <w:sz w:val="24"/>
                <w:szCs w:val="24"/>
                <w:lang w:val="en-US" w:eastAsia="zh-CN"/>
              </w:rPr>
              <w:t>废气颗粒物</w:t>
            </w:r>
            <w:r>
              <w:rPr>
                <w:rFonts w:hint="eastAsia" w:ascii="Times New Roman" w:hAnsi="Times New Roman" w:eastAsia="宋体" w:cs="Times New Roman"/>
                <w:b w:val="0"/>
                <w:bCs w:val="0"/>
                <w:color w:val="auto"/>
                <w:sz w:val="24"/>
                <w:szCs w:val="24"/>
                <w:lang w:eastAsia="zh-CN"/>
              </w:rPr>
              <w:t>排放</w:t>
            </w:r>
            <w:r>
              <w:rPr>
                <w:rFonts w:hint="default" w:ascii="Times New Roman" w:hAnsi="Times New Roman" w:eastAsia="宋体" w:cs="Times New Roman"/>
                <w:b w:val="0"/>
                <w:bCs w:val="0"/>
                <w:color w:val="auto"/>
                <w:sz w:val="24"/>
                <w:szCs w:val="24"/>
              </w:rPr>
              <w:t>量约为</w:t>
            </w:r>
            <w:r>
              <w:rPr>
                <w:rFonts w:hint="eastAsia" w:ascii="Times New Roman" w:hAnsi="Times New Roman" w:eastAsia="宋体" w:cs="Times New Roman"/>
                <w:b w:val="0"/>
                <w:bCs w:val="0"/>
                <w:color w:val="auto"/>
                <w:sz w:val="24"/>
                <w:szCs w:val="24"/>
                <w:lang w:val="en-US" w:eastAsia="zh-CN"/>
              </w:rPr>
              <w:t>0.015</w:t>
            </w:r>
            <w:r>
              <w:rPr>
                <w:rFonts w:hint="default" w:ascii="Times New Roman" w:hAnsi="Times New Roman" w:eastAsia="宋体" w:cs="Times New Roman"/>
                <w:b w:val="0"/>
                <w:bCs w:val="0"/>
                <w:color w:val="auto"/>
                <w:sz w:val="24"/>
                <w:szCs w:val="24"/>
              </w:rPr>
              <w:t>t/a。</w:t>
            </w:r>
          </w:p>
          <w:p w14:paraId="11EB8227">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left"/>
              <w:textAlignment w:val="auto"/>
              <w:rPr>
                <w:rFonts w:hint="default" w:ascii="Times New Roman" w:hAnsi="Times New Roman" w:eastAsia="宋体" w:cs="Times New Roman"/>
                <w:b w:val="0"/>
                <w:bCs w:val="0"/>
                <w:color w:val="auto"/>
                <w:sz w:val="24"/>
                <w:szCs w:val="24"/>
                <w:lang w:val="en-US" w:eastAsia="zh-CN"/>
              </w:rPr>
            </w:pPr>
            <w:r>
              <w:rPr>
                <w:rFonts w:hint="eastAsia" w:cs="Times New Roman"/>
                <w:b w:val="0"/>
                <w:bCs w:val="0"/>
                <w:snapToGrid w:val="0"/>
                <w:color w:val="auto"/>
                <w:kern w:val="2"/>
                <w:sz w:val="24"/>
                <w:szCs w:val="24"/>
                <w:lang w:val="en-US" w:eastAsia="zh-CN"/>
              </w:rPr>
              <w:t>全厂年使用塑粉量为2t/a，则颗粒物</w:t>
            </w:r>
            <w:r>
              <w:rPr>
                <w:rFonts w:hint="default" w:ascii="Times New Roman" w:hAnsi="Times New Roman" w:eastAsia="宋体" w:cs="Times New Roman"/>
                <w:b w:val="0"/>
                <w:bCs w:val="0"/>
                <w:color w:val="auto"/>
                <w:sz w:val="24"/>
                <w:szCs w:val="24"/>
                <w:highlight w:val="none"/>
                <w:lang w:val="en-US" w:eastAsia="zh-CN"/>
              </w:rPr>
              <w:t>产生量为</w:t>
            </w:r>
            <w:r>
              <w:rPr>
                <w:rFonts w:hint="eastAsia" w:ascii="Times New Roman" w:hAnsi="Times New Roman" w:eastAsia="宋体" w:cs="Times New Roman"/>
                <w:b w:val="0"/>
                <w:bCs w:val="0"/>
                <w:color w:val="auto"/>
                <w:sz w:val="24"/>
                <w:szCs w:val="24"/>
                <w:highlight w:val="none"/>
                <w:lang w:val="en-US" w:eastAsia="zh-CN"/>
              </w:rPr>
              <w:t>0.6</w:t>
            </w:r>
            <w:r>
              <w:rPr>
                <w:rFonts w:hint="default" w:ascii="Times New Roman" w:hAnsi="Times New Roman" w:eastAsia="宋体" w:cs="Times New Roman"/>
                <w:b w:val="0"/>
                <w:bCs w:val="0"/>
                <w:color w:val="auto"/>
                <w:sz w:val="24"/>
                <w:szCs w:val="24"/>
                <w:highlight w:val="none"/>
                <w:lang w:val="en-US" w:eastAsia="zh-CN"/>
              </w:rPr>
              <w:t>t/a。喷塑</w:t>
            </w:r>
            <w:r>
              <w:rPr>
                <w:rFonts w:hint="eastAsia" w:cs="Times New Roman"/>
                <w:b w:val="0"/>
                <w:bCs w:val="0"/>
                <w:color w:val="auto"/>
                <w:sz w:val="24"/>
                <w:szCs w:val="24"/>
                <w:highlight w:val="none"/>
                <w:lang w:val="en-US" w:eastAsia="zh-CN"/>
              </w:rPr>
              <w:t>颗粒物</w:t>
            </w:r>
            <w:r>
              <w:rPr>
                <w:rFonts w:hint="eastAsia" w:cs="Times New Roman"/>
                <w:b w:val="0"/>
                <w:bCs w:val="0"/>
                <w:color w:val="auto"/>
                <w:spacing w:val="-2"/>
                <w:sz w:val="24"/>
                <w:szCs w:val="24"/>
                <w:highlight w:val="none"/>
                <w:lang w:val="en-US" w:eastAsia="zh-CN"/>
              </w:rPr>
              <w:t>通过布袋除尘器处理（原有风机风量为3000m</w:t>
            </w:r>
            <w:r>
              <w:rPr>
                <w:rFonts w:hint="eastAsia" w:cs="Times New Roman"/>
                <w:b w:val="0"/>
                <w:bCs w:val="0"/>
                <w:color w:val="auto"/>
                <w:spacing w:val="-2"/>
                <w:sz w:val="24"/>
                <w:szCs w:val="24"/>
                <w:highlight w:val="none"/>
                <w:vertAlign w:val="superscript"/>
                <w:lang w:val="en-US" w:eastAsia="zh-CN"/>
              </w:rPr>
              <w:t>3</w:t>
            </w:r>
            <w:r>
              <w:rPr>
                <w:rFonts w:hint="eastAsia" w:cs="Times New Roman"/>
                <w:b w:val="0"/>
                <w:bCs w:val="0"/>
                <w:color w:val="auto"/>
                <w:spacing w:val="-2"/>
                <w:sz w:val="24"/>
                <w:szCs w:val="24"/>
                <w:highlight w:val="none"/>
                <w:lang w:val="en-US" w:eastAsia="zh-CN"/>
              </w:rPr>
              <w:t>/h）</w:t>
            </w:r>
            <w:r>
              <w:rPr>
                <w:rFonts w:hint="default" w:ascii="Times New Roman" w:hAnsi="Times New Roman" w:eastAsia="宋体" w:cs="Times New Roman"/>
                <w:b w:val="0"/>
                <w:bCs w:val="0"/>
                <w:color w:val="auto"/>
                <w:sz w:val="24"/>
                <w:szCs w:val="24"/>
                <w:highlight w:val="none"/>
                <w:lang w:val="en-US" w:eastAsia="zh-CN"/>
              </w:rPr>
              <w:t>，处理后的尾气</w:t>
            </w:r>
            <w:r>
              <w:rPr>
                <w:rFonts w:hint="eastAsia" w:cs="Times New Roman"/>
                <w:b w:val="0"/>
                <w:bCs w:val="0"/>
                <w:color w:val="auto"/>
                <w:sz w:val="24"/>
                <w:szCs w:val="24"/>
                <w:highlight w:val="none"/>
                <w:lang w:val="en-US" w:eastAsia="zh-CN"/>
              </w:rPr>
              <w:t>依托原有15</w:t>
            </w:r>
            <w:r>
              <w:rPr>
                <w:rFonts w:hint="default" w:ascii="Times New Roman" w:hAnsi="Times New Roman" w:eastAsia="宋体" w:cs="Times New Roman"/>
                <w:b w:val="0"/>
                <w:bCs w:val="0"/>
                <w:color w:val="auto"/>
                <w:sz w:val="24"/>
                <w:szCs w:val="24"/>
                <w:highlight w:val="none"/>
                <w:lang w:val="en-US" w:eastAsia="zh-CN"/>
              </w:rPr>
              <w:t>m高排气筒（DA00</w:t>
            </w:r>
            <w:r>
              <w:rPr>
                <w:rFonts w:hint="eastAsia" w:ascii="Times New Roman" w:hAnsi="Times New Roman" w:eastAsia="宋体" w:cs="Times New Roman"/>
                <w:b w:val="0"/>
                <w:bCs w:val="0"/>
                <w:color w:val="auto"/>
                <w:sz w:val="24"/>
                <w:szCs w:val="24"/>
                <w:highlight w:val="none"/>
                <w:lang w:val="en-US" w:eastAsia="zh-CN"/>
              </w:rPr>
              <w:t>5</w:t>
            </w:r>
            <w:r>
              <w:rPr>
                <w:rFonts w:hint="default" w:ascii="Times New Roman" w:hAnsi="Times New Roman" w:eastAsia="宋体" w:cs="Times New Roman"/>
                <w:b w:val="0"/>
                <w:bCs w:val="0"/>
                <w:color w:val="auto"/>
                <w:sz w:val="24"/>
                <w:szCs w:val="24"/>
                <w:highlight w:val="none"/>
                <w:lang w:val="en-US" w:eastAsia="zh-CN"/>
              </w:rPr>
              <w:t>）排放。</w:t>
            </w:r>
            <w:r>
              <w:rPr>
                <w:rFonts w:hint="default" w:ascii="Times New Roman" w:hAnsi="Times New Roman" w:eastAsia="宋体" w:cs="Times New Roman"/>
                <w:b w:val="0"/>
                <w:bCs w:val="0"/>
                <w:color w:val="auto"/>
                <w:spacing w:val="-2"/>
                <w:sz w:val="24"/>
                <w:szCs w:val="24"/>
                <w:highlight w:val="none"/>
                <w:lang w:val="en-US" w:eastAsia="zh-CN"/>
              </w:rPr>
              <w:t>根据同类工程实践，</w:t>
            </w:r>
            <w:r>
              <w:rPr>
                <w:rFonts w:hint="eastAsia" w:cs="Times New Roman"/>
                <w:b w:val="0"/>
                <w:bCs w:val="0"/>
                <w:color w:val="auto"/>
                <w:sz w:val="24"/>
                <w:szCs w:val="24"/>
                <w:highlight w:val="none"/>
                <w:lang w:val="en-US" w:eastAsia="zh-CN"/>
              </w:rPr>
              <w:t>颗粒物</w:t>
            </w:r>
            <w:r>
              <w:rPr>
                <w:rFonts w:hint="default" w:ascii="Times New Roman" w:hAnsi="Times New Roman" w:eastAsia="宋体" w:cs="Times New Roman"/>
                <w:b w:val="0"/>
                <w:bCs w:val="0"/>
                <w:color w:val="auto"/>
                <w:sz w:val="24"/>
                <w:szCs w:val="24"/>
                <w:highlight w:val="none"/>
                <w:lang w:val="en-US" w:eastAsia="zh-CN"/>
              </w:rPr>
              <w:t>自吸泵和</w:t>
            </w:r>
            <w:r>
              <w:rPr>
                <w:rFonts w:hint="default" w:ascii="Times New Roman" w:hAnsi="Times New Roman" w:eastAsia="宋体" w:cs="Times New Roman"/>
                <w:b w:val="0"/>
                <w:bCs w:val="0"/>
                <w:color w:val="auto"/>
                <w:spacing w:val="-2"/>
                <w:sz w:val="24"/>
                <w:szCs w:val="24"/>
                <w:highlight w:val="none"/>
                <w:lang w:val="en-US" w:eastAsia="zh-CN"/>
              </w:rPr>
              <w:t>侧向集气罩吸风方式吸风效率很高，接近100%。考虑到工艺控制条件下装置的可靠性，</w:t>
            </w:r>
            <w:r>
              <w:rPr>
                <w:rFonts w:hint="default" w:ascii="Times New Roman" w:hAnsi="Times New Roman" w:eastAsia="宋体" w:cs="Times New Roman"/>
                <w:b w:val="0"/>
                <w:bCs w:val="0"/>
                <w:color w:val="auto"/>
                <w:spacing w:val="-2"/>
                <w:sz w:val="24"/>
                <w:szCs w:val="24"/>
                <w:lang w:val="en-US" w:eastAsia="zh-CN"/>
              </w:rPr>
              <w:t>本项目</w:t>
            </w:r>
            <w:r>
              <w:rPr>
                <w:rFonts w:hint="eastAsia" w:cs="Times New Roman"/>
                <w:b w:val="0"/>
                <w:bCs w:val="0"/>
                <w:color w:val="auto"/>
                <w:sz w:val="24"/>
                <w:szCs w:val="24"/>
                <w:highlight w:val="none"/>
                <w:lang w:val="en-US" w:eastAsia="zh-CN"/>
              </w:rPr>
              <w:t>颗粒物</w:t>
            </w:r>
            <w:r>
              <w:rPr>
                <w:rFonts w:hint="default" w:ascii="Times New Roman" w:hAnsi="Times New Roman" w:eastAsia="宋体" w:cs="Times New Roman"/>
                <w:b w:val="0"/>
                <w:bCs w:val="0"/>
                <w:color w:val="auto"/>
                <w:spacing w:val="-2"/>
                <w:sz w:val="24"/>
                <w:szCs w:val="24"/>
                <w:lang w:val="en-US" w:eastAsia="zh-CN"/>
              </w:rPr>
              <w:t>的集气效率取95%。</w:t>
            </w:r>
            <w:r>
              <w:rPr>
                <w:rFonts w:hint="eastAsia" w:cs="Times New Roman"/>
                <w:b w:val="0"/>
                <w:bCs w:val="0"/>
                <w:color w:val="auto"/>
                <w:spacing w:val="-2"/>
                <w:sz w:val="24"/>
                <w:szCs w:val="24"/>
                <w:highlight w:val="none"/>
                <w:lang w:val="en-US" w:eastAsia="zh-CN"/>
              </w:rPr>
              <w:t>布袋除尘器</w:t>
            </w:r>
            <w:r>
              <w:rPr>
                <w:rFonts w:hint="default" w:ascii="Times New Roman" w:hAnsi="Times New Roman" w:eastAsia="宋体" w:cs="Times New Roman"/>
                <w:b w:val="0"/>
                <w:bCs w:val="0"/>
                <w:color w:val="auto"/>
                <w:sz w:val="24"/>
                <w:szCs w:val="24"/>
                <w:lang w:val="en-US" w:eastAsia="zh-CN"/>
              </w:rPr>
              <w:t>处理效率取</w:t>
            </w:r>
            <w:r>
              <w:rPr>
                <w:rFonts w:hint="eastAsia" w:ascii="Times New Roman" w:hAnsi="Times New Roman" w:eastAsia="宋体" w:cs="Times New Roman"/>
                <w:b w:val="0"/>
                <w:bCs w:val="0"/>
                <w:color w:val="auto"/>
                <w:sz w:val="24"/>
                <w:szCs w:val="24"/>
                <w:lang w:val="en-US" w:eastAsia="zh-CN"/>
              </w:rPr>
              <w:t>95</w:t>
            </w:r>
            <w:r>
              <w:rPr>
                <w:rFonts w:hint="default" w:ascii="Times New Roman" w:hAnsi="Times New Roman" w:eastAsia="宋体" w:cs="Times New Roman"/>
                <w:b w:val="0"/>
                <w:bCs w:val="0"/>
                <w:color w:val="auto"/>
                <w:sz w:val="24"/>
                <w:szCs w:val="24"/>
                <w:lang w:val="en-US" w:eastAsia="zh-CN"/>
              </w:rPr>
              <w:t>%。</w:t>
            </w:r>
          </w:p>
          <w:p w14:paraId="1C240375">
            <w:pPr>
              <w:pStyle w:val="27"/>
              <w:keepNext w:val="0"/>
              <w:keepLines w:val="0"/>
              <w:pageBreakBefore w:val="0"/>
              <w:widowControl w:val="0"/>
              <w:numPr>
                <w:ilvl w:val="1"/>
                <w:numId w:val="0"/>
              </w:numPr>
              <w:kinsoku/>
              <w:wordWrap/>
              <w:overflowPunct/>
              <w:topLinePunct w:val="0"/>
              <w:bidi w:val="0"/>
              <w:adjustRightInd w:val="0"/>
              <w:snapToGrid w:val="0"/>
              <w:spacing w:line="360" w:lineRule="auto"/>
              <w:ind w:right="0" w:rightChars="0" w:firstLine="480" w:firstLineChars="200"/>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则</w:t>
            </w:r>
            <w:r>
              <w:rPr>
                <w:rFonts w:hint="eastAsia" w:cs="Times New Roman"/>
                <w:b w:val="0"/>
                <w:bCs w:val="0"/>
                <w:color w:val="auto"/>
                <w:sz w:val="24"/>
                <w:szCs w:val="24"/>
                <w:lang w:eastAsia="zh-CN"/>
              </w:rPr>
              <w:t>全厂</w:t>
            </w:r>
            <w:r>
              <w:rPr>
                <w:rFonts w:hint="default" w:ascii="Times New Roman" w:hAnsi="Times New Roman" w:eastAsia="宋体" w:cs="Times New Roman"/>
                <w:b w:val="0"/>
                <w:bCs w:val="0"/>
                <w:color w:val="auto"/>
                <w:sz w:val="24"/>
                <w:szCs w:val="24"/>
              </w:rPr>
              <w:t>有组织喷塑</w:t>
            </w:r>
            <w:r>
              <w:rPr>
                <w:rFonts w:hint="eastAsia" w:cs="Times New Roman"/>
                <w:b w:val="0"/>
                <w:bCs w:val="0"/>
                <w:color w:val="auto"/>
                <w:sz w:val="24"/>
                <w:szCs w:val="24"/>
                <w:highlight w:val="none"/>
                <w:lang w:val="en-US" w:eastAsia="zh-CN"/>
              </w:rPr>
              <w:t>废气颗粒物</w:t>
            </w:r>
            <w:r>
              <w:rPr>
                <w:rFonts w:hint="default" w:ascii="Times New Roman" w:hAnsi="Times New Roman" w:eastAsia="宋体" w:cs="Times New Roman"/>
                <w:b w:val="0"/>
                <w:bCs w:val="0"/>
                <w:color w:val="auto"/>
                <w:sz w:val="24"/>
                <w:szCs w:val="24"/>
              </w:rPr>
              <w:t>产生量约为</w:t>
            </w:r>
            <w:r>
              <w:rPr>
                <w:rFonts w:hint="eastAsia" w:ascii="Times New Roman" w:hAnsi="Times New Roman" w:eastAsia="宋体" w:cs="Times New Roman"/>
                <w:b w:val="0"/>
                <w:bCs w:val="0"/>
                <w:color w:val="auto"/>
                <w:sz w:val="24"/>
                <w:szCs w:val="24"/>
                <w:lang w:val="en-US" w:eastAsia="zh-CN"/>
              </w:rPr>
              <w:t>0.57</w:t>
            </w:r>
            <w:r>
              <w:rPr>
                <w:rFonts w:hint="default" w:ascii="Times New Roman" w:hAnsi="Times New Roman" w:eastAsia="宋体" w:cs="Times New Roman"/>
                <w:b w:val="0"/>
                <w:bCs w:val="0"/>
                <w:color w:val="auto"/>
                <w:sz w:val="24"/>
                <w:szCs w:val="24"/>
              </w:rPr>
              <w:t>t/a，产生浓度约为</w:t>
            </w:r>
            <w:r>
              <w:rPr>
                <w:rFonts w:hint="eastAsia" w:cs="Times New Roman"/>
                <w:b w:val="0"/>
                <w:bCs w:val="0"/>
                <w:color w:val="auto"/>
                <w:sz w:val="24"/>
                <w:szCs w:val="24"/>
                <w:lang w:val="en-US" w:eastAsia="zh-CN"/>
              </w:rPr>
              <w:t>79.17</w:t>
            </w:r>
            <w:r>
              <w:rPr>
                <w:rFonts w:hint="default" w:ascii="Times New Roman" w:hAnsi="Times New Roman" w:eastAsia="宋体" w:cs="Times New Roman"/>
                <w:b w:val="0"/>
                <w:bCs w:val="0"/>
                <w:color w:val="auto"/>
                <w:sz w:val="24"/>
                <w:szCs w:val="24"/>
              </w:rPr>
              <w:t>mg/m</w:t>
            </w:r>
            <w:r>
              <w:rPr>
                <w:rFonts w:hint="default" w:ascii="Times New Roman" w:hAnsi="Times New Roman" w:eastAsia="宋体" w:cs="Times New Roman"/>
                <w:b w:val="0"/>
                <w:bCs w:val="0"/>
                <w:color w:val="auto"/>
                <w:sz w:val="24"/>
                <w:szCs w:val="24"/>
                <w:vertAlign w:val="superscript"/>
              </w:rPr>
              <w:t>3</w:t>
            </w:r>
            <w:r>
              <w:rPr>
                <w:rFonts w:hint="default" w:ascii="Times New Roman" w:hAnsi="Times New Roman" w:eastAsia="宋体" w:cs="Times New Roman"/>
                <w:b w:val="0"/>
                <w:bCs w:val="0"/>
                <w:color w:val="auto"/>
                <w:sz w:val="24"/>
                <w:szCs w:val="24"/>
              </w:rPr>
              <w:t>；</w:t>
            </w:r>
            <w:r>
              <w:rPr>
                <w:rFonts w:hint="default" w:ascii="Times New Roman" w:hAnsi="Times New Roman" w:eastAsia="宋体" w:cs="Times New Roman"/>
                <w:b w:val="0"/>
                <w:bCs w:val="0"/>
                <w:color w:val="auto"/>
                <w:sz w:val="24"/>
                <w:szCs w:val="24"/>
                <w:lang w:eastAsia="zh-CN"/>
              </w:rPr>
              <w:t>有组织</w:t>
            </w:r>
            <w:r>
              <w:rPr>
                <w:rFonts w:hint="eastAsia" w:cs="Times New Roman"/>
                <w:b w:val="0"/>
                <w:bCs w:val="0"/>
                <w:color w:val="auto"/>
                <w:sz w:val="24"/>
                <w:szCs w:val="24"/>
                <w:highlight w:val="none"/>
                <w:lang w:val="en-US" w:eastAsia="zh-CN"/>
              </w:rPr>
              <w:t>颗粒物</w:t>
            </w:r>
            <w:r>
              <w:rPr>
                <w:rFonts w:hint="default" w:ascii="Times New Roman" w:hAnsi="Times New Roman" w:eastAsia="宋体" w:cs="Times New Roman"/>
                <w:b w:val="0"/>
                <w:bCs w:val="0"/>
                <w:color w:val="auto"/>
                <w:sz w:val="24"/>
                <w:szCs w:val="24"/>
              </w:rPr>
              <w:t>排放量为</w:t>
            </w:r>
            <w:r>
              <w:rPr>
                <w:rFonts w:hint="eastAsia" w:ascii="Times New Roman" w:hAnsi="Times New Roman" w:eastAsia="宋体" w:cs="Times New Roman"/>
                <w:b w:val="0"/>
                <w:bCs w:val="0"/>
                <w:color w:val="auto"/>
                <w:sz w:val="24"/>
                <w:szCs w:val="24"/>
                <w:lang w:val="en-US" w:eastAsia="zh-CN"/>
              </w:rPr>
              <w:t>0.029</w:t>
            </w:r>
            <w:r>
              <w:rPr>
                <w:rFonts w:hint="default" w:ascii="Times New Roman" w:hAnsi="Times New Roman" w:eastAsia="宋体" w:cs="Times New Roman"/>
                <w:b w:val="0"/>
                <w:bCs w:val="0"/>
                <w:color w:val="auto"/>
                <w:sz w:val="24"/>
                <w:szCs w:val="24"/>
              </w:rPr>
              <w:t>t/a，排放速率约为</w:t>
            </w:r>
            <w:r>
              <w:rPr>
                <w:rFonts w:hint="eastAsia" w:ascii="Times New Roman" w:hAnsi="Times New Roman" w:eastAsia="宋体" w:cs="Times New Roman"/>
                <w:b w:val="0"/>
                <w:bCs w:val="0"/>
                <w:color w:val="auto"/>
                <w:sz w:val="24"/>
                <w:szCs w:val="24"/>
                <w:lang w:val="en-US" w:eastAsia="zh-CN"/>
              </w:rPr>
              <w:t>0.0</w:t>
            </w:r>
            <w:r>
              <w:rPr>
                <w:rFonts w:hint="eastAsia" w:cs="Times New Roman"/>
                <w:b w:val="0"/>
                <w:bCs w:val="0"/>
                <w:color w:val="auto"/>
                <w:sz w:val="24"/>
                <w:szCs w:val="24"/>
                <w:lang w:val="en-US" w:eastAsia="zh-CN"/>
              </w:rPr>
              <w:t>12</w:t>
            </w:r>
            <w:r>
              <w:rPr>
                <w:rFonts w:hint="default" w:ascii="Times New Roman" w:hAnsi="Times New Roman" w:eastAsia="宋体" w:cs="Times New Roman"/>
                <w:b w:val="0"/>
                <w:bCs w:val="0"/>
                <w:color w:val="auto"/>
                <w:sz w:val="24"/>
                <w:szCs w:val="24"/>
              </w:rPr>
              <w:t>kg/h，排放浓度约为</w:t>
            </w:r>
            <w:r>
              <w:rPr>
                <w:rFonts w:hint="eastAsia" w:cs="Times New Roman"/>
                <w:b w:val="0"/>
                <w:bCs w:val="0"/>
                <w:color w:val="auto"/>
                <w:sz w:val="24"/>
                <w:szCs w:val="24"/>
                <w:lang w:val="en-US" w:eastAsia="zh-CN"/>
              </w:rPr>
              <w:t>4.03</w:t>
            </w:r>
            <w:r>
              <w:rPr>
                <w:rFonts w:hint="default" w:ascii="Times New Roman" w:hAnsi="Times New Roman" w:eastAsia="宋体" w:cs="Times New Roman"/>
                <w:b w:val="0"/>
                <w:bCs w:val="0"/>
                <w:color w:val="auto"/>
                <w:sz w:val="24"/>
                <w:szCs w:val="24"/>
              </w:rPr>
              <w:t>mg/m</w:t>
            </w:r>
            <w:r>
              <w:rPr>
                <w:rFonts w:hint="default" w:ascii="Times New Roman" w:hAnsi="Times New Roman" w:eastAsia="宋体" w:cs="Times New Roman"/>
                <w:b w:val="0"/>
                <w:bCs w:val="0"/>
                <w:color w:val="auto"/>
                <w:sz w:val="24"/>
                <w:szCs w:val="24"/>
                <w:vertAlign w:val="superscript"/>
              </w:rPr>
              <w:t>3</w:t>
            </w:r>
            <w:r>
              <w:rPr>
                <w:rFonts w:hint="default" w:ascii="Times New Roman" w:hAnsi="Times New Roman" w:eastAsia="宋体" w:cs="Times New Roman"/>
                <w:b w:val="0"/>
                <w:bCs w:val="0"/>
                <w:color w:val="auto"/>
                <w:sz w:val="24"/>
                <w:szCs w:val="24"/>
              </w:rPr>
              <w:t>。</w:t>
            </w:r>
          </w:p>
          <w:p w14:paraId="4E11CB73">
            <w:pPr>
              <w:pStyle w:val="27"/>
              <w:keepNext w:val="0"/>
              <w:keepLines w:val="0"/>
              <w:pageBreakBefore w:val="0"/>
              <w:widowControl w:val="0"/>
              <w:numPr>
                <w:ilvl w:val="1"/>
                <w:numId w:val="0"/>
              </w:numPr>
              <w:kinsoku/>
              <w:wordWrap/>
              <w:overflowPunct/>
              <w:topLinePunct w:val="0"/>
              <w:bidi w:val="0"/>
              <w:adjustRightInd w:val="0"/>
              <w:snapToGrid w:val="0"/>
              <w:spacing w:line="360" w:lineRule="auto"/>
              <w:ind w:right="0" w:rightChars="0"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b w:val="0"/>
                <w:bCs w:val="0"/>
                <w:color w:val="auto"/>
                <w:sz w:val="24"/>
                <w:szCs w:val="24"/>
                <w:lang w:eastAsia="zh-CN"/>
              </w:rPr>
              <w:t>全厂</w:t>
            </w:r>
            <w:r>
              <w:rPr>
                <w:rFonts w:hint="default" w:ascii="Times New Roman" w:hAnsi="Times New Roman" w:eastAsia="宋体" w:cs="Times New Roman"/>
                <w:b w:val="0"/>
                <w:bCs w:val="0"/>
                <w:color w:val="auto"/>
                <w:sz w:val="24"/>
                <w:szCs w:val="24"/>
              </w:rPr>
              <w:t>无组织喷塑</w:t>
            </w:r>
            <w:r>
              <w:rPr>
                <w:rFonts w:hint="eastAsia" w:cs="Times New Roman"/>
                <w:b w:val="0"/>
                <w:bCs w:val="0"/>
                <w:color w:val="auto"/>
                <w:sz w:val="24"/>
                <w:szCs w:val="24"/>
                <w:lang w:val="en-US" w:eastAsia="zh-CN"/>
              </w:rPr>
              <w:t>废气颗粒物</w:t>
            </w:r>
            <w:r>
              <w:rPr>
                <w:rFonts w:hint="eastAsia" w:cs="Times New Roman"/>
                <w:b w:val="0"/>
                <w:bCs w:val="0"/>
                <w:color w:val="auto"/>
                <w:sz w:val="24"/>
                <w:szCs w:val="24"/>
                <w:lang w:eastAsia="zh-CN"/>
              </w:rPr>
              <w:t>排放</w:t>
            </w:r>
            <w:r>
              <w:rPr>
                <w:rFonts w:hint="default" w:ascii="Times New Roman" w:hAnsi="Times New Roman" w:eastAsia="宋体" w:cs="Times New Roman"/>
                <w:b w:val="0"/>
                <w:bCs w:val="0"/>
                <w:color w:val="auto"/>
                <w:sz w:val="24"/>
                <w:szCs w:val="24"/>
              </w:rPr>
              <w:t>量约为</w:t>
            </w:r>
            <w:r>
              <w:rPr>
                <w:rFonts w:hint="eastAsia" w:ascii="Times New Roman" w:hAnsi="Times New Roman" w:eastAsia="宋体" w:cs="Times New Roman"/>
                <w:b w:val="0"/>
                <w:bCs w:val="0"/>
                <w:color w:val="auto"/>
                <w:sz w:val="24"/>
                <w:szCs w:val="24"/>
                <w:lang w:val="en-US" w:eastAsia="zh-CN"/>
              </w:rPr>
              <w:t>0.03</w:t>
            </w:r>
            <w:r>
              <w:rPr>
                <w:rFonts w:hint="default" w:ascii="Times New Roman" w:hAnsi="Times New Roman" w:eastAsia="宋体" w:cs="Times New Roman"/>
                <w:b w:val="0"/>
                <w:bCs w:val="0"/>
                <w:color w:val="auto"/>
                <w:sz w:val="24"/>
                <w:szCs w:val="24"/>
              </w:rPr>
              <w:t>t/a。</w:t>
            </w:r>
          </w:p>
          <w:p w14:paraId="4DF8A057">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textAlignment w:val="auto"/>
              <w:rPr>
                <w:rFonts w:hint="eastAsia" w:cs="Times New Roman"/>
                <w:bCs/>
                <w:color w:val="auto"/>
                <w:kern w:val="24"/>
                <w:sz w:val="24"/>
                <w:szCs w:val="24"/>
                <w:lang w:val="en-US" w:eastAsia="zh-CN"/>
              </w:rPr>
            </w:pPr>
            <w:r>
              <w:rPr>
                <w:rFonts w:hint="eastAsia" w:cs="Times New Roman"/>
                <w:b w:val="0"/>
                <w:bCs w:val="0"/>
                <w:snapToGrid w:val="0"/>
                <w:color w:val="auto"/>
                <w:kern w:val="2"/>
                <w:sz w:val="24"/>
                <w:szCs w:val="24"/>
                <w:lang w:val="en-US" w:eastAsia="zh-CN"/>
              </w:rPr>
              <w:t>（4）</w:t>
            </w:r>
            <w:r>
              <w:rPr>
                <w:rFonts w:hint="eastAsia" w:cs="Times New Roman"/>
                <w:bCs/>
                <w:color w:val="auto"/>
                <w:kern w:val="24"/>
                <w:sz w:val="24"/>
                <w:szCs w:val="24"/>
                <w:lang w:val="en-US" w:eastAsia="zh-CN"/>
              </w:rPr>
              <w:t>液氨储罐呼吸废气</w:t>
            </w:r>
          </w:p>
          <w:p w14:paraId="1BD6B98D">
            <w:pPr>
              <w:pStyle w:val="2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olor w:val="auto"/>
                <w:lang w:val="en-US" w:eastAsia="zh-CN"/>
              </w:rPr>
              <w:t>本项目采用液氨制取氢气，液氨采用罐装入场，液氨在储存过程中通过呼吸阀会逸散少量氨气，项目使用液氨较少，现有工程</w:t>
            </w:r>
            <w:r>
              <w:rPr>
                <w:rFonts w:hint="eastAsia" w:ascii="Times New Roman" w:hAnsi="Times New Roman" w:cs="Times New Roman"/>
                <w:color w:val="auto"/>
                <w:kern w:val="2"/>
                <w:sz w:val="24"/>
                <w:szCs w:val="24"/>
                <w:vertAlign w:val="baseline"/>
                <w:lang w:val="en-US" w:eastAsia="zh-CN" w:bidi="ar-SA"/>
              </w:rPr>
              <w:t>氨无组织排放最大浓度为0.21</w:t>
            </w:r>
            <w:r>
              <w:rPr>
                <w:rFonts w:hint="eastAsia" w:ascii="Times New Roman" w:hAnsi="Times New Roman" w:cs="Times New Roman"/>
                <w:color w:val="auto"/>
                <w:kern w:val="2"/>
                <w:sz w:val="24"/>
                <w:szCs w:val="24"/>
                <w:lang w:val="en-US" w:eastAsia="zh-CN" w:bidi="ar-SA"/>
              </w:rPr>
              <w:t>mg/m</w:t>
            </w:r>
            <w:r>
              <w:rPr>
                <w:rFonts w:hint="eastAsia" w:ascii="Times New Roman" w:hAnsi="Times New Roman" w:cs="Times New Roman"/>
                <w:color w:val="auto"/>
                <w:kern w:val="2"/>
                <w:sz w:val="24"/>
                <w:szCs w:val="24"/>
                <w:vertAlign w:val="superscript"/>
                <w:lang w:val="en-US" w:eastAsia="zh-CN" w:bidi="ar-SA"/>
              </w:rPr>
              <w:t>3</w:t>
            </w:r>
            <w:r>
              <w:rPr>
                <w:rFonts w:hint="eastAsia"/>
                <w:color w:val="auto"/>
                <w:lang w:val="en-US" w:eastAsia="zh-CN"/>
              </w:rPr>
              <w:t>，本项目建成后</w:t>
            </w:r>
            <w:r>
              <w:rPr>
                <w:rFonts w:hint="eastAsia" w:cs="Times New Roman"/>
                <w:bCs/>
                <w:color w:val="auto"/>
                <w:kern w:val="24"/>
                <w:sz w:val="24"/>
                <w:szCs w:val="24"/>
                <w:lang w:val="en-US" w:eastAsia="zh-CN"/>
              </w:rPr>
              <w:t>液氨年使用量增加，增加运输频次，储罐不增加，储罐呼吸废气排放量很少，无组织排放，满足</w:t>
            </w:r>
            <w:r>
              <w:rPr>
                <w:rFonts w:hint="eastAsia" w:ascii="Times New Roman" w:hAnsi="Times New Roman" w:cs="Times New Roman"/>
                <w:color w:val="auto"/>
                <w:kern w:val="2"/>
                <w:sz w:val="24"/>
                <w:szCs w:val="24"/>
                <w:vertAlign w:val="baseline"/>
                <w:lang w:val="en-US" w:eastAsia="zh-CN" w:bidi="ar-SA"/>
              </w:rPr>
              <w:t>《恶臭污染物排放标准》（GB14554-1993）中的二级标准</w:t>
            </w:r>
            <w:r>
              <w:rPr>
                <w:rFonts w:hint="eastAsia" w:cs="Times New Roman"/>
                <w:color w:val="auto"/>
                <w:kern w:val="2"/>
                <w:sz w:val="24"/>
                <w:szCs w:val="24"/>
                <w:vertAlign w:val="baseline"/>
                <w:lang w:val="en-US" w:eastAsia="zh-CN" w:bidi="ar-SA"/>
              </w:rPr>
              <w:t>中的厂界标准值（1.5</w:t>
            </w:r>
            <w:r>
              <w:rPr>
                <w:rFonts w:hint="eastAsia" w:ascii="Times New Roman" w:hAnsi="Times New Roman" w:cs="Times New Roman"/>
                <w:color w:val="auto"/>
                <w:kern w:val="2"/>
                <w:sz w:val="24"/>
                <w:szCs w:val="24"/>
                <w:lang w:val="en-US" w:eastAsia="zh-CN" w:bidi="ar-SA"/>
              </w:rPr>
              <w:t>mg/m</w:t>
            </w:r>
            <w:r>
              <w:rPr>
                <w:rFonts w:hint="eastAsia" w:ascii="Times New Roman" w:hAnsi="Times New Roman" w:cs="Times New Roman"/>
                <w:color w:val="auto"/>
                <w:kern w:val="2"/>
                <w:sz w:val="24"/>
                <w:szCs w:val="24"/>
                <w:vertAlign w:val="superscript"/>
                <w:lang w:val="en-US" w:eastAsia="zh-CN" w:bidi="ar-SA"/>
              </w:rPr>
              <w:t>3</w:t>
            </w:r>
            <w:r>
              <w:rPr>
                <w:rFonts w:hint="eastAsia" w:cs="Times New Roman"/>
                <w:color w:val="auto"/>
                <w:kern w:val="2"/>
                <w:sz w:val="24"/>
                <w:szCs w:val="24"/>
                <w:vertAlign w:val="baseline"/>
                <w:lang w:val="en-US" w:eastAsia="zh-CN" w:bidi="ar-SA"/>
              </w:rPr>
              <w:t>），</w:t>
            </w:r>
            <w:r>
              <w:rPr>
                <w:rFonts w:hint="eastAsia" w:cs="Times New Roman"/>
                <w:bCs/>
                <w:color w:val="auto"/>
                <w:kern w:val="24"/>
                <w:sz w:val="24"/>
                <w:szCs w:val="24"/>
                <w:lang w:val="en-US" w:eastAsia="zh-CN"/>
              </w:rPr>
              <w:t>定性分析。</w:t>
            </w:r>
          </w:p>
          <w:p w14:paraId="4B50676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b/>
                <w:bCs w:val="0"/>
                <w:color w:val="auto"/>
                <w:spacing w:val="-10"/>
                <w:sz w:val="24"/>
                <w:szCs w:val="24"/>
                <w:lang w:val="en-US" w:eastAsia="zh-CN"/>
              </w:rPr>
              <w:object>
                <v:shape id="_x0000_i1029" o:spt="75" type="#_x0000_t75" style="height:278.3pt;width:411.3pt;" o:ole="t" filled="f" o:preferrelative="t" stroked="f" coordsize="21600,21600">
                  <v:path/>
                  <v:fill on="f" focussize="0,0"/>
                  <v:stroke on="f"/>
                  <v:imagedata r:id="rId16" o:title=""/>
                  <o:lock v:ext="edit" aspectratio="f"/>
                  <w10:wrap type="none"/>
                  <w10:anchorlock/>
                </v:shape>
                <o:OLEObject Type="Embed" ProgID="Visio.Drawing.11" ShapeID="_x0000_i1029" DrawAspect="Content" ObjectID="_1468075729" r:id="rId15">
                  <o:LockedField>false</o:LockedField>
                </o:OLEObject>
              </w:object>
            </w:r>
            <w:r>
              <w:rPr>
                <w:rFonts w:hint="eastAsia" w:cs="Times New Roman"/>
                <w:b/>
                <w:bCs w:val="0"/>
                <w:color w:val="auto"/>
                <w:spacing w:val="-10"/>
                <w:sz w:val="24"/>
                <w:szCs w:val="24"/>
                <w:lang w:val="en-US" w:eastAsia="zh-CN"/>
              </w:rPr>
              <w:t>图4.1  废气收集示意图</w:t>
            </w:r>
          </w:p>
        </w:tc>
      </w:tr>
    </w:tbl>
    <w:p w14:paraId="414894DA">
      <w:pPr>
        <w:rPr>
          <w:snapToGrid/>
          <w:color w:val="auto"/>
          <w:spacing w:val="0"/>
          <w:kern w:val="0"/>
          <w:position w:val="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3"/>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3579"/>
      </w:tblGrid>
      <w:tr w14:paraId="769C51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0" w:hRule="atLeast"/>
        </w:trPr>
        <w:tc>
          <w:tcPr>
            <w:tcW w:w="567" w:type="dxa"/>
            <w:tcBorders>
              <w:tl2br w:val="nil"/>
              <w:tr2bl w:val="nil"/>
            </w:tcBorders>
            <w:noWrap w:val="0"/>
            <w:vAlign w:val="center"/>
          </w:tcPr>
          <w:p w14:paraId="42E68F6C">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运营</w:t>
            </w:r>
          </w:p>
          <w:p w14:paraId="537EB7C5">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期环</w:t>
            </w:r>
          </w:p>
          <w:p w14:paraId="558DEC78">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境影</w:t>
            </w:r>
          </w:p>
          <w:p w14:paraId="72C4BCDA">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和</w:t>
            </w:r>
          </w:p>
          <w:p w14:paraId="48E0D750">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保护</w:t>
            </w:r>
          </w:p>
          <w:p w14:paraId="4D5BFB4B">
            <w:pPr>
              <w:pStyle w:val="27"/>
              <w:keepNext w:val="0"/>
              <w:keepLines w:val="0"/>
              <w:pageBreakBefore w:val="0"/>
              <w:widowControl w:val="0"/>
              <w:numPr>
                <w:ilvl w:val="1"/>
                <w:numId w:val="0"/>
              </w:numPr>
              <w:kinsoku/>
              <w:wordWrap/>
              <w:overflowPunct/>
              <w:topLinePunct w:val="0"/>
              <w:bidi w:val="0"/>
              <w:adjustRightInd w:val="0"/>
              <w:snapToGrid w:val="0"/>
              <w:spacing w:line="240" w:lineRule="auto"/>
              <w:ind w:leftChars="0"/>
              <w:jc w:val="center"/>
              <w:textAlignment w:val="auto"/>
              <w:rPr>
                <w:rFonts w:hint="default" w:ascii="Times New Roman" w:hAnsi="Times New Roman" w:eastAsia="宋体" w:cs="Times New Roman"/>
                <w:snapToGrid/>
                <w:color w:val="auto"/>
                <w:spacing w:val="0"/>
                <w:kern w:val="0"/>
                <w:position w:val="0"/>
                <w:vertAlign w:val="baseline"/>
              </w:rPr>
            </w:pPr>
            <w:r>
              <w:rPr>
                <w:rFonts w:hint="default" w:ascii="Times New Roman" w:hAnsi="Times New Roman" w:eastAsia="宋体" w:cs="Times New Roman"/>
                <w:b w:val="0"/>
                <w:bCs w:val="0"/>
                <w:snapToGrid/>
                <w:color w:val="auto"/>
                <w:spacing w:val="0"/>
                <w:kern w:val="0"/>
                <w:position w:val="0"/>
                <w:sz w:val="24"/>
                <w:szCs w:val="24"/>
              </w:rPr>
              <w:t>措施</w:t>
            </w:r>
          </w:p>
        </w:tc>
        <w:tc>
          <w:tcPr>
            <w:tcW w:w="12931" w:type="dxa"/>
            <w:tcBorders>
              <w:tl2br w:val="nil"/>
              <w:tr2bl w:val="nil"/>
            </w:tcBorders>
            <w:noWrap w:val="0"/>
            <w:vAlign w:val="top"/>
          </w:tcPr>
          <w:p w14:paraId="5D7CDB82">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b/>
                <w:bCs/>
                <w:snapToGrid/>
                <w:color w:val="auto"/>
                <w:spacing w:val="0"/>
                <w:kern w:val="0"/>
                <w:position w:val="0"/>
                <w:sz w:val="24"/>
                <w:szCs w:val="24"/>
                <w:lang w:val="en-US" w:eastAsia="zh-CN"/>
              </w:rPr>
            </w:pPr>
            <w:r>
              <w:rPr>
                <w:rFonts w:hint="default"/>
                <w:b/>
                <w:bCs/>
                <w:snapToGrid/>
                <w:color w:val="auto"/>
                <w:spacing w:val="0"/>
                <w:kern w:val="0"/>
                <w:position w:val="0"/>
                <w:sz w:val="24"/>
                <w:szCs w:val="24"/>
                <w:lang w:val="en-US" w:eastAsia="zh-CN"/>
              </w:rPr>
              <w:t>表4.</w:t>
            </w:r>
            <w:r>
              <w:rPr>
                <w:rFonts w:hint="eastAsia"/>
                <w:b/>
                <w:bCs/>
                <w:snapToGrid/>
                <w:color w:val="auto"/>
                <w:spacing w:val="0"/>
                <w:kern w:val="0"/>
                <w:position w:val="0"/>
                <w:sz w:val="24"/>
                <w:szCs w:val="24"/>
                <w:lang w:val="en-US" w:eastAsia="zh-CN"/>
              </w:rPr>
              <w:t xml:space="preserve">5 </w:t>
            </w:r>
            <w:r>
              <w:rPr>
                <w:rFonts w:hint="default"/>
                <w:b/>
                <w:bCs/>
                <w:snapToGrid/>
                <w:color w:val="auto"/>
                <w:spacing w:val="0"/>
                <w:kern w:val="0"/>
                <w:position w:val="0"/>
                <w:sz w:val="24"/>
                <w:szCs w:val="24"/>
                <w:lang w:val="en-US" w:eastAsia="zh-CN"/>
              </w:rPr>
              <w:t xml:space="preserve"> 废气产</w:t>
            </w:r>
            <w:r>
              <w:rPr>
                <w:rFonts w:hint="eastAsia"/>
                <w:b/>
                <w:bCs/>
                <w:snapToGrid/>
                <w:color w:val="auto"/>
                <w:spacing w:val="0"/>
                <w:kern w:val="0"/>
                <w:position w:val="0"/>
                <w:sz w:val="24"/>
                <w:szCs w:val="24"/>
                <w:lang w:val="en-US" w:eastAsia="zh-CN"/>
              </w:rPr>
              <w:t>排</w:t>
            </w:r>
            <w:r>
              <w:rPr>
                <w:rFonts w:hint="default"/>
                <w:b/>
                <w:bCs/>
                <w:snapToGrid/>
                <w:color w:val="auto"/>
                <w:spacing w:val="0"/>
                <w:kern w:val="0"/>
                <w:position w:val="0"/>
                <w:sz w:val="24"/>
                <w:szCs w:val="24"/>
                <w:lang w:val="en-US" w:eastAsia="zh-CN"/>
              </w:rPr>
              <w:t>污情况一览表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765"/>
              <w:gridCol w:w="963"/>
              <w:gridCol w:w="905"/>
              <w:gridCol w:w="901"/>
              <w:gridCol w:w="1560"/>
              <w:gridCol w:w="897"/>
              <w:gridCol w:w="739"/>
              <w:gridCol w:w="724"/>
              <w:gridCol w:w="975"/>
              <w:gridCol w:w="915"/>
              <w:gridCol w:w="1053"/>
              <w:gridCol w:w="911"/>
              <w:gridCol w:w="1168"/>
            </w:tblGrid>
            <w:tr w14:paraId="54D7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restart"/>
                  <w:noWrap w:val="0"/>
                  <w:vAlign w:val="center"/>
                </w:tcPr>
                <w:p w14:paraId="6ED98965">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产排污环节</w:t>
                  </w:r>
                </w:p>
              </w:tc>
              <w:tc>
                <w:tcPr>
                  <w:tcW w:w="286" w:type="pct"/>
                  <w:vMerge w:val="restart"/>
                  <w:noWrap w:val="0"/>
                  <w:vAlign w:val="center"/>
                </w:tcPr>
                <w:p w14:paraId="341A3C9B">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污染物种类</w:t>
                  </w:r>
                </w:p>
              </w:tc>
              <w:tc>
                <w:tcPr>
                  <w:tcW w:w="699" w:type="pct"/>
                  <w:gridSpan w:val="2"/>
                  <w:noWrap w:val="0"/>
                  <w:vAlign w:val="center"/>
                </w:tcPr>
                <w:p w14:paraId="0FE2640B">
                  <w:pPr>
                    <w:pStyle w:val="27"/>
                    <w:keepNext w:val="0"/>
                    <w:keepLines w:val="0"/>
                    <w:pageBreakBefore w:val="0"/>
                    <w:widowControl w:val="0"/>
                    <w:numPr>
                      <w:ilvl w:val="1"/>
                      <w:numId w:val="0"/>
                    </w:numPr>
                    <w:kinsoku/>
                    <w:wordWrap/>
                    <w:overflowPunct/>
                    <w:topLinePunct w:val="0"/>
                    <w:bidi w:val="0"/>
                    <w:adjustRightInd w:val="0"/>
                    <w:snapToGrid w:val="0"/>
                    <w:spacing w:line="240" w:lineRule="auto"/>
                    <w:ind w:left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污染物产生情况</w:t>
                  </w:r>
                </w:p>
              </w:tc>
              <w:tc>
                <w:tcPr>
                  <w:tcW w:w="337" w:type="pct"/>
                  <w:vMerge w:val="restart"/>
                  <w:noWrap w:val="0"/>
                  <w:vAlign w:val="center"/>
                </w:tcPr>
                <w:p w14:paraId="5F5BF377">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排放</w:t>
                  </w:r>
                </w:p>
                <w:p w14:paraId="4CE8B208">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形式</w:t>
                  </w:r>
                </w:p>
              </w:tc>
              <w:tc>
                <w:tcPr>
                  <w:tcW w:w="1832" w:type="pct"/>
                  <w:gridSpan w:val="5"/>
                  <w:noWrap w:val="0"/>
                  <w:vAlign w:val="center"/>
                </w:tcPr>
                <w:p w14:paraId="6A18B703">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主要污染治理设施</w:t>
                  </w:r>
                </w:p>
              </w:tc>
              <w:tc>
                <w:tcPr>
                  <w:tcW w:w="1077" w:type="pct"/>
                  <w:gridSpan w:val="3"/>
                  <w:noWrap w:val="0"/>
                  <w:vAlign w:val="center"/>
                </w:tcPr>
                <w:p w14:paraId="7EBEA91D">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污染物排放情况</w:t>
                  </w:r>
                </w:p>
              </w:tc>
              <w:tc>
                <w:tcPr>
                  <w:tcW w:w="437" w:type="pct"/>
                  <w:noWrap w:val="0"/>
                  <w:vAlign w:val="center"/>
                </w:tcPr>
                <w:p w14:paraId="7C1844F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排放标准</w:t>
                  </w:r>
                </w:p>
              </w:tc>
            </w:tr>
            <w:tr w14:paraId="426E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continue"/>
                  <w:noWrap w:val="0"/>
                  <w:vAlign w:val="center"/>
                </w:tcPr>
                <w:p w14:paraId="238555E3">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286" w:type="pct"/>
                  <w:vMerge w:val="continue"/>
                  <w:noWrap w:val="0"/>
                  <w:vAlign w:val="center"/>
                </w:tcPr>
                <w:p w14:paraId="593F9BB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360" w:type="pct"/>
                  <w:noWrap w:val="0"/>
                  <w:vAlign w:val="center"/>
                </w:tcPr>
                <w:p w14:paraId="51EA0CA8">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产生量</w:t>
                  </w:r>
                  <w:r>
                    <w:rPr>
                      <w:rFonts w:hint="default" w:ascii="Times New Roman" w:hAnsi="Times New Roman" w:eastAsia="宋体" w:cs="Times New Roman"/>
                      <w:color w:val="auto"/>
                      <w:sz w:val="21"/>
                      <w:szCs w:val="21"/>
                      <w:highlight w:val="none"/>
                      <w:lang w:eastAsia="zh-CN"/>
                    </w:rPr>
                    <w:t>t/a</w:t>
                  </w:r>
                </w:p>
              </w:tc>
              <w:tc>
                <w:tcPr>
                  <w:tcW w:w="338" w:type="pct"/>
                  <w:noWrap w:val="0"/>
                  <w:vAlign w:val="center"/>
                </w:tcPr>
                <w:p w14:paraId="62659757">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产生</w:t>
                  </w:r>
                </w:p>
                <w:p w14:paraId="37CAE03B">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浓度mg/m</w:t>
                  </w:r>
                  <w:r>
                    <w:rPr>
                      <w:rFonts w:hint="default" w:ascii="Times New Roman" w:hAnsi="Times New Roman" w:eastAsia="宋体" w:cs="Times New Roman"/>
                      <w:color w:val="auto"/>
                      <w:sz w:val="21"/>
                      <w:szCs w:val="21"/>
                      <w:highlight w:val="none"/>
                      <w:vertAlign w:val="superscript"/>
                      <w:lang w:val="en-US" w:eastAsia="zh-CN"/>
                    </w:rPr>
                    <w:t>3</w:t>
                  </w:r>
                </w:p>
              </w:tc>
              <w:tc>
                <w:tcPr>
                  <w:tcW w:w="337" w:type="pct"/>
                  <w:vMerge w:val="continue"/>
                  <w:noWrap w:val="0"/>
                  <w:vAlign w:val="center"/>
                </w:tcPr>
                <w:p w14:paraId="588D087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584" w:type="pct"/>
                  <w:noWrap w:val="0"/>
                  <w:vAlign w:val="center"/>
                </w:tcPr>
                <w:p w14:paraId="5D1CDEC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治理措施</w:t>
                  </w:r>
                </w:p>
              </w:tc>
              <w:tc>
                <w:tcPr>
                  <w:tcW w:w="335" w:type="pct"/>
                  <w:noWrap w:val="0"/>
                  <w:vAlign w:val="center"/>
                </w:tcPr>
                <w:p w14:paraId="559EB71C">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处理</w:t>
                  </w:r>
                </w:p>
                <w:p w14:paraId="499D05D2">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能力</w:t>
                  </w:r>
                </w:p>
              </w:tc>
              <w:tc>
                <w:tcPr>
                  <w:tcW w:w="276" w:type="pct"/>
                  <w:noWrap w:val="0"/>
                  <w:vAlign w:val="center"/>
                </w:tcPr>
                <w:p w14:paraId="2755901A">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收集效率</w:t>
                  </w:r>
                </w:p>
              </w:tc>
              <w:tc>
                <w:tcPr>
                  <w:tcW w:w="271" w:type="pct"/>
                  <w:noWrap w:val="0"/>
                  <w:vAlign w:val="center"/>
                </w:tcPr>
                <w:p w14:paraId="3450C4B0">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去除效率</w:t>
                  </w:r>
                </w:p>
              </w:tc>
              <w:tc>
                <w:tcPr>
                  <w:tcW w:w="365" w:type="pct"/>
                  <w:noWrap w:val="0"/>
                  <w:vAlign w:val="center"/>
                </w:tcPr>
                <w:p w14:paraId="49C84B8B">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是否为可行技术</w:t>
                  </w:r>
                </w:p>
              </w:tc>
              <w:tc>
                <w:tcPr>
                  <w:tcW w:w="342" w:type="pct"/>
                  <w:noWrap w:val="0"/>
                  <w:vAlign w:val="center"/>
                </w:tcPr>
                <w:p w14:paraId="648CD1D1">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排放量</w:t>
                  </w:r>
                  <w:r>
                    <w:rPr>
                      <w:rFonts w:hint="default" w:ascii="Times New Roman" w:hAnsi="Times New Roman" w:eastAsia="宋体" w:cs="Times New Roman"/>
                      <w:color w:val="auto"/>
                      <w:sz w:val="21"/>
                      <w:szCs w:val="21"/>
                      <w:highlight w:val="none"/>
                      <w:lang w:eastAsia="zh-CN"/>
                    </w:rPr>
                    <w:t>t/a</w:t>
                  </w:r>
                </w:p>
              </w:tc>
              <w:tc>
                <w:tcPr>
                  <w:tcW w:w="394" w:type="pct"/>
                  <w:noWrap w:val="0"/>
                  <w:vAlign w:val="center"/>
                </w:tcPr>
                <w:p w14:paraId="462760DC">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排放速率kg/h</w:t>
                  </w:r>
                </w:p>
              </w:tc>
              <w:tc>
                <w:tcPr>
                  <w:tcW w:w="341" w:type="pct"/>
                  <w:noWrap w:val="0"/>
                  <w:vAlign w:val="center"/>
                </w:tcPr>
                <w:p w14:paraId="451BFFAC">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排放浓度mg/m</w:t>
                  </w:r>
                  <w:r>
                    <w:rPr>
                      <w:rFonts w:hint="default" w:ascii="Times New Roman" w:hAnsi="Times New Roman" w:eastAsia="宋体" w:cs="Times New Roman"/>
                      <w:color w:val="auto"/>
                      <w:sz w:val="21"/>
                      <w:szCs w:val="21"/>
                      <w:highlight w:val="none"/>
                      <w:vertAlign w:val="superscript"/>
                      <w:lang w:val="en-US" w:eastAsia="zh-CN"/>
                    </w:rPr>
                    <w:t>3</w:t>
                  </w:r>
                </w:p>
              </w:tc>
              <w:tc>
                <w:tcPr>
                  <w:tcW w:w="437" w:type="pct"/>
                  <w:noWrap w:val="0"/>
                  <w:vAlign w:val="center"/>
                </w:tcPr>
                <w:p w14:paraId="1E6FCAA2">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浓度限值mg/m</w:t>
                  </w:r>
                  <w:r>
                    <w:rPr>
                      <w:rFonts w:hint="default" w:ascii="Times New Roman" w:hAnsi="Times New Roman" w:eastAsia="宋体" w:cs="Times New Roman"/>
                      <w:color w:val="auto"/>
                      <w:sz w:val="21"/>
                      <w:szCs w:val="21"/>
                      <w:highlight w:val="none"/>
                      <w:vertAlign w:val="superscript"/>
                      <w:lang w:val="en-US" w:eastAsia="zh-CN"/>
                    </w:rPr>
                    <w:t>3</w:t>
                  </w:r>
                </w:p>
              </w:tc>
            </w:tr>
            <w:tr w14:paraId="34736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14"/>
                  <w:noWrap w:val="0"/>
                  <w:vAlign w:val="center"/>
                </w:tcPr>
                <w:p w14:paraId="225A6CEC">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本次扩建项目</w:t>
                  </w:r>
                </w:p>
              </w:tc>
            </w:tr>
            <w:tr w14:paraId="1B6B9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restart"/>
                  <w:noWrap w:val="0"/>
                  <w:vAlign w:val="center"/>
                </w:tcPr>
                <w:p w14:paraId="2360919A">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混合</w:t>
                  </w:r>
                </w:p>
              </w:tc>
              <w:tc>
                <w:tcPr>
                  <w:tcW w:w="286" w:type="pct"/>
                  <w:vMerge w:val="restart"/>
                  <w:noWrap w:val="0"/>
                  <w:vAlign w:val="center"/>
                </w:tcPr>
                <w:p w14:paraId="39F69D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颗粒物</w:t>
                  </w:r>
                </w:p>
              </w:tc>
              <w:tc>
                <w:tcPr>
                  <w:tcW w:w="360" w:type="pct"/>
                  <w:noWrap w:val="0"/>
                  <w:vAlign w:val="center"/>
                </w:tcPr>
                <w:p w14:paraId="602638E9">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0.306</w:t>
                  </w:r>
                </w:p>
              </w:tc>
              <w:tc>
                <w:tcPr>
                  <w:tcW w:w="338" w:type="pct"/>
                  <w:noWrap w:val="0"/>
                  <w:vAlign w:val="center"/>
                </w:tcPr>
                <w:p w14:paraId="6FF9A94B">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21.25</w:t>
                  </w:r>
                </w:p>
              </w:tc>
              <w:tc>
                <w:tcPr>
                  <w:tcW w:w="337" w:type="pct"/>
                  <w:noWrap w:val="0"/>
                  <w:vAlign w:val="center"/>
                </w:tcPr>
                <w:p w14:paraId="2D902241">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有组织</w:t>
                  </w:r>
                </w:p>
              </w:tc>
              <w:tc>
                <w:tcPr>
                  <w:tcW w:w="584" w:type="pct"/>
                  <w:noWrap w:val="0"/>
                  <w:vAlign w:val="center"/>
                </w:tcPr>
                <w:p w14:paraId="02DE146F">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集气罩+布袋除尘器+15m高排气筒（DA001）</w:t>
                  </w:r>
                </w:p>
              </w:tc>
              <w:tc>
                <w:tcPr>
                  <w:tcW w:w="335" w:type="pct"/>
                  <w:vMerge w:val="restart"/>
                  <w:noWrap w:val="0"/>
                  <w:vAlign w:val="center"/>
                </w:tcPr>
                <w:p w14:paraId="78C5CDDE">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5000</w:t>
                  </w:r>
                </w:p>
                <w:p w14:paraId="7E4EAC33">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m³/h</w:t>
                  </w:r>
                </w:p>
              </w:tc>
              <w:tc>
                <w:tcPr>
                  <w:tcW w:w="276" w:type="pct"/>
                  <w:vMerge w:val="restart"/>
                  <w:noWrap w:val="0"/>
                  <w:vAlign w:val="center"/>
                </w:tcPr>
                <w:p w14:paraId="69EA1678">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90</w:t>
                  </w:r>
                  <w:r>
                    <w:rPr>
                      <w:rFonts w:hint="default" w:ascii="Times New Roman" w:hAnsi="Times New Roman" w:eastAsia="宋体" w:cs="Times New Roman"/>
                      <w:color w:val="auto"/>
                      <w:sz w:val="21"/>
                      <w:szCs w:val="21"/>
                      <w:highlight w:val="none"/>
                      <w:lang w:val="en-US" w:eastAsia="zh-CN"/>
                    </w:rPr>
                    <w:t>%</w:t>
                  </w:r>
                </w:p>
              </w:tc>
              <w:tc>
                <w:tcPr>
                  <w:tcW w:w="271" w:type="pct"/>
                  <w:noWrap w:val="0"/>
                  <w:vAlign w:val="center"/>
                </w:tcPr>
                <w:p w14:paraId="2F18F9F1">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95</w:t>
                  </w:r>
                  <w:r>
                    <w:rPr>
                      <w:rFonts w:hint="default" w:ascii="Times New Roman" w:hAnsi="Times New Roman" w:eastAsia="宋体" w:cs="Times New Roman"/>
                      <w:color w:val="auto"/>
                      <w:sz w:val="21"/>
                      <w:szCs w:val="21"/>
                      <w:highlight w:val="none"/>
                      <w:lang w:val="en-US" w:eastAsia="zh-CN"/>
                    </w:rPr>
                    <w:t>%</w:t>
                  </w:r>
                </w:p>
              </w:tc>
              <w:tc>
                <w:tcPr>
                  <w:tcW w:w="365" w:type="pct"/>
                  <w:vMerge w:val="restart"/>
                  <w:noWrap w:val="0"/>
                  <w:vAlign w:val="center"/>
                </w:tcPr>
                <w:p w14:paraId="20656E82">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是</w:t>
                  </w:r>
                </w:p>
              </w:tc>
              <w:tc>
                <w:tcPr>
                  <w:tcW w:w="342" w:type="pct"/>
                  <w:noWrap w:val="0"/>
                  <w:vAlign w:val="center"/>
                </w:tcPr>
                <w:p w14:paraId="3230A50C">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0.015</w:t>
                  </w:r>
                </w:p>
              </w:tc>
              <w:tc>
                <w:tcPr>
                  <w:tcW w:w="394" w:type="pct"/>
                  <w:noWrap w:val="0"/>
                  <w:vAlign w:val="center"/>
                </w:tcPr>
                <w:p w14:paraId="5A51BDEB">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0.0032</w:t>
                  </w:r>
                </w:p>
              </w:tc>
              <w:tc>
                <w:tcPr>
                  <w:tcW w:w="341" w:type="pct"/>
                  <w:noWrap w:val="0"/>
                  <w:vAlign w:val="center"/>
                </w:tcPr>
                <w:p w14:paraId="0F5DC521">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1.06</w:t>
                  </w:r>
                </w:p>
              </w:tc>
              <w:tc>
                <w:tcPr>
                  <w:tcW w:w="437" w:type="pct"/>
                  <w:noWrap w:val="0"/>
                  <w:vAlign w:val="center"/>
                </w:tcPr>
                <w:p w14:paraId="528106AD">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120</w:t>
                  </w:r>
                </w:p>
              </w:tc>
            </w:tr>
            <w:tr w14:paraId="6D84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continue"/>
                  <w:noWrap w:val="0"/>
                  <w:vAlign w:val="center"/>
                </w:tcPr>
                <w:p w14:paraId="76176CC8">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286" w:type="pct"/>
                  <w:vMerge w:val="continue"/>
                  <w:noWrap w:val="0"/>
                  <w:vAlign w:val="center"/>
                </w:tcPr>
                <w:p w14:paraId="43F15E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360" w:type="pct"/>
                  <w:noWrap w:val="0"/>
                  <w:vAlign w:val="center"/>
                </w:tcPr>
                <w:p w14:paraId="78380B62">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0.034</w:t>
                  </w:r>
                </w:p>
              </w:tc>
              <w:tc>
                <w:tcPr>
                  <w:tcW w:w="338" w:type="pct"/>
                  <w:noWrap w:val="0"/>
                  <w:vAlign w:val="center"/>
                </w:tcPr>
                <w:p w14:paraId="76F88ADB">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337" w:type="pct"/>
                  <w:noWrap w:val="0"/>
                  <w:vAlign w:val="center"/>
                </w:tcPr>
                <w:p w14:paraId="6A9B792C">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无组织</w:t>
                  </w:r>
                </w:p>
              </w:tc>
              <w:tc>
                <w:tcPr>
                  <w:tcW w:w="584" w:type="pct"/>
                  <w:noWrap w:val="0"/>
                  <w:vAlign w:val="center"/>
                </w:tcPr>
                <w:p w14:paraId="35EA58ED">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厂房密封</w:t>
                  </w:r>
                </w:p>
              </w:tc>
              <w:tc>
                <w:tcPr>
                  <w:tcW w:w="335" w:type="pct"/>
                  <w:vMerge w:val="continue"/>
                  <w:noWrap w:val="0"/>
                  <w:vAlign w:val="center"/>
                </w:tcPr>
                <w:p w14:paraId="65C0175D">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276" w:type="pct"/>
                  <w:vMerge w:val="continue"/>
                  <w:noWrap w:val="0"/>
                  <w:vAlign w:val="center"/>
                </w:tcPr>
                <w:p w14:paraId="74D47C9B">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271" w:type="pct"/>
                  <w:noWrap w:val="0"/>
                  <w:vAlign w:val="center"/>
                </w:tcPr>
                <w:p w14:paraId="4C005922">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80%</w:t>
                  </w:r>
                </w:p>
              </w:tc>
              <w:tc>
                <w:tcPr>
                  <w:tcW w:w="365" w:type="pct"/>
                  <w:vMerge w:val="continue"/>
                  <w:noWrap w:val="0"/>
                  <w:vAlign w:val="center"/>
                </w:tcPr>
                <w:p w14:paraId="2E211721">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342" w:type="pct"/>
                  <w:noWrap w:val="0"/>
                  <w:vAlign w:val="center"/>
                </w:tcPr>
                <w:p w14:paraId="37D4724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0.007</w:t>
                  </w:r>
                </w:p>
              </w:tc>
              <w:tc>
                <w:tcPr>
                  <w:tcW w:w="394" w:type="pct"/>
                  <w:noWrap w:val="0"/>
                  <w:vAlign w:val="center"/>
                </w:tcPr>
                <w:p w14:paraId="594BA179">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341" w:type="pct"/>
                  <w:noWrap w:val="0"/>
                  <w:vAlign w:val="center"/>
                </w:tcPr>
                <w:p w14:paraId="630E22E2">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437" w:type="pct"/>
                  <w:noWrap w:val="0"/>
                  <w:vAlign w:val="center"/>
                </w:tcPr>
                <w:p w14:paraId="2B7DD475">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r>
            <w:tr w14:paraId="4DA4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restart"/>
                  <w:noWrap w:val="0"/>
                  <w:vAlign w:val="center"/>
                </w:tcPr>
                <w:p w14:paraId="1E0763A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加热</w:t>
                  </w:r>
                </w:p>
              </w:tc>
              <w:tc>
                <w:tcPr>
                  <w:tcW w:w="286" w:type="pct"/>
                  <w:vMerge w:val="restart"/>
                  <w:noWrap w:val="0"/>
                  <w:vAlign w:val="center"/>
                </w:tcPr>
                <w:p w14:paraId="55DCE9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挥发性有机物</w:t>
                  </w:r>
                </w:p>
              </w:tc>
              <w:tc>
                <w:tcPr>
                  <w:tcW w:w="360" w:type="pct"/>
                  <w:noWrap w:val="0"/>
                  <w:vAlign w:val="center"/>
                </w:tcPr>
                <w:p w14:paraId="2A207C09">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0.0261</w:t>
                  </w:r>
                </w:p>
              </w:tc>
              <w:tc>
                <w:tcPr>
                  <w:tcW w:w="338" w:type="pct"/>
                  <w:noWrap w:val="0"/>
                  <w:vAlign w:val="center"/>
                </w:tcPr>
                <w:p w14:paraId="46707312">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5.44</w:t>
                  </w:r>
                </w:p>
              </w:tc>
              <w:tc>
                <w:tcPr>
                  <w:tcW w:w="337" w:type="pct"/>
                  <w:shd w:val="clear" w:color="auto" w:fill="auto"/>
                  <w:noWrap w:val="0"/>
                  <w:vAlign w:val="center"/>
                </w:tcPr>
                <w:p w14:paraId="254EA87C">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有组织</w:t>
                  </w:r>
                </w:p>
              </w:tc>
              <w:tc>
                <w:tcPr>
                  <w:tcW w:w="584" w:type="pct"/>
                  <w:noWrap w:val="0"/>
                  <w:vAlign w:val="center"/>
                </w:tcPr>
                <w:p w14:paraId="04DBC2E5">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集气罩+二级活性炭吸附装置+15m高排气筒（DA002）</w:t>
                  </w:r>
                </w:p>
              </w:tc>
              <w:tc>
                <w:tcPr>
                  <w:tcW w:w="335" w:type="pct"/>
                  <w:vMerge w:val="restart"/>
                  <w:shd w:val="clear" w:color="auto" w:fill="auto"/>
                  <w:noWrap w:val="0"/>
                  <w:vAlign w:val="center"/>
                </w:tcPr>
                <w:p w14:paraId="62CC4220">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1000</w:t>
                  </w:r>
                </w:p>
                <w:p w14:paraId="4CCA0A0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m³/h</w:t>
                  </w:r>
                </w:p>
              </w:tc>
              <w:tc>
                <w:tcPr>
                  <w:tcW w:w="276" w:type="pct"/>
                  <w:vMerge w:val="restart"/>
                  <w:shd w:val="clear" w:color="auto" w:fill="auto"/>
                  <w:noWrap w:val="0"/>
                  <w:vAlign w:val="center"/>
                </w:tcPr>
                <w:p w14:paraId="23F9F683">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90</w:t>
                  </w:r>
                  <w:r>
                    <w:rPr>
                      <w:rFonts w:hint="default" w:ascii="Times New Roman" w:hAnsi="Times New Roman" w:eastAsia="宋体" w:cs="Times New Roman"/>
                      <w:color w:val="auto"/>
                      <w:sz w:val="21"/>
                      <w:szCs w:val="21"/>
                      <w:highlight w:val="none"/>
                      <w:lang w:val="en-US" w:eastAsia="zh-CN"/>
                    </w:rPr>
                    <w:t>%</w:t>
                  </w:r>
                </w:p>
              </w:tc>
              <w:tc>
                <w:tcPr>
                  <w:tcW w:w="271" w:type="pct"/>
                  <w:shd w:val="clear" w:color="auto" w:fill="auto"/>
                  <w:noWrap w:val="0"/>
                  <w:vAlign w:val="center"/>
                </w:tcPr>
                <w:p w14:paraId="528DF02B">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90</w:t>
                  </w:r>
                  <w:r>
                    <w:rPr>
                      <w:rFonts w:hint="default" w:ascii="Times New Roman" w:hAnsi="Times New Roman" w:eastAsia="宋体" w:cs="Times New Roman"/>
                      <w:color w:val="auto"/>
                      <w:sz w:val="21"/>
                      <w:szCs w:val="21"/>
                      <w:highlight w:val="none"/>
                      <w:lang w:val="en-US" w:eastAsia="zh-CN"/>
                    </w:rPr>
                    <w:t>%</w:t>
                  </w:r>
                </w:p>
              </w:tc>
              <w:tc>
                <w:tcPr>
                  <w:tcW w:w="365" w:type="pct"/>
                  <w:vMerge w:val="restart"/>
                  <w:shd w:val="clear" w:color="auto" w:fill="auto"/>
                  <w:noWrap w:val="0"/>
                  <w:vAlign w:val="center"/>
                </w:tcPr>
                <w:p w14:paraId="09B57B4A">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是</w:t>
                  </w:r>
                </w:p>
              </w:tc>
              <w:tc>
                <w:tcPr>
                  <w:tcW w:w="342" w:type="pct"/>
                  <w:noWrap w:val="0"/>
                  <w:vAlign w:val="center"/>
                </w:tcPr>
                <w:p w14:paraId="0C347AD0">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0.003</w:t>
                  </w:r>
                </w:p>
              </w:tc>
              <w:tc>
                <w:tcPr>
                  <w:tcW w:w="394" w:type="pct"/>
                  <w:noWrap w:val="0"/>
                  <w:vAlign w:val="center"/>
                </w:tcPr>
                <w:p w14:paraId="563F03E3">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lang w:val="en-US" w:eastAsia="zh-CN"/>
                    </w:rPr>
                    <w:t>6.25</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-4</w:t>
                  </w:r>
                </w:p>
              </w:tc>
              <w:tc>
                <w:tcPr>
                  <w:tcW w:w="341" w:type="pct"/>
                  <w:noWrap w:val="0"/>
                  <w:vAlign w:val="center"/>
                </w:tcPr>
                <w:p w14:paraId="61C81D7E">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0.625</w:t>
                  </w:r>
                </w:p>
              </w:tc>
              <w:tc>
                <w:tcPr>
                  <w:tcW w:w="437" w:type="pct"/>
                  <w:noWrap w:val="0"/>
                  <w:vAlign w:val="center"/>
                </w:tcPr>
                <w:p w14:paraId="00F27BBB">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120</w:t>
                  </w:r>
                </w:p>
              </w:tc>
            </w:tr>
            <w:tr w14:paraId="575E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continue"/>
                  <w:noWrap w:val="0"/>
                  <w:vAlign w:val="center"/>
                </w:tcPr>
                <w:p w14:paraId="7FD7C03D">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286" w:type="pct"/>
                  <w:vMerge w:val="continue"/>
                  <w:noWrap w:val="0"/>
                  <w:vAlign w:val="center"/>
                </w:tcPr>
                <w:p w14:paraId="5E5868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360" w:type="pct"/>
                  <w:noWrap w:val="0"/>
                  <w:vAlign w:val="center"/>
                </w:tcPr>
                <w:p w14:paraId="25C9ABE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0.0029</w:t>
                  </w:r>
                </w:p>
              </w:tc>
              <w:tc>
                <w:tcPr>
                  <w:tcW w:w="338" w:type="pct"/>
                  <w:noWrap w:val="0"/>
                  <w:vAlign w:val="center"/>
                </w:tcPr>
                <w:p w14:paraId="42D496C7">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337" w:type="pct"/>
                  <w:shd w:val="clear" w:color="auto" w:fill="auto"/>
                  <w:noWrap w:val="0"/>
                  <w:vAlign w:val="center"/>
                </w:tcPr>
                <w:p w14:paraId="200D1F1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无组织</w:t>
                  </w:r>
                </w:p>
              </w:tc>
              <w:tc>
                <w:tcPr>
                  <w:tcW w:w="584" w:type="pct"/>
                  <w:noWrap w:val="0"/>
                  <w:vAlign w:val="center"/>
                </w:tcPr>
                <w:p w14:paraId="4E9ACF41">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335" w:type="pct"/>
                  <w:vMerge w:val="continue"/>
                  <w:noWrap w:val="0"/>
                  <w:vAlign w:val="center"/>
                </w:tcPr>
                <w:p w14:paraId="1380331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276" w:type="pct"/>
                  <w:vMerge w:val="continue"/>
                  <w:noWrap w:val="0"/>
                  <w:vAlign w:val="center"/>
                </w:tcPr>
                <w:p w14:paraId="2FC6CCA0">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271" w:type="pct"/>
                  <w:noWrap w:val="0"/>
                  <w:vAlign w:val="center"/>
                </w:tcPr>
                <w:p w14:paraId="199AE777">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w:t>
                  </w:r>
                </w:p>
              </w:tc>
              <w:tc>
                <w:tcPr>
                  <w:tcW w:w="365" w:type="pct"/>
                  <w:vMerge w:val="continue"/>
                  <w:noWrap w:val="0"/>
                  <w:vAlign w:val="center"/>
                </w:tcPr>
                <w:p w14:paraId="678AC23B">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342" w:type="pct"/>
                  <w:noWrap w:val="0"/>
                  <w:vAlign w:val="center"/>
                </w:tcPr>
                <w:p w14:paraId="639E864E">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0.0029</w:t>
                  </w:r>
                </w:p>
              </w:tc>
              <w:tc>
                <w:tcPr>
                  <w:tcW w:w="394" w:type="pct"/>
                  <w:noWrap w:val="0"/>
                  <w:vAlign w:val="center"/>
                </w:tcPr>
                <w:p w14:paraId="09677A8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341" w:type="pct"/>
                  <w:noWrap w:val="0"/>
                  <w:vAlign w:val="center"/>
                </w:tcPr>
                <w:p w14:paraId="396FFB10">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437" w:type="pct"/>
                  <w:noWrap w:val="0"/>
                  <w:vAlign w:val="center"/>
                </w:tcPr>
                <w:p w14:paraId="4EA5AE6D">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4.0</w:t>
                  </w:r>
                </w:p>
              </w:tc>
            </w:tr>
            <w:tr w14:paraId="0E3F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restart"/>
                  <w:noWrap w:val="0"/>
                  <w:vAlign w:val="center"/>
                </w:tcPr>
                <w:p w14:paraId="24897A2D">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脱胶</w:t>
                  </w:r>
                  <w:r>
                    <w:rPr>
                      <w:rFonts w:hint="default" w:ascii="Times New Roman" w:hAnsi="Times New Roman" w:eastAsia="宋体" w:cs="Times New Roman"/>
                      <w:color w:val="auto"/>
                      <w:sz w:val="21"/>
                      <w:szCs w:val="21"/>
                      <w:highlight w:val="none"/>
                      <w:lang w:val="en-US" w:eastAsia="zh-CN"/>
                    </w:rPr>
                    <w:t>、注塑</w:t>
                  </w:r>
                  <w:r>
                    <w:rPr>
                      <w:rFonts w:hint="eastAsia" w:cs="Times New Roman"/>
                      <w:color w:val="auto"/>
                      <w:sz w:val="21"/>
                      <w:szCs w:val="21"/>
                      <w:highlight w:val="none"/>
                      <w:lang w:val="en-US" w:eastAsia="zh-CN"/>
                    </w:rPr>
                    <w:t>、固化</w:t>
                  </w:r>
                </w:p>
              </w:tc>
              <w:tc>
                <w:tcPr>
                  <w:tcW w:w="286" w:type="pct"/>
                  <w:vMerge w:val="restart"/>
                  <w:noWrap w:val="0"/>
                  <w:vAlign w:val="center"/>
                </w:tcPr>
                <w:p w14:paraId="5B8ED2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挥发性有机物</w:t>
                  </w:r>
                </w:p>
              </w:tc>
              <w:tc>
                <w:tcPr>
                  <w:tcW w:w="360" w:type="pct"/>
                  <w:noWrap w:val="0"/>
                  <w:vAlign w:val="center"/>
                </w:tcPr>
                <w:p w14:paraId="3037CA92">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0.477</w:t>
                  </w:r>
                </w:p>
              </w:tc>
              <w:tc>
                <w:tcPr>
                  <w:tcW w:w="338" w:type="pct"/>
                  <w:noWrap w:val="0"/>
                  <w:vAlign w:val="center"/>
                </w:tcPr>
                <w:p w14:paraId="1F1DED3E">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11.05</w:t>
                  </w:r>
                </w:p>
              </w:tc>
              <w:tc>
                <w:tcPr>
                  <w:tcW w:w="337" w:type="pct"/>
                  <w:shd w:val="clear" w:color="auto" w:fill="auto"/>
                  <w:noWrap w:val="0"/>
                  <w:vAlign w:val="center"/>
                </w:tcPr>
                <w:p w14:paraId="6F2E30CA">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有组织</w:t>
                  </w:r>
                </w:p>
              </w:tc>
              <w:tc>
                <w:tcPr>
                  <w:tcW w:w="584" w:type="pct"/>
                  <w:noWrap w:val="0"/>
                  <w:vAlign w:val="center"/>
                </w:tcPr>
                <w:p w14:paraId="7615737E">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集气罩+二级活性炭吸附装置+15m高排气筒（DA003）</w:t>
                  </w:r>
                </w:p>
              </w:tc>
              <w:tc>
                <w:tcPr>
                  <w:tcW w:w="335" w:type="pct"/>
                  <w:vMerge w:val="restart"/>
                  <w:shd w:val="clear" w:color="auto" w:fill="auto"/>
                  <w:noWrap w:val="0"/>
                  <w:vAlign w:val="center"/>
                </w:tcPr>
                <w:p w14:paraId="67AB50E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6000</w:t>
                  </w:r>
                </w:p>
                <w:p w14:paraId="2246296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m³/h</w:t>
                  </w:r>
                </w:p>
              </w:tc>
              <w:tc>
                <w:tcPr>
                  <w:tcW w:w="276" w:type="pct"/>
                  <w:vMerge w:val="restart"/>
                  <w:shd w:val="clear" w:color="auto" w:fill="auto"/>
                  <w:noWrap w:val="0"/>
                  <w:vAlign w:val="center"/>
                </w:tcPr>
                <w:p w14:paraId="2697ED57">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90</w:t>
                  </w:r>
                  <w:r>
                    <w:rPr>
                      <w:rFonts w:hint="default" w:ascii="Times New Roman" w:hAnsi="Times New Roman" w:eastAsia="宋体" w:cs="Times New Roman"/>
                      <w:color w:val="auto"/>
                      <w:sz w:val="21"/>
                      <w:szCs w:val="21"/>
                      <w:highlight w:val="none"/>
                      <w:lang w:val="en-US" w:eastAsia="zh-CN"/>
                    </w:rPr>
                    <w:t>%</w:t>
                  </w:r>
                </w:p>
              </w:tc>
              <w:tc>
                <w:tcPr>
                  <w:tcW w:w="271" w:type="pct"/>
                  <w:shd w:val="clear" w:color="auto" w:fill="auto"/>
                  <w:noWrap w:val="0"/>
                  <w:vAlign w:val="center"/>
                </w:tcPr>
                <w:p w14:paraId="34E93AF9">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90</w:t>
                  </w:r>
                  <w:r>
                    <w:rPr>
                      <w:rFonts w:hint="default" w:ascii="Times New Roman" w:hAnsi="Times New Roman" w:eastAsia="宋体" w:cs="Times New Roman"/>
                      <w:color w:val="auto"/>
                      <w:sz w:val="21"/>
                      <w:szCs w:val="21"/>
                      <w:highlight w:val="none"/>
                      <w:lang w:val="en-US" w:eastAsia="zh-CN"/>
                    </w:rPr>
                    <w:t>%</w:t>
                  </w:r>
                </w:p>
              </w:tc>
              <w:tc>
                <w:tcPr>
                  <w:tcW w:w="365" w:type="pct"/>
                  <w:vMerge w:val="restart"/>
                  <w:shd w:val="clear" w:color="auto" w:fill="auto"/>
                  <w:noWrap w:val="0"/>
                  <w:vAlign w:val="center"/>
                </w:tcPr>
                <w:p w14:paraId="2C934FC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是</w:t>
                  </w:r>
                </w:p>
              </w:tc>
              <w:tc>
                <w:tcPr>
                  <w:tcW w:w="342" w:type="pct"/>
                  <w:noWrap w:val="0"/>
                  <w:vAlign w:val="center"/>
                </w:tcPr>
                <w:p w14:paraId="61E4D31A">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0.0477</w:t>
                  </w:r>
                </w:p>
              </w:tc>
              <w:tc>
                <w:tcPr>
                  <w:tcW w:w="394" w:type="pct"/>
                  <w:noWrap w:val="0"/>
                  <w:vAlign w:val="center"/>
                </w:tcPr>
                <w:p w14:paraId="4FCB9D12">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lang w:val="en-US" w:eastAsia="zh-CN"/>
                    </w:rPr>
                    <w:t>6.6</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w:t>
                  </w:r>
                  <w:r>
                    <w:rPr>
                      <w:rFonts w:hint="eastAsia" w:cs="Times New Roman"/>
                      <w:b w:val="0"/>
                      <w:bCs w:val="0"/>
                      <w:color w:val="auto"/>
                      <w:sz w:val="21"/>
                      <w:szCs w:val="21"/>
                      <w:vertAlign w:val="superscript"/>
                      <w:lang w:val="en-US" w:eastAsia="zh-CN"/>
                    </w:rPr>
                    <w:t>3</w:t>
                  </w:r>
                </w:p>
              </w:tc>
              <w:tc>
                <w:tcPr>
                  <w:tcW w:w="341" w:type="pct"/>
                  <w:noWrap w:val="0"/>
                  <w:vAlign w:val="center"/>
                </w:tcPr>
                <w:p w14:paraId="45A2BA33">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1.11</w:t>
                  </w:r>
                </w:p>
              </w:tc>
              <w:tc>
                <w:tcPr>
                  <w:tcW w:w="437" w:type="pct"/>
                  <w:noWrap w:val="0"/>
                  <w:vAlign w:val="center"/>
                </w:tcPr>
                <w:p w14:paraId="4CC0381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60</w:t>
                  </w:r>
                </w:p>
              </w:tc>
            </w:tr>
            <w:tr w14:paraId="2EFF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continue"/>
                  <w:noWrap w:val="0"/>
                  <w:vAlign w:val="center"/>
                </w:tcPr>
                <w:p w14:paraId="1978EDAA">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286" w:type="pct"/>
                  <w:vMerge w:val="continue"/>
                  <w:noWrap w:val="0"/>
                  <w:vAlign w:val="center"/>
                </w:tcPr>
                <w:p w14:paraId="44E86C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360" w:type="pct"/>
                  <w:noWrap w:val="0"/>
                  <w:vAlign w:val="center"/>
                </w:tcPr>
                <w:p w14:paraId="58CEE280">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0.0534</w:t>
                  </w:r>
                </w:p>
              </w:tc>
              <w:tc>
                <w:tcPr>
                  <w:tcW w:w="338" w:type="pct"/>
                  <w:noWrap w:val="0"/>
                  <w:vAlign w:val="center"/>
                </w:tcPr>
                <w:p w14:paraId="25B282BC">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337" w:type="pct"/>
                  <w:shd w:val="clear" w:color="auto" w:fill="auto"/>
                  <w:noWrap w:val="0"/>
                  <w:vAlign w:val="center"/>
                </w:tcPr>
                <w:p w14:paraId="6542361E">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无组织</w:t>
                  </w:r>
                </w:p>
              </w:tc>
              <w:tc>
                <w:tcPr>
                  <w:tcW w:w="584" w:type="pct"/>
                  <w:noWrap w:val="0"/>
                  <w:vAlign w:val="center"/>
                </w:tcPr>
                <w:p w14:paraId="76083F1C">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335" w:type="pct"/>
                  <w:vMerge w:val="continue"/>
                  <w:noWrap w:val="0"/>
                  <w:vAlign w:val="center"/>
                </w:tcPr>
                <w:p w14:paraId="7BF6DB51">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276" w:type="pct"/>
                  <w:vMerge w:val="continue"/>
                  <w:noWrap w:val="0"/>
                  <w:vAlign w:val="center"/>
                </w:tcPr>
                <w:p w14:paraId="3A74D641">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271" w:type="pct"/>
                  <w:noWrap w:val="0"/>
                  <w:vAlign w:val="center"/>
                </w:tcPr>
                <w:p w14:paraId="24FE9DB1">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w:t>
                  </w:r>
                </w:p>
              </w:tc>
              <w:tc>
                <w:tcPr>
                  <w:tcW w:w="365" w:type="pct"/>
                  <w:vMerge w:val="continue"/>
                  <w:noWrap w:val="0"/>
                  <w:vAlign w:val="center"/>
                </w:tcPr>
                <w:p w14:paraId="590EE81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342" w:type="pct"/>
                  <w:noWrap w:val="0"/>
                  <w:vAlign w:val="center"/>
                </w:tcPr>
                <w:p w14:paraId="305B0AD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0.0534</w:t>
                  </w:r>
                </w:p>
              </w:tc>
              <w:tc>
                <w:tcPr>
                  <w:tcW w:w="394" w:type="pct"/>
                  <w:noWrap w:val="0"/>
                  <w:vAlign w:val="center"/>
                </w:tcPr>
                <w:p w14:paraId="5EDE2520">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341" w:type="pct"/>
                  <w:noWrap w:val="0"/>
                  <w:vAlign w:val="center"/>
                </w:tcPr>
                <w:p w14:paraId="0A801680">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437" w:type="pct"/>
                  <w:noWrap w:val="0"/>
                  <w:vAlign w:val="center"/>
                </w:tcPr>
                <w:p w14:paraId="27AFB979">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4.0</w:t>
                  </w:r>
                </w:p>
              </w:tc>
            </w:tr>
            <w:tr w14:paraId="253B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restart"/>
                  <w:noWrap w:val="0"/>
                  <w:vAlign w:val="center"/>
                </w:tcPr>
                <w:p w14:paraId="458EAEE9">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脱胶</w:t>
                  </w:r>
                  <w:r>
                    <w:rPr>
                      <w:rFonts w:hint="default" w:ascii="Times New Roman" w:hAnsi="Times New Roman" w:eastAsia="宋体" w:cs="Times New Roman"/>
                      <w:color w:val="auto"/>
                      <w:sz w:val="21"/>
                      <w:szCs w:val="21"/>
                      <w:highlight w:val="none"/>
                      <w:lang w:val="en-US" w:eastAsia="zh-CN"/>
                    </w:rPr>
                    <w:t>、注塑</w:t>
                  </w:r>
                </w:p>
              </w:tc>
              <w:tc>
                <w:tcPr>
                  <w:tcW w:w="286" w:type="pct"/>
                  <w:vMerge w:val="restart"/>
                  <w:noWrap w:val="0"/>
                  <w:vAlign w:val="center"/>
                </w:tcPr>
                <w:p w14:paraId="6D328C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挥发性有机物</w:t>
                  </w:r>
                </w:p>
              </w:tc>
              <w:tc>
                <w:tcPr>
                  <w:tcW w:w="360" w:type="pct"/>
                  <w:noWrap w:val="0"/>
                  <w:vAlign w:val="center"/>
                </w:tcPr>
                <w:p w14:paraId="133189FB">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0.384</w:t>
                  </w:r>
                </w:p>
              </w:tc>
              <w:tc>
                <w:tcPr>
                  <w:tcW w:w="338" w:type="pct"/>
                  <w:noWrap w:val="0"/>
                  <w:vAlign w:val="center"/>
                </w:tcPr>
                <w:p w14:paraId="2C832AE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8.90</w:t>
                  </w:r>
                </w:p>
              </w:tc>
              <w:tc>
                <w:tcPr>
                  <w:tcW w:w="337" w:type="pct"/>
                  <w:shd w:val="clear" w:color="auto" w:fill="auto"/>
                  <w:noWrap w:val="0"/>
                  <w:vAlign w:val="center"/>
                </w:tcPr>
                <w:p w14:paraId="49F83E0A">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有组织</w:t>
                  </w:r>
                </w:p>
              </w:tc>
              <w:tc>
                <w:tcPr>
                  <w:tcW w:w="584" w:type="pct"/>
                  <w:noWrap w:val="0"/>
                  <w:vAlign w:val="center"/>
                </w:tcPr>
                <w:p w14:paraId="6A6027BD">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集气罩+二级活性炭吸附装置+15m高排气筒（DA004）</w:t>
                  </w:r>
                </w:p>
              </w:tc>
              <w:tc>
                <w:tcPr>
                  <w:tcW w:w="335" w:type="pct"/>
                  <w:vMerge w:val="restart"/>
                  <w:shd w:val="clear" w:color="auto" w:fill="auto"/>
                  <w:noWrap w:val="0"/>
                  <w:vAlign w:val="center"/>
                </w:tcPr>
                <w:p w14:paraId="4E8FB491">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6000</w:t>
                  </w:r>
                </w:p>
                <w:p w14:paraId="03C11C5E">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m³/h</w:t>
                  </w:r>
                </w:p>
              </w:tc>
              <w:tc>
                <w:tcPr>
                  <w:tcW w:w="276" w:type="pct"/>
                  <w:vMerge w:val="restart"/>
                  <w:shd w:val="clear" w:color="auto" w:fill="auto"/>
                  <w:noWrap w:val="0"/>
                  <w:vAlign w:val="center"/>
                </w:tcPr>
                <w:p w14:paraId="704A4DD1">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90</w:t>
                  </w:r>
                  <w:r>
                    <w:rPr>
                      <w:rFonts w:hint="default" w:ascii="Times New Roman" w:hAnsi="Times New Roman" w:eastAsia="宋体" w:cs="Times New Roman"/>
                      <w:color w:val="auto"/>
                      <w:sz w:val="21"/>
                      <w:szCs w:val="21"/>
                      <w:highlight w:val="none"/>
                      <w:lang w:val="en-US" w:eastAsia="zh-CN"/>
                    </w:rPr>
                    <w:t>%</w:t>
                  </w:r>
                </w:p>
              </w:tc>
              <w:tc>
                <w:tcPr>
                  <w:tcW w:w="271" w:type="pct"/>
                  <w:shd w:val="clear" w:color="auto" w:fill="auto"/>
                  <w:noWrap w:val="0"/>
                  <w:vAlign w:val="center"/>
                </w:tcPr>
                <w:p w14:paraId="2B22EA71">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90</w:t>
                  </w:r>
                  <w:r>
                    <w:rPr>
                      <w:rFonts w:hint="default" w:ascii="Times New Roman" w:hAnsi="Times New Roman" w:eastAsia="宋体" w:cs="Times New Roman"/>
                      <w:color w:val="auto"/>
                      <w:sz w:val="21"/>
                      <w:szCs w:val="21"/>
                      <w:highlight w:val="none"/>
                      <w:lang w:val="en-US" w:eastAsia="zh-CN"/>
                    </w:rPr>
                    <w:t>%</w:t>
                  </w:r>
                </w:p>
              </w:tc>
              <w:tc>
                <w:tcPr>
                  <w:tcW w:w="365" w:type="pct"/>
                  <w:vMerge w:val="restart"/>
                  <w:shd w:val="clear" w:color="auto" w:fill="auto"/>
                  <w:noWrap w:val="0"/>
                  <w:vAlign w:val="center"/>
                </w:tcPr>
                <w:p w14:paraId="503DCD4A">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是</w:t>
                  </w:r>
                </w:p>
              </w:tc>
              <w:tc>
                <w:tcPr>
                  <w:tcW w:w="342" w:type="pct"/>
                  <w:noWrap w:val="0"/>
                  <w:vAlign w:val="center"/>
                </w:tcPr>
                <w:p w14:paraId="02B6E349">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0.0384</w:t>
                  </w:r>
                </w:p>
              </w:tc>
              <w:tc>
                <w:tcPr>
                  <w:tcW w:w="394" w:type="pct"/>
                  <w:noWrap w:val="0"/>
                  <w:vAlign w:val="center"/>
                </w:tcPr>
                <w:p w14:paraId="20484E9B">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lang w:val="en-US" w:eastAsia="zh-CN"/>
                    </w:rPr>
                    <w:t>5.33</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w:t>
                  </w:r>
                  <w:r>
                    <w:rPr>
                      <w:rFonts w:hint="eastAsia" w:cs="Times New Roman"/>
                      <w:b w:val="0"/>
                      <w:bCs w:val="0"/>
                      <w:color w:val="auto"/>
                      <w:sz w:val="21"/>
                      <w:szCs w:val="21"/>
                      <w:vertAlign w:val="superscript"/>
                      <w:lang w:val="en-US" w:eastAsia="zh-CN"/>
                    </w:rPr>
                    <w:t>3</w:t>
                  </w:r>
                </w:p>
              </w:tc>
              <w:tc>
                <w:tcPr>
                  <w:tcW w:w="341" w:type="pct"/>
                  <w:noWrap w:val="0"/>
                  <w:vAlign w:val="center"/>
                </w:tcPr>
                <w:p w14:paraId="5A55F952">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0.89</w:t>
                  </w:r>
                </w:p>
              </w:tc>
              <w:tc>
                <w:tcPr>
                  <w:tcW w:w="437" w:type="pct"/>
                  <w:noWrap w:val="0"/>
                  <w:vAlign w:val="center"/>
                </w:tcPr>
                <w:p w14:paraId="064DEA3A">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60</w:t>
                  </w:r>
                </w:p>
              </w:tc>
            </w:tr>
            <w:tr w14:paraId="3263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continue"/>
                  <w:noWrap w:val="0"/>
                  <w:vAlign w:val="center"/>
                </w:tcPr>
                <w:p w14:paraId="6F207C39">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286" w:type="pct"/>
                  <w:vMerge w:val="continue"/>
                  <w:noWrap w:val="0"/>
                  <w:vAlign w:val="center"/>
                </w:tcPr>
                <w:p w14:paraId="6B8FB6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360" w:type="pct"/>
                  <w:noWrap w:val="0"/>
                  <w:vAlign w:val="center"/>
                </w:tcPr>
                <w:p w14:paraId="498F469A">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0.042</w:t>
                  </w:r>
                </w:p>
              </w:tc>
              <w:tc>
                <w:tcPr>
                  <w:tcW w:w="338" w:type="pct"/>
                  <w:noWrap w:val="0"/>
                  <w:vAlign w:val="center"/>
                </w:tcPr>
                <w:p w14:paraId="50AA1EF7">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337" w:type="pct"/>
                  <w:shd w:val="clear" w:color="auto" w:fill="auto"/>
                  <w:noWrap w:val="0"/>
                  <w:vAlign w:val="center"/>
                </w:tcPr>
                <w:p w14:paraId="33554791">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无组织</w:t>
                  </w:r>
                </w:p>
              </w:tc>
              <w:tc>
                <w:tcPr>
                  <w:tcW w:w="584" w:type="pct"/>
                  <w:noWrap w:val="0"/>
                  <w:vAlign w:val="center"/>
                </w:tcPr>
                <w:p w14:paraId="79BB257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335" w:type="pct"/>
                  <w:vMerge w:val="continue"/>
                  <w:noWrap w:val="0"/>
                  <w:vAlign w:val="center"/>
                </w:tcPr>
                <w:p w14:paraId="794CEF13">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276" w:type="pct"/>
                  <w:vMerge w:val="continue"/>
                  <w:noWrap w:val="0"/>
                  <w:vAlign w:val="center"/>
                </w:tcPr>
                <w:p w14:paraId="7D00DE2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271" w:type="pct"/>
                  <w:noWrap w:val="0"/>
                  <w:vAlign w:val="center"/>
                </w:tcPr>
                <w:p w14:paraId="372746C7">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w:t>
                  </w:r>
                </w:p>
              </w:tc>
              <w:tc>
                <w:tcPr>
                  <w:tcW w:w="365" w:type="pct"/>
                  <w:vMerge w:val="continue"/>
                  <w:noWrap w:val="0"/>
                  <w:vAlign w:val="center"/>
                </w:tcPr>
                <w:p w14:paraId="1F0A45F1">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342" w:type="pct"/>
                  <w:noWrap w:val="0"/>
                  <w:vAlign w:val="center"/>
                </w:tcPr>
                <w:p w14:paraId="40DC9499">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0.043</w:t>
                  </w:r>
                </w:p>
              </w:tc>
              <w:tc>
                <w:tcPr>
                  <w:tcW w:w="394" w:type="pct"/>
                  <w:noWrap w:val="0"/>
                  <w:vAlign w:val="center"/>
                </w:tcPr>
                <w:p w14:paraId="4874168E">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341" w:type="pct"/>
                  <w:noWrap w:val="0"/>
                  <w:vAlign w:val="center"/>
                </w:tcPr>
                <w:p w14:paraId="12DD9578">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437" w:type="pct"/>
                  <w:noWrap w:val="0"/>
                  <w:vAlign w:val="center"/>
                </w:tcPr>
                <w:p w14:paraId="3DCAB4C1">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4.0</w:t>
                  </w:r>
                </w:p>
              </w:tc>
            </w:tr>
            <w:tr w14:paraId="3508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restart"/>
                  <w:noWrap w:val="0"/>
                  <w:vAlign w:val="center"/>
                </w:tcPr>
                <w:p w14:paraId="4C934B08">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喷塑</w:t>
                  </w:r>
                </w:p>
              </w:tc>
              <w:tc>
                <w:tcPr>
                  <w:tcW w:w="286" w:type="pct"/>
                  <w:vMerge w:val="restart"/>
                  <w:noWrap w:val="0"/>
                  <w:vAlign w:val="center"/>
                </w:tcPr>
                <w:p w14:paraId="3D0733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颗粒物</w:t>
                  </w:r>
                </w:p>
              </w:tc>
              <w:tc>
                <w:tcPr>
                  <w:tcW w:w="360" w:type="pct"/>
                  <w:noWrap w:val="0"/>
                  <w:vAlign w:val="center"/>
                </w:tcPr>
                <w:p w14:paraId="4B6BCF5E">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0.285</w:t>
                  </w:r>
                </w:p>
              </w:tc>
              <w:tc>
                <w:tcPr>
                  <w:tcW w:w="338" w:type="pct"/>
                  <w:noWrap w:val="0"/>
                  <w:vAlign w:val="center"/>
                </w:tcPr>
                <w:p w14:paraId="62ECEB1E">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39.58</w:t>
                  </w:r>
                </w:p>
              </w:tc>
              <w:tc>
                <w:tcPr>
                  <w:tcW w:w="337" w:type="pct"/>
                  <w:shd w:val="clear" w:color="auto" w:fill="auto"/>
                  <w:noWrap w:val="0"/>
                  <w:vAlign w:val="center"/>
                </w:tcPr>
                <w:p w14:paraId="4A85FE78">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有组织</w:t>
                  </w:r>
                </w:p>
              </w:tc>
              <w:tc>
                <w:tcPr>
                  <w:tcW w:w="584" w:type="pct"/>
                  <w:vMerge w:val="restart"/>
                  <w:noWrap w:val="0"/>
                  <w:vAlign w:val="center"/>
                </w:tcPr>
                <w:p w14:paraId="721D202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侧向集气罩+布袋除尘器+15m高排气筒（DA005）</w:t>
                  </w:r>
                </w:p>
              </w:tc>
              <w:tc>
                <w:tcPr>
                  <w:tcW w:w="335" w:type="pct"/>
                  <w:vMerge w:val="restart"/>
                  <w:shd w:val="clear" w:color="auto" w:fill="auto"/>
                  <w:noWrap w:val="0"/>
                  <w:vAlign w:val="center"/>
                </w:tcPr>
                <w:p w14:paraId="18180603">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3000</w:t>
                  </w:r>
                </w:p>
                <w:p w14:paraId="78A7CF92">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m³/h</w:t>
                  </w:r>
                </w:p>
              </w:tc>
              <w:tc>
                <w:tcPr>
                  <w:tcW w:w="276" w:type="pct"/>
                  <w:vMerge w:val="restart"/>
                  <w:shd w:val="clear" w:color="auto" w:fill="auto"/>
                  <w:noWrap w:val="0"/>
                  <w:vAlign w:val="center"/>
                </w:tcPr>
                <w:p w14:paraId="1EB5F8B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95</w:t>
                  </w:r>
                  <w:r>
                    <w:rPr>
                      <w:rFonts w:hint="default" w:ascii="Times New Roman" w:hAnsi="Times New Roman" w:eastAsia="宋体" w:cs="Times New Roman"/>
                      <w:color w:val="auto"/>
                      <w:sz w:val="21"/>
                      <w:szCs w:val="21"/>
                      <w:highlight w:val="none"/>
                      <w:lang w:val="en-US" w:eastAsia="zh-CN"/>
                    </w:rPr>
                    <w:t>%</w:t>
                  </w:r>
                </w:p>
              </w:tc>
              <w:tc>
                <w:tcPr>
                  <w:tcW w:w="271" w:type="pct"/>
                  <w:shd w:val="clear" w:color="auto" w:fill="auto"/>
                  <w:noWrap w:val="0"/>
                  <w:vAlign w:val="center"/>
                </w:tcPr>
                <w:p w14:paraId="01FD38B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95</w:t>
                  </w:r>
                  <w:r>
                    <w:rPr>
                      <w:rFonts w:hint="default" w:ascii="Times New Roman" w:hAnsi="Times New Roman" w:eastAsia="宋体" w:cs="Times New Roman"/>
                      <w:color w:val="auto"/>
                      <w:sz w:val="21"/>
                      <w:szCs w:val="21"/>
                      <w:highlight w:val="none"/>
                      <w:lang w:val="en-US" w:eastAsia="zh-CN"/>
                    </w:rPr>
                    <w:t>%</w:t>
                  </w:r>
                </w:p>
              </w:tc>
              <w:tc>
                <w:tcPr>
                  <w:tcW w:w="365" w:type="pct"/>
                  <w:vMerge w:val="restart"/>
                  <w:shd w:val="clear" w:color="auto" w:fill="auto"/>
                  <w:noWrap w:val="0"/>
                  <w:vAlign w:val="center"/>
                </w:tcPr>
                <w:p w14:paraId="065403E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是</w:t>
                  </w:r>
                </w:p>
              </w:tc>
              <w:tc>
                <w:tcPr>
                  <w:tcW w:w="342" w:type="pct"/>
                  <w:noWrap w:val="0"/>
                  <w:vAlign w:val="center"/>
                </w:tcPr>
                <w:p w14:paraId="5CA8446D">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0.0143</w:t>
                  </w:r>
                </w:p>
              </w:tc>
              <w:tc>
                <w:tcPr>
                  <w:tcW w:w="394" w:type="pct"/>
                  <w:noWrap w:val="0"/>
                  <w:vAlign w:val="center"/>
                </w:tcPr>
                <w:p w14:paraId="6CF03125">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0.006</w:t>
                  </w:r>
                </w:p>
              </w:tc>
              <w:tc>
                <w:tcPr>
                  <w:tcW w:w="341" w:type="pct"/>
                  <w:noWrap w:val="0"/>
                  <w:vAlign w:val="center"/>
                </w:tcPr>
                <w:p w14:paraId="3F85EFF0">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1.99</w:t>
                  </w:r>
                </w:p>
              </w:tc>
              <w:tc>
                <w:tcPr>
                  <w:tcW w:w="437" w:type="pct"/>
                  <w:noWrap w:val="0"/>
                  <w:vAlign w:val="center"/>
                </w:tcPr>
                <w:p w14:paraId="49E111C8">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120</w:t>
                  </w:r>
                </w:p>
              </w:tc>
            </w:tr>
            <w:tr w14:paraId="7487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continue"/>
                  <w:noWrap w:val="0"/>
                  <w:vAlign w:val="center"/>
                </w:tcPr>
                <w:p w14:paraId="5364994D">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286" w:type="pct"/>
                  <w:vMerge w:val="continue"/>
                  <w:noWrap w:val="0"/>
                  <w:vAlign w:val="center"/>
                </w:tcPr>
                <w:p w14:paraId="27BC2C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360" w:type="pct"/>
                  <w:noWrap w:val="0"/>
                  <w:vAlign w:val="center"/>
                </w:tcPr>
                <w:p w14:paraId="36BAD0F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0.015</w:t>
                  </w:r>
                </w:p>
              </w:tc>
              <w:tc>
                <w:tcPr>
                  <w:tcW w:w="338" w:type="pct"/>
                  <w:noWrap w:val="0"/>
                  <w:vAlign w:val="center"/>
                </w:tcPr>
                <w:p w14:paraId="3C358742">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337" w:type="pct"/>
                  <w:shd w:val="clear" w:color="auto" w:fill="auto"/>
                  <w:noWrap w:val="0"/>
                  <w:vAlign w:val="center"/>
                </w:tcPr>
                <w:p w14:paraId="04533E4A">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无组织</w:t>
                  </w:r>
                </w:p>
              </w:tc>
              <w:tc>
                <w:tcPr>
                  <w:tcW w:w="584" w:type="pct"/>
                  <w:vMerge w:val="continue"/>
                  <w:noWrap w:val="0"/>
                  <w:vAlign w:val="center"/>
                </w:tcPr>
                <w:p w14:paraId="50AF5680">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335" w:type="pct"/>
                  <w:vMerge w:val="continue"/>
                  <w:noWrap w:val="0"/>
                  <w:vAlign w:val="center"/>
                </w:tcPr>
                <w:p w14:paraId="0CBBCA82">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276" w:type="pct"/>
                  <w:vMerge w:val="continue"/>
                  <w:noWrap w:val="0"/>
                  <w:vAlign w:val="center"/>
                </w:tcPr>
                <w:p w14:paraId="158949FC">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271" w:type="pct"/>
                  <w:noWrap w:val="0"/>
                  <w:vAlign w:val="center"/>
                </w:tcPr>
                <w:p w14:paraId="58E54E70">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w:t>
                  </w:r>
                </w:p>
              </w:tc>
              <w:tc>
                <w:tcPr>
                  <w:tcW w:w="365" w:type="pct"/>
                  <w:vMerge w:val="continue"/>
                  <w:noWrap w:val="0"/>
                  <w:vAlign w:val="center"/>
                </w:tcPr>
                <w:p w14:paraId="0D451CC7">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342" w:type="pct"/>
                  <w:noWrap w:val="0"/>
                  <w:vAlign w:val="center"/>
                </w:tcPr>
                <w:p w14:paraId="50DA5BF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0.015</w:t>
                  </w:r>
                </w:p>
              </w:tc>
              <w:tc>
                <w:tcPr>
                  <w:tcW w:w="394" w:type="pct"/>
                  <w:noWrap w:val="0"/>
                  <w:vAlign w:val="center"/>
                </w:tcPr>
                <w:p w14:paraId="376BBF38">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341" w:type="pct"/>
                  <w:noWrap w:val="0"/>
                  <w:vAlign w:val="center"/>
                </w:tcPr>
                <w:p w14:paraId="786A6005">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437" w:type="pct"/>
                  <w:noWrap w:val="0"/>
                  <w:vAlign w:val="center"/>
                </w:tcPr>
                <w:p w14:paraId="4D0577D1">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1.0</w:t>
                  </w:r>
                </w:p>
              </w:tc>
            </w:tr>
            <w:tr w14:paraId="5D23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14"/>
                  <w:noWrap w:val="0"/>
                  <w:vAlign w:val="center"/>
                </w:tcPr>
                <w:p w14:paraId="7E44B16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扩建后全厂</w:t>
                  </w:r>
                </w:p>
              </w:tc>
            </w:tr>
            <w:tr w14:paraId="7F35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restart"/>
                  <w:shd w:val="clear" w:color="auto" w:fill="auto"/>
                  <w:noWrap w:val="0"/>
                  <w:vAlign w:val="center"/>
                </w:tcPr>
                <w:p w14:paraId="1DB72E10">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混合</w:t>
                  </w:r>
                </w:p>
              </w:tc>
              <w:tc>
                <w:tcPr>
                  <w:tcW w:w="286" w:type="pct"/>
                  <w:vMerge w:val="restart"/>
                  <w:shd w:val="clear" w:color="auto" w:fill="auto"/>
                  <w:noWrap w:val="0"/>
                  <w:vAlign w:val="center"/>
                </w:tcPr>
                <w:p w14:paraId="0262E2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颗粒物</w:t>
                  </w:r>
                </w:p>
              </w:tc>
              <w:tc>
                <w:tcPr>
                  <w:tcW w:w="360" w:type="pct"/>
                  <w:shd w:val="clear" w:color="auto" w:fill="auto"/>
                  <w:noWrap w:val="0"/>
                  <w:vAlign w:val="center"/>
                </w:tcPr>
                <w:p w14:paraId="34522CA0">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0.612</w:t>
                  </w:r>
                </w:p>
              </w:tc>
              <w:tc>
                <w:tcPr>
                  <w:tcW w:w="338" w:type="pct"/>
                  <w:shd w:val="clear" w:color="auto" w:fill="auto"/>
                  <w:noWrap w:val="0"/>
                  <w:vAlign w:val="center"/>
                </w:tcPr>
                <w:p w14:paraId="11DA8205">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42.5</w:t>
                  </w:r>
                </w:p>
              </w:tc>
              <w:tc>
                <w:tcPr>
                  <w:tcW w:w="337" w:type="pct"/>
                  <w:shd w:val="clear" w:color="auto" w:fill="auto"/>
                  <w:noWrap w:val="0"/>
                  <w:vAlign w:val="center"/>
                </w:tcPr>
                <w:p w14:paraId="58352F2C">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有组织</w:t>
                  </w:r>
                </w:p>
              </w:tc>
              <w:tc>
                <w:tcPr>
                  <w:tcW w:w="584" w:type="pct"/>
                  <w:shd w:val="clear" w:color="auto" w:fill="auto"/>
                  <w:noWrap w:val="0"/>
                  <w:vAlign w:val="center"/>
                </w:tcPr>
                <w:p w14:paraId="7D8EA1FC">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集气罩+布袋除尘器+15m高排气筒（DA001）</w:t>
                  </w:r>
                </w:p>
              </w:tc>
              <w:tc>
                <w:tcPr>
                  <w:tcW w:w="335" w:type="pct"/>
                  <w:vMerge w:val="restart"/>
                  <w:shd w:val="clear" w:color="auto" w:fill="auto"/>
                  <w:noWrap w:val="0"/>
                  <w:vAlign w:val="center"/>
                </w:tcPr>
                <w:p w14:paraId="3A3CB1AD">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5000</w:t>
                  </w:r>
                </w:p>
                <w:p w14:paraId="29FEFD5E">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m³/h</w:t>
                  </w:r>
                </w:p>
              </w:tc>
              <w:tc>
                <w:tcPr>
                  <w:tcW w:w="276" w:type="pct"/>
                  <w:vMerge w:val="restart"/>
                  <w:shd w:val="clear" w:color="auto" w:fill="auto"/>
                  <w:noWrap w:val="0"/>
                  <w:vAlign w:val="center"/>
                </w:tcPr>
                <w:p w14:paraId="17E9DC2A">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90</w:t>
                  </w:r>
                  <w:r>
                    <w:rPr>
                      <w:rFonts w:hint="default" w:ascii="Times New Roman" w:hAnsi="Times New Roman" w:eastAsia="宋体" w:cs="Times New Roman"/>
                      <w:color w:val="auto"/>
                      <w:sz w:val="21"/>
                      <w:szCs w:val="21"/>
                      <w:highlight w:val="none"/>
                      <w:lang w:val="en-US" w:eastAsia="zh-CN"/>
                    </w:rPr>
                    <w:t>%</w:t>
                  </w:r>
                </w:p>
              </w:tc>
              <w:tc>
                <w:tcPr>
                  <w:tcW w:w="271" w:type="pct"/>
                  <w:shd w:val="clear" w:color="auto" w:fill="auto"/>
                  <w:noWrap w:val="0"/>
                  <w:vAlign w:val="center"/>
                </w:tcPr>
                <w:p w14:paraId="182404D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95</w:t>
                  </w:r>
                  <w:r>
                    <w:rPr>
                      <w:rFonts w:hint="default" w:ascii="Times New Roman" w:hAnsi="Times New Roman" w:eastAsia="宋体" w:cs="Times New Roman"/>
                      <w:color w:val="auto"/>
                      <w:sz w:val="21"/>
                      <w:szCs w:val="21"/>
                      <w:highlight w:val="none"/>
                      <w:lang w:val="en-US" w:eastAsia="zh-CN"/>
                    </w:rPr>
                    <w:t>%</w:t>
                  </w:r>
                </w:p>
              </w:tc>
              <w:tc>
                <w:tcPr>
                  <w:tcW w:w="365" w:type="pct"/>
                  <w:vMerge w:val="restart"/>
                  <w:shd w:val="clear" w:color="auto" w:fill="auto"/>
                  <w:noWrap w:val="0"/>
                  <w:vAlign w:val="center"/>
                </w:tcPr>
                <w:p w14:paraId="34F8E9B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是</w:t>
                  </w:r>
                </w:p>
              </w:tc>
              <w:tc>
                <w:tcPr>
                  <w:tcW w:w="342" w:type="pct"/>
                  <w:noWrap w:val="0"/>
                  <w:vAlign w:val="center"/>
                </w:tcPr>
                <w:p w14:paraId="7E04BF60">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0.031</w:t>
                  </w:r>
                </w:p>
              </w:tc>
              <w:tc>
                <w:tcPr>
                  <w:tcW w:w="394" w:type="pct"/>
                  <w:noWrap w:val="0"/>
                  <w:vAlign w:val="center"/>
                </w:tcPr>
                <w:p w14:paraId="7A0A637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0.0064</w:t>
                  </w:r>
                </w:p>
              </w:tc>
              <w:tc>
                <w:tcPr>
                  <w:tcW w:w="341" w:type="pct"/>
                  <w:noWrap w:val="0"/>
                  <w:vAlign w:val="center"/>
                </w:tcPr>
                <w:p w14:paraId="388D772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2.13</w:t>
                  </w:r>
                </w:p>
              </w:tc>
              <w:tc>
                <w:tcPr>
                  <w:tcW w:w="437" w:type="pct"/>
                  <w:shd w:val="clear" w:color="auto" w:fill="auto"/>
                  <w:noWrap w:val="0"/>
                  <w:vAlign w:val="center"/>
                </w:tcPr>
                <w:p w14:paraId="6A70675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120</w:t>
                  </w:r>
                </w:p>
              </w:tc>
            </w:tr>
            <w:tr w14:paraId="0A54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continue"/>
                  <w:noWrap w:val="0"/>
                  <w:vAlign w:val="center"/>
                </w:tcPr>
                <w:p w14:paraId="3E0B999F">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cs="Times New Roman"/>
                      <w:color w:val="auto"/>
                      <w:sz w:val="21"/>
                      <w:szCs w:val="21"/>
                      <w:highlight w:val="none"/>
                      <w:lang w:val="en-US" w:eastAsia="zh-CN"/>
                    </w:rPr>
                  </w:pPr>
                </w:p>
              </w:tc>
              <w:tc>
                <w:tcPr>
                  <w:tcW w:w="286" w:type="pct"/>
                  <w:vMerge w:val="continue"/>
                  <w:noWrap w:val="0"/>
                  <w:vAlign w:val="center"/>
                </w:tcPr>
                <w:p w14:paraId="707750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360" w:type="pct"/>
                  <w:shd w:val="clear" w:color="auto" w:fill="auto"/>
                  <w:noWrap w:val="0"/>
                  <w:vAlign w:val="center"/>
                </w:tcPr>
                <w:p w14:paraId="62A32B0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0.068</w:t>
                  </w:r>
                </w:p>
              </w:tc>
              <w:tc>
                <w:tcPr>
                  <w:tcW w:w="338" w:type="pct"/>
                  <w:shd w:val="clear" w:color="auto" w:fill="auto"/>
                  <w:noWrap w:val="0"/>
                  <w:vAlign w:val="center"/>
                </w:tcPr>
                <w:p w14:paraId="7D7ECA25">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337" w:type="pct"/>
                  <w:shd w:val="clear" w:color="auto" w:fill="auto"/>
                  <w:noWrap w:val="0"/>
                  <w:vAlign w:val="center"/>
                </w:tcPr>
                <w:p w14:paraId="67EE628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无组织</w:t>
                  </w:r>
                </w:p>
              </w:tc>
              <w:tc>
                <w:tcPr>
                  <w:tcW w:w="584" w:type="pct"/>
                  <w:noWrap w:val="0"/>
                  <w:vAlign w:val="center"/>
                </w:tcPr>
                <w:p w14:paraId="74794957">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厂房密封</w:t>
                  </w:r>
                </w:p>
              </w:tc>
              <w:tc>
                <w:tcPr>
                  <w:tcW w:w="335" w:type="pct"/>
                  <w:vMerge w:val="continue"/>
                  <w:noWrap w:val="0"/>
                  <w:vAlign w:val="center"/>
                </w:tcPr>
                <w:p w14:paraId="10B59EC9">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276" w:type="pct"/>
                  <w:vMerge w:val="continue"/>
                  <w:noWrap w:val="0"/>
                  <w:vAlign w:val="center"/>
                </w:tcPr>
                <w:p w14:paraId="09F21A9B">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271" w:type="pct"/>
                  <w:noWrap w:val="0"/>
                  <w:vAlign w:val="center"/>
                </w:tcPr>
                <w:p w14:paraId="79A61EFE">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80%</w:t>
                  </w:r>
                </w:p>
              </w:tc>
              <w:tc>
                <w:tcPr>
                  <w:tcW w:w="365" w:type="pct"/>
                  <w:vMerge w:val="continue"/>
                  <w:noWrap w:val="0"/>
                  <w:vAlign w:val="center"/>
                </w:tcPr>
                <w:p w14:paraId="5E05B36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342" w:type="pct"/>
                  <w:noWrap w:val="0"/>
                  <w:vAlign w:val="center"/>
                </w:tcPr>
                <w:p w14:paraId="0D73D0C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0.014</w:t>
                  </w:r>
                </w:p>
              </w:tc>
              <w:tc>
                <w:tcPr>
                  <w:tcW w:w="394" w:type="pct"/>
                  <w:noWrap w:val="0"/>
                  <w:vAlign w:val="center"/>
                </w:tcPr>
                <w:p w14:paraId="086A519E">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341" w:type="pct"/>
                  <w:noWrap w:val="0"/>
                  <w:vAlign w:val="center"/>
                </w:tcPr>
                <w:p w14:paraId="0AAA98B3">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437" w:type="pct"/>
                  <w:shd w:val="clear" w:color="auto" w:fill="auto"/>
                  <w:noWrap w:val="0"/>
                  <w:vAlign w:val="center"/>
                </w:tcPr>
                <w:p w14:paraId="361CCAD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r>
            <w:tr w14:paraId="7242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restart"/>
                  <w:shd w:val="clear" w:color="auto" w:fill="auto"/>
                  <w:noWrap w:val="0"/>
                  <w:vAlign w:val="center"/>
                </w:tcPr>
                <w:p w14:paraId="1EC836B0">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加热</w:t>
                  </w:r>
                </w:p>
              </w:tc>
              <w:tc>
                <w:tcPr>
                  <w:tcW w:w="286" w:type="pct"/>
                  <w:vMerge w:val="restart"/>
                  <w:shd w:val="clear" w:color="auto" w:fill="auto"/>
                  <w:noWrap w:val="0"/>
                  <w:vAlign w:val="center"/>
                </w:tcPr>
                <w:p w14:paraId="08B1AE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挥发性有机物</w:t>
                  </w:r>
                </w:p>
              </w:tc>
              <w:tc>
                <w:tcPr>
                  <w:tcW w:w="360" w:type="pct"/>
                  <w:shd w:val="clear" w:color="auto" w:fill="auto"/>
                  <w:noWrap w:val="0"/>
                  <w:vAlign w:val="center"/>
                </w:tcPr>
                <w:p w14:paraId="7D209FB8">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0.0522</w:t>
                  </w:r>
                </w:p>
              </w:tc>
              <w:tc>
                <w:tcPr>
                  <w:tcW w:w="338" w:type="pct"/>
                  <w:shd w:val="clear" w:color="auto" w:fill="auto"/>
                  <w:noWrap w:val="0"/>
                  <w:vAlign w:val="center"/>
                </w:tcPr>
                <w:p w14:paraId="3AA04F91">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10.88</w:t>
                  </w:r>
                </w:p>
              </w:tc>
              <w:tc>
                <w:tcPr>
                  <w:tcW w:w="337" w:type="pct"/>
                  <w:shd w:val="clear" w:color="auto" w:fill="auto"/>
                  <w:noWrap w:val="0"/>
                  <w:vAlign w:val="center"/>
                </w:tcPr>
                <w:p w14:paraId="128DC7D9">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有组织</w:t>
                  </w:r>
                </w:p>
              </w:tc>
              <w:tc>
                <w:tcPr>
                  <w:tcW w:w="584" w:type="pct"/>
                  <w:shd w:val="clear" w:color="auto" w:fill="auto"/>
                  <w:noWrap w:val="0"/>
                  <w:vAlign w:val="center"/>
                </w:tcPr>
                <w:p w14:paraId="120BB8AA">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集气罩+二级活性炭吸附装置+15m高排气筒（DA002）</w:t>
                  </w:r>
                </w:p>
              </w:tc>
              <w:tc>
                <w:tcPr>
                  <w:tcW w:w="335" w:type="pct"/>
                  <w:vMerge w:val="restart"/>
                  <w:shd w:val="clear" w:color="auto" w:fill="auto"/>
                  <w:noWrap w:val="0"/>
                  <w:vAlign w:val="center"/>
                </w:tcPr>
                <w:p w14:paraId="4B42471E">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1000</w:t>
                  </w:r>
                </w:p>
                <w:p w14:paraId="23BCB64C">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m³/h</w:t>
                  </w:r>
                </w:p>
              </w:tc>
              <w:tc>
                <w:tcPr>
                  <w:tcW w:w="276" w:type="pct"/>
                  <w:vMerge w:val="restart"/>
                  <w:shd w:val="clear" w:color="auto" w:fill="auto"/>
                  <w:noWrap w:val="0"/>
                  <w:vAlign w:val="center"/>
                </w:tcPr>
                <w:p w14:paraId="2DD4C9D9">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90</w:t>
                  </w:r>
                  <w:r>
                    <w:rPr>
                      <w:rFonts w:hint="default" w:ascii="Times New Roman" w:hAnsi="Times New Roman" w:eastAsia="宋体" w:cs="Times New Roman"/>
                      <w:color w:val="auto"/>
                      <w:sz w:val="21"/>
                      <w:szCs w:val="21"/>
                      <w:highlight w:val="none"/>
                      <w:lang w:val="en-US" w:eastAsia="zh-CN"/>
                    </w:rPr>
                    <w:t>%</w:t>
                  </w:r>
                </w:p>
              </w:tc>
              <w:tc>
                <w:tcPr>
                  <w:tcW w:w="271" w:type="pct"/>
                  <w:shd w:val="clear" w:color="auto" w:fill="auto"/>
                  <w:noWrap w:val="0"/>
                  <w:vAlign w:val="center"/>
                </w:tcPr>
                <w:p w14:paraId="097F0B95">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90</w:t>
                  </w:r>
                  <w:r>
                    <w:rPr>
                      <w:rFonts w:hint="default" w:ascii="Times New Roman" w:hAnsi="Times New Roman" w:eastAsia="宋体" w:cs="Times New Roman"/>
                      <w:color w:val="auto"/>
                      <w:sz w:val="21"/>
                      <w:szCs w:val="21"/>
                      <w:highlight w:val="none"/>
                      <w:lang w:val="en-US" w:eastAsia="zh-CN"/>
                    </w:rPr>
                    <w:t>%</w:t>
                  </w:r>
                </w:p>
              </w:tc>
              <w:tc>
                <w:tcPr>
                  <w:tcW w:w="365" w:type="pct"/>
                  <w:vMerge w:val="restart"/>
                  <w:shd w:val="clear" w:color="auto" w:fill="auto"/>
                  <w:noWrap w:val="0"/>
                  <w:vAlign w:val="center"/>
                </w:tcPr>
                <w:p w14:paraId="78AA0762">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是</w:t>
                  </w:r>
                </w:p>
              </w:tc>
              <w:tc>
                <w:tcPr>
                  <w:tcW w:w="342" w:type="pct"/>
                  <w:noWrap w:val="0"/>
                  <w:vAlign w:val="center"/>
                </w:tcPr>
                <w:p w14:paraId="75BD8998">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0.006</w:t>
                  </w:r>
                </w:p>
              </w:tc>
              <w:tc>
                <w:tcPr>
                  <w:tcW w:w="394" w:type="pct"/>
                  <w:noWrap w:val="0"/>
                  <w:vAlign w:val="center"/>
                </w:tcPr>
                <w:p w14:paraId="30FF11CD">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lang w:val="en-US" w:eastAsia="zh-CN"/>
                    </w:rPr>
                    <w:t>1.25</w:t>
                  </w:r>
                  <w:r>
                    <w:rPr>
                      <w:rFonts w:hint="default" w:ascii="Arial" w:hAnsi="Arial" w:eastAsia="宋体" w:cs="Arial"/>
                      <w:b w:val="0"/>
                      <w:bCs w:val="0"/>
                      <w:color w:val="auto"/>
                      <w:sz w:val="21"/>
                      <w:szCs w:val="21"/>
                      <w:lang w:val="en-US" w:eastAsia="zh-CN"/>
                    </w:rPr>
                    <w:t>×</w:t>
                  </w:r>
                  <w:r>
                    <w:rPr>
                      <w:rFonts w:hint="eastAsia" w:eastAsia="宋体" w:cs="Times New Roman"/>
                      <w:b w:val="0"/>
                      <w:bCs w:val="0"/>
                      <w:color w:val="auto"/>
                      <w:sz w:val="21"/>
                      <w:szCs w:val="21"/>
                      <w:lang w:val="en-US" w:eastAsia="zh-CN"/>
                    </w:rPr>
                    <w:t>10</w:t>
                  </w:r>
                  <w:r>
                    <w:rPr>
                      <w:rFonts w:hint="eastAsia" w:eastAsia="宋体" w:cs="Times New Roman"/>
                      <w:b w:val="0"/>
                      <w:bCs w:val="0"/>
                      <w:color w:val="auto"/>
                      <w:sz w:val="21"/>
                      <w:szCs w:val="21"/>
                      <w:vertAlign w:val="superscript"/>
                      <w:lang w:val="en-US" w:eastAsia="zh-CN"/>
                    </w:rPr>
                    <w:t>-</w:t>
                  </w:r>
                  <w:r>
                    <w:rPr>
                      <w:rFonts w:hint="eastAsia" w:cs="Times New Roman"/>
                      <w:b w:val="0"/>
                      <w:bCs w:val="0"/>
                      <w:color w:val="auto"/>
                      <w:sz w:val="21"/>
                      <w:szCs w:val="21"/>
                      <w:vertAlign w:val="superscript"/>
                      <w:lang w:val="en-US" w:eastAsia="zh-CN"/>
                    </w:rPr>
                    <w:t>3</w:t>
                  </w:r>
                </w:p>
              </w:tc>
              <w:tc>
                <w:tcPr>
                  <w:tcW w:w="341" w:type="pct"/>
                  <w:noWrap w:val="0"/>
                  <w:vAlign w:val="center"/>
                </w:tcPr>
                <w:p w14:paraId="307146C7">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1.25</w:t>
                  </w:r>
                </w:p>
              </w:tc>
              <w:tc>
                <w:tcPr>
                  <w:tcW w:w="437" w:type="pct"/>
                  <w:shd w:val="clear" w:color="auto" w:fill="auto"/>
                  <w:noWrap w:val="0"/>
                  <w:vAlign w:val="center"/>
                </w:tcPr>
                <w:p w14:paraId="1C5AFB12">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120</w:t>
                  </w:r>
                </w:p>
              </w:tc>
            </w:tr>
            <w:tr w14:paraId="333B2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continue"/>
                  <w:noWrap w:val="0"/>
                  <w:vAlign w:val="center"/>
                </w:tcPr>
                <w:p w14:paraId="19331EE3">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cs="Times New Roman"/>
                      <w:color w:val="auto"/>
                      <w:sz w:val="21"/>
                      <w:szCs w:val="21"/>
                      <w:highlight w:val="none"/>
                      <w:lang w:val="en-US" w:eastAsia="zh-CN"/>
                    </w:rPr>
                  </w:pPr>
                </w:p>
              </w:tc>
              <w:tc>
                <w:tcPr>
                  <w:tcW w:w="286" w:type="pct"/>
                  <w:vMerge w:val="continue"/>
                  <w:noWrap w:val="0"/>
                  <w:vAlign w:val="center"/>
                </w:tcPr>
                <w:p w14:paraId="497F61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360" w:type="pct"/>
                  <w:shd w:val="clear" w:color="auto" w:fill="auto"/>
                  <w:noWrap w:val="0"/>
                  <w:vAlign w:val="center"/>
                </w:tcPr>
                <w:p w14:paraId="1CA3BA0B">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0.0058</w:t>
                  </w:r>
                </w:p>
              </w:tc>
              <w:tc>
                <w:tcPr>
                  <w:tcW w:w="338" w:type="pct"/>
                  <w:shd w:val="clear" w:color="auto" w:fill="auto"/>
                  <w:noWrap w:val="0"/>
                  <w:vAlign w:val="center"/>
                </w:tcPr>
                <w:p w14:paraId="00207B6C">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337" w:type="pct"/>
                  <w:shd w:val="clear" w:color="auto" w:fill="auto"/>
                  <w:noWrap w:val="0"/>
                  <w:vAlign w:val="center"/>
                </w:tcPr>
                <w:p w14:paraId="2B79DDB0">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无组织</w:t>
                  </w:r>
                </w:p>
              </w:tc>
              <w:tc>
                <w:tcPr>
                  <w:tcW w:w="584" w:type="pct"/>
                  <w:noWrap w:val="0"/>
                  <w:vAlign w:val="center"/>
                </w:tcPr>
                <w:p w14:paraId="75E4A15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335" w:type="pct"/>
                  <w:vMerge w:val="continue"/>
                  <w:noWrap w:val="0"/>
                  <w:vAlign w:val="center"/>
                </w:tcPr>
                <w:p w14:paraId="14B9BFE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276" w:type="pct"/>
                  <w:vMerge w:val="continue"/>
                  <w:noWrap w:val="0"/>
                  <w:vAlign w:val="center"/>
                </w:tcPr>
                <w:p w14:paraId="39FC8641">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271" w:type="pct"/>
                  <w:noWrap w:val="0"/>
                  <w:vAlign w:val="center"/>
                </w:tcPr>
                <w:p w14:paraId="157C757D">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w:t>
                  </w:r>
                </w:p>
              </w:tc>
              <w:tc>
                <w:tcPr>
                  <w:tcW w:w="365" w:type="pct"/>
                  <w:vMerge w:val="continue"/>
                  <w:noWrap w:val="0"/>
                  <w:vAlign w:val="center"/>
                </w:tcPr>
                <w:p w14:paraId="2EBA3090">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342" w:type="pct"/>
                  <w:noWrap w:val="0"/>
                  <w:vAlign w:val="center"/>
                </w:tcPr>
                <w:p w14:paraId="6A968D71">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0.0058</w:t>
                  </w:r>
                </w:p>
              </w:tc>
              <w:tc>
                <w:tcPr>
                  <w:tcW w:w="394" w:type="pct"/>
                  <w:noWrap w:val="0"/>
                  <w:vAlign w:val="center"/>
                </w:tcPr>
                <w:p w14:paraId="6AB4AD7B">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341" w:type="pct"/>
                  <w:noWrap w:val="0"/>
                  <w:vAlign w:val="center"/>
                </w:tcPr>
                <w:p w14:paraId="6D83D1CD">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437" w:type="pct"/>
                  <w:shd w:val="clear" w:color="auto" w:fill="auto"/>
                  <w:noWrap w:val="0"/>
                  <w:vAlign w:val="center"/>
                </w:tcPr>
                <w:p w14:paraId="68D3E16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4.0</w:t>
                  </w:r>
                </w:p>
              </w:tc>
            </w:tr>
            <w:tr w14:paraId="5B6D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restart"/>
                  <w:shd w:val="clear" w:color="auto" w:fill="auto"/>
                  <w:noWrap w:val="0"/>
                  <w:vAlign w:val="center"/>
                </w:tcPr>
                <w:p w14:paraId="3056F2F5">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脱胶</w:t>
                  </w:r>
                  <w:r>
                    <w:rPr>
                      <w:rFonts w:hint="default" w:ascii="Times New Roman" w:hAnsi="Times New Roman" w:eastAsia="宋体" w:cs="Times New Roman"/>
                      <w:color w:val="auto"/>
                      <w:sz w:val="21"/>
                      <w:szCs w:val="21"/>
                      <w:highlight w:val="none"/>
                      <w:lang w:val="en-US" w:eastAsia="zh-CN"/>
                    </w:rPr>
                    <w:t>、注塑</w:t>
                  </w:r>
                  <w:r>
                    <w:rPr>
                      <w:rFonts w:hint="eastAsia" w:cs="Times New Roman"/>
                      <w:color w:val="auto"/>
                      <w:sz w:val="21"/>
                      <w:szCs w:val="21"/>
                      <w:highlight w:val="none"/>
                      <w:lang w:val="en-US" w:eastAsia="zh-CN"/>
                    </w:rPr>
                    <w:t>、固化</w:t>
                  </w:r>
                </w:p>
              </w:tc>
              <w:tc>
                <w:tcPr>
                  <w:tcW w:w="286" w:type="pct"/>
                  <w:vMerge w:val="restart"/>
                  <w:shd w:val="clear" w:color="auto" w:fill="auto"/>
                  <w:noWrap w:val="0"/>
                  <w:vAlign w:val="center"/>
                </w:tcPr>
                <w:p w14:paraId="3FC2C1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挥发性有机物</w:t>
                  </w:r>
                </w:p>
              </w:tc>
              <w:tc>
                <w:tcPr>
                  <w:tcW w:w="360" w:type="pct"/>
                  <w:shd w:val="clear" w:color="auto" w:fill="auto"/>
                  <w:noWrap w:val="0"/>
                  <w:vAlign w:val="center"/>
                </w:tcPr>
                <w:p w14:paraId="788C6A8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0.952</w:t>
                  </w:r>
                </w:p>
              </w:tc>
              <w:tc>
                <w:tcPr>
                  <w:tcW w:w="338" w:type="pct"/>
                  <w:shd w:val="clear" w:color="auto" w:fill="auto"/>
                  <w:noWrap w:val="0"/>
                  <w:vAlign w:val="center"/>
                </w:tcPr>
                <w:p w14:paraId="651DDC5E">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22</w:t>
                  </w:r>
                </w:p>
              </w:tc>
              <w:tc>
                <w:tcPr>
                  <w:tcW w:w="337" w:type="pct"/>
                  <w:shd w:val="clear" w:color="auto" w:fill="auto"/>
                  <w:noWrap w:val="0"/>
                  <w:vAlign w:val="center"/>
                </w:tcPr>
                <w:p w14:paraId="5B264F43">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有组织</w:t>
                  </w:r>
                </w:p>
              </w:tc>
              <w:tc>
                <w:tcPr>
                  <w:tcW w:w="584" w:type="pct"/>
                  <w:shd w:val="clear" w:color="auto" w:fill="auto"/>
                  <w:noWrap w:val="0"/>
                  <w:vAlign w:val="center"/>
                </w:tcPr>
                <w:p w14:paraId="5CEE1283">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集气罩+二级活性炭吸附装置+15m高排气筒（DA003）</w:t>
                  </w:r>
                </w:p>
              </w:tc>
              <w:tc>
                <w:tcPr>
                  <w:tcW w:w="335" w:type="pct"/>
                  <w:vMerge w:val="restart"/>
                  <w:shd w:val="clear" w:color="auto" w:fill="auto"/>
                  <w:noWrap w:val="0"/>
                  <w:vAlign w:val="center"/>
                </w:tcPr>
                <w:p w14:paraId="7C48EEC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6000</w:t>
                  </w:r>
                </w:p>
                <w:p w14:paraId="0E556343">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m³/h</w:t>
                  </w:r>
                </w:p>
              </w:tc>
              <w:tc>
                <w:tcPr>
                  <w:tcW w:w="276" w:type="pct"/>
                  <w:vMerge w:val="restart"/>
                  <w:shd w:val="clear" w:color="auto" w:fill="auto"/>
                  <w:noWrap w:val="0"/>
                  <w:vAlign w:val="center"/>
                </w:tcPr>
                <w:p w14:paraId="6F8F1FAB">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90</w:t>
                  </w:r>
                  <w:r>
                    <w:rPr>
                      <w:rFonts w:hint="default" w:ascii="Times New Roman" w:hAnsi="Times New Roman" w:eastAsia="宋体" w:cs="Times New Roman"/>
                      <w:color w:val="auto"/>
                      <w:sz w:val="21"/>
                      <w:szCs w:val="21"/>
                      <w:highlight w:val="none"/>
                      <w:lang w:val="en-US" w:eastAsia="zh-CN"/>
                    </w:rPr>
                    <w:t>%</w:t>
                  </w:r>
                </w:p>
              </w:tc>
              <w:tc>
                <w:tcPr>
                  <w:tcW w:w="271" w:type="pct"/>
                  <w:shd w:val="clear" w:color="auto" w:fill="auto"/>
                  <w:noWrap w:val="0"/>
                  <w:vAlign w:val="center"/>
                </w:tcPr>
                <w:p w14:paraId="1B847A0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90</w:t>
                  </w:r>
                  <w:r>
                    <w:rPr>
                      <w:rFonts w:hint="default" w:ascii="Times New Roman" w:hAnsi="Times New Roman" w:eastAsia="宋体" w:cs="Times New Roman"/>
                      <w:color w:val="auto"/>
                      <w:sz w:val="21"/>
                      <w:szCs w:val="21"/>
                      <w:highlight w:val="none"/>
                      <w:lang w:val="en-US" w:eastAsia="zh-CN"/>
                    </w:rPr>
                    <w:t>%</w:t>
                  </w:r>
                </w:p>
              </w:tc>
              <w:tc>
                <w:tcPr>
                  <w:tcW w:w="365" w:type="pct"/>
                  <w:vMerge w:val="restart"/>
                  <w:shd w:val="clear" w:color="auto" w:fill="auto"/>
                  <w:noWrap w:val="0"/>
                  <w:vAlign w:val="center"/>
                </w:tcPr>
                <w:p w14:paraId="539500E2">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是</w:t>
                  </w:r>
                </w:p>
              </w:tc>
              <w:tc>
                <w:tcPr>
                  <w:tcW w:w="342" w:type="pct"/>
                  <w:noWrap w:val="0"/>
                  <w:vAlign w:val="center"/>
                </w:tcPr>
                <w:p w14:paraId="4B57867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0.0952</w:t>
                  </w:r>
                </w:p>
              </w:tc>
              <w:tc>
                <w:tcPr>
                  <w:tcW w:w="394" w:type="pct"/>
                  <w:noWrap w:val="0"/>
                  <w:vAlign w:val="center"/>
                </w:tcPr>
                <w:p w14:paraId="2024CE7A">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lang w:val="en-US" w:eastAsia="zh-CN"/>
                    </w:rPr>
                    <w:t>0.013</w:t>
                  </w:r>
                </w:p>
              </w:tc>
              <w:tc>
                <w:tcPr>
                  <w:tcW w:w="341" w:type="pct"/>
                  <w:noWrap w:val="0"/>
                  <w:vAlign w:val="center"/>
                </w:tcPr>
                <w:p w14:paraId="5184609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2.20</w:t>
                  </w:r>
                </w:p>
              </w:tc>
              <w:tc>
                <w:tcPr>
                  <w:tcW w:w="437" w:type="pct"/>
                  <w:shd w:val="clear" w:color="auto" w:fill="auto"/>
                  <w:noWrap w:val="0"/>
                  <w:vAlign w:val="center"/>
                </w:tcPr>
                <w:p w14:paraId="299591ED">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60</w:t>
                  </w:r>
                </w:p>
              </w:tc>
            </w:tr>
            <w:tr w14:paraId="75F7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continue"/>
                  <w:noWrap w:val="0"/>
                  <w:vAlign w:val="center"/>
                </w:tcPr>
                <w:p w14:paraId="0C23240F">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cs="Times New Roman"/>
                      <w:color w:val="auto"/>
                      <w:sz w:val="21"/>
                      <w:szCs w:val="21"/>
                      <w:highlight w:val="none"/>
                      <w:lang w:val="en-US" w:eastAsia="zh-CN"/>
                    </w:rPr>
                  </w:pPr>
                </w:p>
              </w:tc>
              <w:tc>
                <w:tcPr>
                  <w:tcW w:w="286" w:type="pct"/>
                  <w:vMerge w:val="continue"/>
                  <w:noWrap w:val="0"/>
                  <w:vAlign w:val="center"/>
                </w:tcPr>
                <w:p w14:paraId="19C796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360" w:type="pct"/>
                  <w:shd w:val="clear" w:color="auto" w:fill="auto"/>
                  <w:noWrap w:val="0"/>
                  <w:vAlign w:val="center"/>
                </w:tcPr>
                <w:p w14:paraId="0CD4AB01">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0.1064</w:t>
                  </w:r>
                </w:p>
              </w:tc>
              <w:tc>
                <w:tcPr>
                  <w:tcW w:w="338" w:type="pct"/>
                  <w:shd w:val="clear" w:color="auto" w:fill="auto"/>
                  <w:noWrap w:val="0"/>
                  <w:vAlign w:val="center"/>
                </w:tcPr>
                <w:p w14:paraId="6A0E5B9D">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337" w:type="pct"/>
                  <w:shd w:val="clear" w:color="auto" w:fill="auto"/>
                  <w:noWrap w:val="0"/>
                  <w:vAlign w:val="center"/>
                </w:tcPr>
                <w:p w14:paraId="571ED09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无组织</w:t>
                  </w:r>
                </w:p>
              </w:tc>
              <w:tc>
                <w:tcPr>
                  <w:tcW w:w="584" w:type="pct"/>
                  <w:noWrap w:val="0"/>
                  <w:vAlign w:val="center"/>
                </w:tcPr>
                <w:p w14:paraId="3BD29B4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335" w:type="pct"/>
                  <w:vMerge w:val="continue"/>
                  <w:noWrap w:val="0"/>
                  <w:vAlign w:val="center"/>
                </w:tcPr>
                <w:p w14:paraId="7410302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276" w:type="pct"/>
                  <w:vMerge w:val="continue"/>
                  <w:noWrap w:val="0"/>
                  <w:vAlign w:val="center"/>
                </w:tcPr>
                <w:p w14:paraId="60B87659">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271" w:type="pct"/>
                  <w:noWrap w:val="0"/>
                  <w:vAlign w:val="center"/>
                </w:tcPr>
                <w:p w14:paraId="356C1E4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w:t>
                  </w:r>
                </w:p>
              </w:tc>
              <w:tc>
                <w:tcPr>
                  <w:tcW w:w="365" w:type="pct"/>
                  <w:vMerge w:val="continue"/>
                  <w:noWrap w:val="0"/>
                  <w:vAlign w:val="center"/>
                </w:tcPr>
                <w:p w14:paraId="1EEC36F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342" w:type="pct"/>
                  <w:noWrap w:val="0"/>
                  <w:vAlign w:val="center"/>
                </w:tcPr>
                <w:p w14:paraId="23D299A0">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0.1064</w:t>
                  </w:r>
                </w:p>
              </w:tc>
              <w:tc>
                <w:tcPr>
                  <w:tcW w:w="394" w:type="pct"/>
                  <w:noWrap w:val="0"/>
                  <w:vAlign w:val="center"/>
                </w:tcPr>
                <w:p w14:paraId="70FC62C1">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341" w:type="pct"/>
                  <w:noWrap w:val="0"/>
                  <w:vAlign w:val="center"/>
                </w:tcPr>
                <w:p w14:paraId="6E918280">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437" w:type="pct"/>
                  <w:shd w:val="clear" w:color="auto" w:fill="auto"/>
                  <w:noWrap w:val="0"/>
                  <w:vAlign w:val="center"/>
                </w:tcPr>
                <w:p w14:paraId="16D3C72A">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4.0</w:t>
                  </w:r>
                </w:p>
              </w:tc>
            </w:tr>
            <w:tr w14:paraId="0328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restart"/>
                  <w:shd w:val="clear" w:color="auto" w:fill="auto"/>
                  <w:noWrap w:val="0"/>
                  <w:vAlign w:val="center"/>
                </w:tcPr>
                <w:p w14:paraId="0AB52323">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脱胶</w:t>
                  </w:r>
                  <w:r>
                    <w:rPr>
                      <w:rFonts w:hint="default" w:ascii="Times New Roman" w:hAnsi="Times New Roman" w:eastAsia="宋体" w:cs="Times New Roman"/>
                      <w:color w:val="auto"/>
                      <w:sz w:val="21"/>
                      <w:szCs w:val="21"/>
                      <w:highlight w:val="none"/>
                      <w:lang w:val="en-US" w:eastAsia="zh-CN"/>
                    </w:rPr>
                    <w:t>、注塑</w:t>
                  </w:r>
                </w:p>
              </w:tc>
              <w:tc>
                <w:tcPr>
                  <w:tcW w:w="286" w:type="pct"/>
                  <w:vMerge w:val="restart"/>
                  <w:shd w:val="clear" w:color="auto" w:fill="auto"/>
                  <w:noWrap w:val="0"/>
                  <w:vAlign w:val="center"/>
                </w:tcPr>
                <w:p w14:paraId="05592A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挥发性有机物</w:t>
                  </w:r>
                </w:p>
              </w:tc>
              <w:tc>
                <w:tcPr>
                  <w:tcW w:w="360" w:type="pct"/>
                  <w:shd w:val="clear" w:color="auto" w:fill="auto"/>
                  <w:noWrap w:val="0"/>
                  <w:vAlign w:val="center"/>
                </w:tcPr>
                <w:p w14:paraId="6F5D2797">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0.768</w:t>
                  </w:r>
                </w:p>
              </w:tc>
              <w:tc>
                <w:tcPr>
                  <w:tcW w:w="338" w:type="pct"/>
                  <w:shd w:val="clear" w:color="auto" w:fill="auto"/>
                  <w:noWrap w:val="0"/>
                  <w:vAlign w:val="center"/>
                </w:tcPr>
                <w:p w14:paraId="7F7C9C77">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17.78</w:t>
                  </w:r>
                </w:p>
              </w:tc>
              <w:tc>
                <w:tcPr>
                  <w:tcW w:w="337" w:type="pct"/>
                  <w:shd w:val="clear" w:color="auto" w:fill="auto"/>
                  <w:noWrap w:val="0"/>
                  <w:vAlign w:val="center"/>
                </w:tcPr>
                <w:p w14:paraId="390B0F8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有组织</w:t>
                  </w:r>
                </w:p>
              </w:tc>
              <w:tc>
                <w:tcPr>
                  <w:tcW w:w="584" w:type="pct"/>
                  <w:shd w:val="clear" w:color="auto" w:fill="auto"/>
                  <w:noWrap w:val="0"/>
                  <w:vAlign w:val="center"/>
                </w:tcPr>
                <w:p w14:paraId="67B8C438">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集气罩+二级活性炭吸附装置+15m高排气筒（DA004）</w:t>
                  </w:r>
                </w:p>
              </w:tc>
              <w:tc>
                <w:tcPr>
                  <w:tcW w:w="335" w:type="pct"/>
                  <w:vMerge w:val="restart"/>
                  <w:shd w:val="clear" w:color="auto" w:fill="auto"/>
                  <w:noWrap w:val="0"/>
                  <w:vAlign w:val="center"/>
                </w:tcPr>
                <w:p w14:paraId="35C0B6A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6000</w:t>
                  </w:r>
                </w:p>
                <w:p w14:paraId="70309A4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m³/h</w:t>
                  </w:r>
                </w:p>
              </w:tc>
              <w:tc>
                <w:tcPr>
                  <w:tcW w:w="276" w:type="pct"/>
                  <w:vMerge w:val="restart"/>
                  <w:shd w:val="clear" w:color="auto" w:fill="auto"/>
                  <w:noWrap w:val="0"/>
                  <w:vAlign w:val="center"/>
                </w:tcPr>
                <w:p w14:paraId="053A3D09">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90</w:t>
                  </w:r>
                  <w:r>
                    <w:rPr>
                      <w:rFonts w:hint="default" w:ascii="Times New Roman" w:hAnsi="Times New Roman" w:eastAsia="宋体" w:cs="Times New Roman"/>
                      <w:color w:val="auto"/>
                      <w:sz w:val="21"/>
                      <w:szCs w:val="21"/>
                      <w:highlight w:val="none"/>
                      <w:lang w:val="en-US" w:eastAsia="zh-CN"/>
                    </w:rPr>
                    <w:t>%</w:t>
                  </w:r>
                </w:p>
              </w:tc>
              <w:tc>
                <w:tcPr>
                  <w:tcW w:w="271" w:type="pct"/>
                  <w:shd w:val="clear" w:color="auto" w:fill="auto"/>
                  <w:noWrap w:val="0"/>
                  <w:vAlign w:val="center"/>
                </w:tcPr>
                <w:p w14:paraId="7068852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90</w:t>
                  </w:r>
                  <w:r>
                    <w:rPr>
                      <w:rFonts w:hint="default" w:ascii="Times New Roman" w:hAnsi="Times New Roman" w:eastAsia="宋体" w:cs="Times New Roman"/>
                      <w:color w:val="auto"/>
                      <w:sz w:val="21"/>
                      <w:szCs w:val="21"/>
                      <w:highlight w:val="none"/>
                      <w:lang w:val="en-US" w:eastAsia="zh-CN"/>
                    </w:rPr>
                    <w:t>%</w:t>
                  </w:r>
                </w:p>
              </w:tc>
              <w:tc>
                <w:tcPr>
                  <w:tcW w:w="365" w:type="pct"/>
                  <w:vMerge w:val="restart"/>
                  <w:shd w:val="clear" w:color="auto" w:fill="auto"/>
                  <w:noWrap w:val="0"/>
                  <w:vAlign w:val="center"/>
                </w:tcPr>
                <w:p w14:paraId="5041049D">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是</w:t>
                  </w:r>
                </w:p>
              </w:tc>
              <w:tc>
                <w:tcPr>
                  <w:tcW w:w="342" w:type="pct"/>
                  <w:noWrap w:val="0"/>
                  <w:vAlign w:val="center"/>
                </w:tcPr>
                <w:p w14:paraId="2332E953">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0.0768</w:t>
                  </w:r>
                </w:p>
              </w:tc>
              <w:tc>
                <w:tcPr>
                  <w:tcW w:w="394" w:type="pct"/>
                  <w:noWrap w:val="0"/>
                  <w:vAlign w:val="center"/>
                </w:tcPr>
                <w:p w14:paraId="595119FB">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lang w:val="en-US" w:eastAsia="zh-CN"/>
                    </w:rPr>
                    <w:t>0.011</w:t>
                  </w:r>
                </w:p>
              </w:tc>
              <w:tc>
                <w:tcPr>
                  <w:tcW w:w="341" w:type="pct"/>
                  <w:noWrap w:val="0"/>
                  <w:vAlign w:val="center"/>
                </w:tcPr>
                <w:p w14:paraId="35167868">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1.78</w:t>
                  </w:r>
                </w:p>
              </w:tc>
              <w:tc>
                <w:tcPr>
                  <w:tcW w:w="437" w:type="pct"/>
                  <w:shd w:val="clear" w:color="auto" w:fill="auto"/>
                  <w:noWrap w:val="0"/>
                  <w:vAlign w:val="center"/>
                </w:tcPr>
                <w:p w14:paraId="31FE6C68">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60</w:t>
                  </w:r>
                </w:p>
              </w:tc>
            </w:tr>
            <w:tr w14:paraId="48ED4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continue"/>
                  <w:noWrap w:val="0"/>
                  <w:vAlign w:val="center"/>
                </w:tcPr>
                <w:p w14:paraId="143F4F41">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cs="Times New Roman"/>
                      <w:color w:val="auto"/>
                      <w:sz w:val="21"/>
                      <w:szCs w:val="21"/>
                      <w:highlight w:val="none"/>
                      <w:lang w:val="en-US" w:eastAsia="zh-CN"/>
                    </w:rPr>
                  </w:pPr>
                </w:p>
              </w:tc>
              <w:tc>
                <w:tcPr>
                  <w:tcW w:w="286" w:type="pct"/>
                  <w:vMerge w:val="continue"/>
                  <w:noWrap w:val="0"/>
                  <w:vAlign w:val="center"/>
                </w:tcPr>
                <w:p w14:paraId="18CE3D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360" w:type="pct"/>
                  <w:shd w:val="clear" w:color="auto" w:fill="auto"/>
                  <w:noWrap w:val="0"/>
                  <w:vAlign w:val="center"/>
                </w:tcPr>
                <w:p w14:paraId="06DD7CF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0.086</w:t>
                  </w:r>
                </w:p>
              </w:tc>
              <w:tc>
                <w:tcPr>
                  <w:tcW w:w="338" w:type="pct"/>
                  <w:shd w:val="clear" w:color="auto" w:fill="auto"/>
                  <w:noWrap w:val="0"/>
                  <w:vAlign w:val="center"/>
                </w:tcPr>
                <w:p w14:paraId="04FA0365">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337" w:type="pct"/>
                  <w:shd w:val="clear" w:color="auto" w:fill="auto"/>
                  <w:noWrap w:val="0"/>
                  <w:vAlign w:val="center"/>
                </w:tcPr>
                <w:p w14:paraId="2EEE5541">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无组织</w:t>
                  </w:r>
                </w:p>
              </w:tc>
              <w:tc>
                <w:tcPr>
                  <w:tcW w:w="584" w:type="pct"/>
                  <w:noWrap w:val="0"/>
                  <w:vAlign w:val="center"/>
                </w:tcPr>
                <w:p w14:paraId="57514F21">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335" w:type="pct"/>
                  <w:vMerge w:val="continue"/>
                  <w:noWrap w:val="0"/>
                  <w:vAlign w:val="center"/>
                </w:tcPr>
                <w:p w14:paraId="75641035">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276" w:type="pct"/>
                  <w:vMerge w:val="continue"/>
                  <w:noWrap w:val="0"/>
                  <w:vAlign w:val="center"/>
                </w:tcPr>
                <w:p w14:paraId="10205369">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271" w:type="pct"/>
                  <w:noWrap w:val="0"/>
                  <w:vAlign w:val="center"/>
                </w:tcPr>
                <w:p w14:paraId="507BAA42">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w:t>
                  </w:r>
                </w:p>
              </w:tc>
              <w:tc>
                <w:tcPr>
                  <w:tcW w:w="365" w:type="pct"/>
                  <w:vMerge w:val="continue"/>
                  <w:noWrap w:val="0"/>
                  <w:vAlign w:val="center"/>
                </w:tcPr>
                <w:p w14:paraId="05302A5D">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342" w:type="pct"/>
                  <w:noWrap w:val="0"/>
                  <w:vAlign w:val="center"/>
                </w:tcPr>
                <w:p w14:paraId="0313894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0.086</w:t>
                  </w:r>
                </w:p>
              </w:tc>
              <w:tc>
                <w:tcPr>
                  <w:tcW w:w="394" w:type="pct"/>
                  <w:noWrap w:val="0"/>
                  <w:vAlign w:val="center"/>
                </w:tcPr>
                <w:p w14:paraId="499A37B5">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341" w:type="pct"/>
                  <w:noWrap w:val="0"/>
                  <w:vAlign w:val="center"/>
                </w:tcPr>
                <w:p w14:paraId="551D3EA9">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437" w:type="pct"/>
                  <w:shd w:val="clear" w:color="auto" w:fill="auto"/>
                  <w:noWrap w:val="0"/>
                  <w:vAlign w:val="center"/>
                </w:tcPr>
                <w:p w14:paraId="6C1D4BE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4.0</w:t>
                  </w:r>
                </w:p>
              </w:tc>
            </w:tr>
            <w:tr w14:paraId="0089A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restart"/>
                  <w:shd w:val="clear" w:color="auto" w:fill="auto"/>
                  <w:noWrap w:val="0"/>
                  <w:vAlign w:val="center"/>
                </w:tcPr>
                <w:p w14:paraId="3E0807F3">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喷塑</w:t>
                  </w:r>
                </w:p>
              </w:tc>
              <w:tc>
                <w:tcPr>
                  <w:tcW w:w="286" w:type="pct"/>
                  <w:vMerge w:val="restart"/>
                  <w:shd w:val="clear" w:color="auto" w:fill="auto"/>
                  <w:noWrap w:val="0"/>
                  <w:vAlign w:val="center"/>
                </w:tcPr>
                <w:p w14:paraId="36EC075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颗粒物</w:t>
                  </w:r>
                </w:p>
              </w:tc>
              <w:tc>
                <w:tcPr>
                  <w:tcW w:w="360" w:type="pct"/>
                  <w:shd w:val="clear" w:color="auto" w:fill="auto"/>
                  <w:noWrap w:val="0"/>
                  <w:vAlign w:val="center"/>
                </w:tcPr>
                <w:p w14:paraId="4EA50FFD">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0.57</w:t>
                  </w:r>
                </w:p>
              </w:tc>
              <w:tc>
                <w:tcPr>
                  <w:tcW w:w="338" w:type="pct"/>
                  <w:shd w:val="clear" w:color="auto" w:fill="auto"/>
                  <w:noWrap w:val="0"/>
                  <w:vAlign w:val="center"/>
                </w:tcPr>
                <w:p w14:paraId="1B5F125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79.17</w:t>
                  </w:r>
                </w:p>
              </w:tc>
              <w:tc>
                <w:tcPr>
                  <w:tcW w:w="337" w:type="pct"/>
                  <w:shd w:val="clear" w:color="auto" w:fill="auto"/>
                  <w:noWrap w:val="0"/>
                  <w:vAlign w:val="center"/>
                </w:tcPr>
                <w:p w14:paraId="3FB149C8">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有组织</w:t>
                  </w:r>
                </w:p>
              </w:tc>
              <w:tc>
                <w:tcPr>
                  <w:tcW w:w="584" w:type="pct"/>
                  <w:shd w:val="clear" w:color="auto" w:fill="auto"/>
                  <w:noWrap w:val="0"/>
                  <w:vAlign w:val="center"/>
                </w:tcPr>
                <w:p w14:paraId="3DB04D59">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侧向集气罩+布袋除尘器+15m高排气筒（DA005）</w:t>
                  </w:r>
                </w:p>
              </w:tc>
              <w:tc>
                <w:tcPr>
                  <w:tcW w:w="335" w:type="pct"/>
                  <w:vMerge w:val="restart"/>
                  <w:shd w:val="clear" w:color="auto" w:fill="auto"/>
                  <w:noWrap w:val="0"/>
                  <w:vAlign w:val="center"/>
                </w:tcPr>
                <w:p w14:paraId="18858E69">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3000</w:t>
                  </w:r>
                </w:p>
                <w:p w14:paraId="20C756F1">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m³/h</w:t>
                  </w:r>
                </w:p>
              </w:tc>
              <w:tc>
                <w:tcPr>
                  <w:tcW w:w="276" w:type="pct"/>
                  <w:vMerge w:val="restart"/>
                  <w:shd w:val="clear" w:color="auto" w:fill="auto"/>
                  <w:noWrap w:val="0"/>
                  <w:vAlign w:val="center"/>
                </w:tcPr>
                <w:p w14:paraId="0BCA0C45">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95</w:t>
                  </w:r>
                  <w:r>
                    <w:rPr>
                      <w:rFonts w:hint="default" w:ascii="Times New Roman" w:hAnsi="Times New Roman" w:eastAsia="宋体" w:cs="Times New Roman"/>
                      <w:color w:val="auto"/>
                      <w:sz w:val="21"/>
                      <w:szCs w:val="21"/>
                      <w:highlight w:val="none"/>
                      <w:lang w:val="en-US" w:eastAsia="zh-CN"/>
                    </w:rPr>
                    <w:t>%</w:t>
                  </w:r>
                </w:p>
              </w:tc>
              <w:tc>
                <w:tcPr>
                  <w:tcW w:w="271" w:type="pct"/>
                  <w:shd w:val="clear" w:color="auto" w:fill="auto"/>
                  <w:noWrap w:val="0"/>
                  <w:vAlign w:val="center"/>
                </w:tcPr>
                <w:p w14:paraId="38F76F75">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95</w:t>
                  </w:r>
                  <w:r>
                    <w:rPr>
                      <w:rFonts w:hint="default" w:ascii="Times New Roman" w:hAnsi="Times New Roman" w:eastAsia="宋体" w:cs="Times New Roman"/>
                      <w:color w:val="auto"/>
                      <w:sz w:val="21"/>
                      <w:szCs w:val="21"/>
                      <w:highlight w:val="none"/>
                      <w:lang w:val="en-US" w:eastAsia="zh-CN"/>
                    </w:rPr>
                    <w:t>%</w:t>
                  </w:r>
                </w:p>
              </w:tc>
              <w:tc>
                <w:tcPr>
                  <w:tcW w:w="365" w:type="pct"/>
                  <w:vMerge w:val="restart"/>
                  <w:shd w:val="clear" w:color="auto" w:fill="auto"/>
                  <w:noWrap w:val="0"/>
                  <w:vAlign w:val="center"/>
                </w:tcPr>
                <w:p w14:paraId="4B540157">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是</w:t>
                  </w:r>
                </w:p>
              </w:tc>
              <w:tc>
                <w:tcPr>
                  <w:tcW w:w="342" w:type="pct"/>
                  <w:noWrap w:val="0"/>
                  <w:vAlign w:val="center"/>
                </w:tcPr>
                <w:p w14:paraId="162B9E8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0.029</w:t>
                  </w:r>
                </w:p>
              </w:tc>
              <w:tc>
                <w:tcPr>
                  <w:tcW w:w="394" w:type="pct"/>
                  <w:noWrap w:val="0"/>
                  <w:vAlign w:val="center"/>
                </w:tcPr>
                <w:p w14:paraId="7BBF9B2A">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4.03</w:t>
                  </w:r>
                </w:p>
              </w:tc>
              <w:tc>
                <w:tcPr>
                  <w:tcW w:w="341" w:type="pct"/>
                  <w:noWrap w:val="0"/>
                  <w:vAlign w:val="center"/>
                </w:tcPr>
                <w:p w14:paraId="4AE08B22">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437" w:type="pct"/>
                  <w:shd w:val="clear" w:color="auto" w:fill="auto"/>
                  <w:noWrap w:val="0"/>
                  <w:vAlign w:val="center"/>
                </w:tcPr>
                <w:p w14:paraId="0E15DAB3">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120</w:t>
                  </w:r>
                </w:p>
              </w:tc>
            </w:tr>
            <w:tr w14:paraId="3E78D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continue"/>
                  <w:noWrap w:val="0"/>
                  <w:vAlign w:val="center"/>
                </w:tcPr>
                <w:p w14:paraId="6CCC8848">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cs="Times New Roman"/>
                      <w:color w:val="auto"/>
                      <w:sz w:val="21"/>
                      <w:szCs w:val="21"/>
                      <w:highlight w:val="none"/>
                      <w:lang w:val="en-US" w:eastAsia="zh-CN"/>
                    </w:rPr>
                  </w:pPr>
                </w:p>
              </w:tc>
              <w:tc>
                <w:tcPr>
                  <w:tcW w:w="286" w:type="pct"/>
                  <w:vMerge w:val="continue"/>
                  <w:noWrap w:val="0"/>
                  <w:vAlign w:val="center"/>
                </w:tcPr>
                <w:p w14:paraId="789D73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360" w:type="pct"/>
                  <w:shd w:val="clear" w:color="auto" w:fill="auto"/>
                  <w:noWrap w:val="0"/>
                  <w:vAlign w:val="center"/>
                </w:tcPr>
                <w:p w14:paraId="0399D81C">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0.03</w:t>
                  </w:r>
                </w:p>
              </w:tc>
              <w:tc>
                <w:tcPr>
                  <w:tcW w:w="338" w:type="pct"/>
                  <w:shd w:val="clear" w:color="auto" w:fill="auto"/>
                  <w:noWrap w:val="0"/>
                  <w:vAlign w:val="center"/>
                </w:tcPr>
                <w:p w14:paraId="6E36644E">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337" w:type="pct"/>
                  <w:shd w:val="clear" w:color="auto" w:fill="auto"/>
                  <w:noWrap w:val="0"/>
                  <w:vAlign w:val="center"/>
                </w:tcPr>
                <w:p w14:paraId="392EC651">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无组织</w:t>
                  </w:r>
                </w:p>
              </w:tc>
              <w:tc>
                <w:tcPr>
                  <w:tcW w:w="584" w:type="pct"/>
                  <w:noWrap w:val="0"/>
                  <w:vAlign w:val="center"/>
                </w:tcPr>
                <w:p w14:paraId="4860371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335" w:type="pct"/>
                  <w:vMerge w:val="continue"/>
                  <w:noWrap w:val="0"/>
                  <w:vAlign w:val="center"/>
                </w:tcPr>
                <w:p w14:paraId="104B4597">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276" w:type="pct"/>
                  <w:vMerge w:val="continue"/>
                  <w:noWrap w:val="0"/>
                  <w:vAlign w:val="center"/>
                </w:tcPr>
                <w:p w14:paraId="05A27067">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271" w:type="pct"/>
                  <w:noWrap w:val="0"/>
                  <w:vAlign w:val="center"/>
                </w:tcPr>
                <w:p w14:paraId="5195A2C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w:t>
                  </w:r>
                </w:p>
              </w:tc>
              <w:tc>
                <w:tcPr>
                  <w:tcW w:w="365" w:type="pct"/>
                  <w:vMerge w:val="continue"/>
                  <w:noWrap w:val="0"/>
                  <w:vAlign w:val="center"/>
                </w:tcPr>
                <w:p w14:paraId="6C9DE1C8">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342" w:type="pct"/>
                  <w:noWrap w:val="0"/>
                  <w:vAlign w:val="center"/>
                </w:tcPr>
                <w:p w14:paraId="728D3489">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0.03</w:t>
                  </w:r>
                </w:p>
              </w:tc>
              <w:tc>
                <w:tcPr>
                  <w:tcW w:w="394" w:type="pct"/>
                  <w:noWrap w:val="0"/>
                  <w:vAlign w:val="center"/>
                </w:tcPr>
                <w:p w14:paraId="3D30D76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341" w:type="pct"/>
                  <w:noWrap w:val="0"/>
                  <w:vAlign w:val="center"/>
                </w:tcPr>
                <w:p w14:paraId="1AA84A7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437" w:type="pct"/>
                  <w:shd w:val="clear" w:color="auto" w:fill="auto"/>
                  <w:noWrap w:val="0"/>
                  <w:vAlign w:val="center"/>
                </w:tcPr>
                <w:p w14:paraId="53E3FC49">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1.0</w:t>
                  </w:r>
                </w:p>
              </w:tc>
            </w:tr>
          </w:tbl>
          <w:p w14:paraId="2DFAC6D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hint="eastAsia"/>
                <w:b/>
                <w:bCs/>
                <w:snapToGrid/>
                <w:color w:val="auto"/>
                <w:spacing w:val="0"/>
                <w:kern w:val="0"/>
                <w:position w:val="0"/>
                <w:sz w:val="24"/>
                <w:szCs w:val="24"/>
                <w:lang w:val="en-US" w:eastAsia="zh-CN"/>
              </w:rPr>
            </w:pPr>
          </w:p>
          <w:p w14:paraId="2D798C6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hint="eastAsia"/>
                <w:b/>
                <w:bCs/>
                <w:snapToGrid/>
                <w:color w:val="auto"/>
                <w:spacing w:val="0"/>
                <w:kern w:val="0"/>
                <w:position w:val="0"/>
                <w:sz w:val="24"/>
                <w:szCs w:val="24"/>
                <w:lang w:val="en-US" w:eastAsia="zh-CN"/>
              </w:rPr>
            </w:pPr>
          </w:p>
          <w:p w14:paraId="59BE1DA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hint="eastAsia"/>
                <w:b/>
                <w:bCs/>
                <w:snapToGrid/>
                <w:color w:val="auto"/>
                <w:spacing w:val="0"/>
                <w:kern w:val="0"/>
                <w:position w:val="0"/>
                <w:sz w:val="24"/>
                <w:szCs w:val="24"/>
                <w:lang w:val="en-US" w:eastAsia="zh-CN"/>
              </w:rPr>
            </w:pPr>
          </w:p>
          <w:p w14:paraId="796B185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hint="eastAsia"/>
                <w:b/>
                <w:bCs/>
                <w:snapToGrid/>
                <w:color w:val="auto"/>
                <w:spacing w:val="0"/>
                <w:kern w:val="0"/>
                <w:position w:val="0"/>
                <w:sz w:val="24"/>
                <w:szCs w:val="24"/>
                <w:lang w:val="en-US" w:eastAsia="zh-CN"/>
              </w:rPr>
            </w:pPr>
          </w:p>
          <w:p w14:paraId="08634C1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hint="eastAsia"/>
                <w:b/>
                <w:bCs/>
                <w:snapToGrid/>
                <w:color w:val="auto"/>
                <w:spacing w:val="0"/>
                <w:kern w:val="0"/>
                <w:position w:val="0"/>
                <w:sz w:val="24"/>
                <w:szCs w:val="24"/>
                <w:lang w:val="en-US" w:eastAsia="zh-CN"/>
              </w:rPr>
            </w:pPr>
          </w:p>
          <w:p w14:paraId="13B33D8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hint="eastAsia"/>
                <w:b/>
                <w:bCs/>
                <w:snapToGrid/>
                <w:color w:val="auto"/>
                <w:spacing w:val="0"/>
                <w:kern w:val="0"/>
                <w:position w:val="0"/>
                <w:sz w:val="24"/>
                <w:szCs w:val="24"/>
                <w:lang w:val="en-US" w:eastAsia="zh-CN"/>
              </w:rPr>
            </w:pPr>
          </w:p>
          <w:p w14:paraId="3094519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hint="eastAsia"/>
                <w:b/>
                <w:bCs/>
                <w:snapToGrid/>
                <w:color w:val="auto"/>
                <w:spacing w:val="0"/>
                <w:kern w:val="0"/>
                <w:position w:val="0"/>
                <w:sz w:val="24"/>
                <w:szCs w:val="24"/>
                <w:lang w:val="en-US" w:eastAsia="zh-CN"/>
              </w:rPr>
            </w:pPr>
          </w:p>
          <w:p w14:paraId="3DAE797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hint="eastAsia"/>
                <w:b/>
                <w:bCs/>
                <w:snapToGrid/>
                <w:color w:val="auto"/>
                <w:spacing w:val="0"/>
                <w:kern w:val="0"/>
                <w:position w:val="0"/>
                <w:sz w:val="24"/>
                <w:szCs w:val="24"/>
                <w:lang w:val="en-US" w:eastAsia="zh-CN"/>
              </w:rPr>
            </w:pPr>
          </w:p>
          <w:p w14:paraId="7B600FB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hint="eastAsia"/>
                <w:b/>
                <w:bCs/>
                <w:snapToGrid/>
                <w:color w:val="auto"/>
                <w:spacing w:val="0"/>
                <w:kern w:val="0"/>
                <w:position w:val="0"/>
                <w:sz w:val="24"/>
                <w:szCs w:val="24"/>
                <w:lang w:val="en-US" w:eastAsia="zh-CN"/>
              </w:rPr>
            </w:pPr>
          </w:p>
          <w:p w14:paraId="5ABF902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hint="eastAsia"/>
                <w:b/>
                <w:bCs/>
                <w:snapToGrid/>
                <w:color w:val="auto"/>
                <w:spacing w:val="0"/>
                <w:kern w:val="0"/>
                <w:position w:val="0"/>
                <w:sz w:val="24"/>
                <w:szCs w:val="24"/>
                <w:lang w:val="en-US" w:eastAsia="zh-CN"/>
              </w:rPr>
            </w:pPr>
          </w:p>
          <w:p w14:paraId="4E6B5BA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hint="default"/>
                <w:b/>
                <w:bCs/>
                <w:snapToGrid/>
                <w:color w:val="auto"/>
                <w:spacing w:val="0"/>
                <w:kern w:val="0"/>
                <w:position w:val="0"/>
                <w:sz w:val="24"/>
                <w:szCs w:val="24"/>
                <w:lang w:val="en-US" w:eastAsia="zh-CN"/>
              </w:rPr>
            </w:pPr>
            <w:r>
              <w:rPr>
                <w:rFonts w:hint="eastAsia"/>
                <w:b/>
                <w:bCs/>
                <w:snapToGrid/>
                <w:color w:val="auto"/>
                <w:spacing w:val="0"/>
                <w:kern w:val="0"/>
                <w:position w:val="0"/>
                <w:sz w:val="24"/>
                <w:szCs w:val="24"/>
                <w:lang w:val="en-US" w:eastAsia="zh-CN"/>
              </w:rPr>
              <w:t>排气口设置及监测计划</w:t>
            </w:r>
          </w:p>
          <w:p w14:paraId="7FEAA3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snapToGrid/>
                <w:color w:val="auto"/>
                <w:spacing w:val="0"/>
                <w:kern w:val="0"/>
                <w:position w:val="0"/>
                <w:sz w:val="24"/>
                <w:szCs w:val="24"/>
                <w:lang w:val="en-US" w:eastAsia="zh-CN"/>
              </w:rPr>
            </w:pPr>
            <w:r>
              <w:rPr>
                <w:rFonts w:hint="eastAsia"/>
                <w:snapToGrid/>
                <w:color w:val="auto"/>
                <w:spacing w:val="0"/>
                <w:kern w:val="0"/>
                <w:position w:val="0"/>
                <w:sz w:val="24"/>
                <w:szCs w:val="24"/>
                <w:lang w:val="en-US" w:eastAsia="zh-CN"/>
              </w:rPr>
              <w:t>根据</w:t>
            </w:r>
            <w:r>
              <w:rPr>
                <w:rFonts w:hint="eastAsia"/>
                <w:color w:val="auto"/>
                <w:sz w:val="24"/>
                <w:szCs w:val="24"/>
                <w:lang w:val="en-US" w:eastAsia="zh-CN"/>
              </w:rPr>
              <w:t>《排污单位自行监测技术指南 总则》（HJ819-2017）</w:t>
            </w:r>
            <w:r>
              <w:rPr>
                <w:rFonts w:hint="eastAsia"/>
                <w:snapToGrid/>
                <w:color w:val="auto"/>
                <w:spacing w:val="0"/>
                <w:kern w:val="0"/>
                <w:position w:val="0"/>
                <w:sz w:val="24"/>
                <w:szCs w:val="24"/>
                <w:lang w:val="en-US" w:eastAsia="zh-CN"/>
              </w:rPr>
              <w:t>，制定本项目大气监测计划：</w:t>
            </w:r>
          </w:p>
          <w:p w14:paraId="1758F06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b/>
                <w:bCs/>
                <w:snapToGrid/>
                <w:color w:val="auto"/>
                <w:spacing w:val="0"/>
                <w:kern w:val="0"/>
                <w:position w:val="0"/>
                <w:sz w:val="24"/>
                <w:szCs w:val="24"/>
                <w:lang w:val="en-US" w:eastAsia="zh-CN"/>
              </w:rPr>
            </w:pPr>
            <w:r>
              <w:rPr>
                <w:rFonts w:hint="default"/>
                <w:b/>
                <w:bCs/>
                <w:snapToGrid/>
                <w:color w:val="auto"/>
                <w:spacing w:val="0"/>
                <w:kern w:val="0"/>
                <w:position w:val="0"/>
                <w:sz w:val="24"/>
                <w:szCs w:val="24"/>
                <w:lang w:val="en-US" w:eastAsia="zh-CN"/>
              </w:rPr>
              <w:t>表4.</w:t>
            </w:r>
            <w:r>
              <w:rPr>
                <w:rFonts w:hint="eastAsia"/>
                <w:b/>
                <w:bCs/>
                <w:snapToGrid/>
                <w:color w:val="auto"/>
                <w:spacing w:val="0"/>
                <w:kern w:val="0"/>
                <w:position w:val="0"/>
                <w:sz w:val="24"/>
                <w:szCs w:val="24"/>
                <w:lang w:val="en-US" w:eastAsia="zh-CN"/>
              </w:rPr>
              <w:t>6</w:t>
            </w:r>
            <w:r>
              <w:rPr>
                <w:rFonts w:hint="default"/>
                <w:b/>
                <w:bCs/>
                <w:snapToGrid/>
                <w:color w:val="auto"/>
                <w:spacing w:val="0"/>
                <w:kern w:val="0"/>
                <w:position w:val="0"/>
                <w:sz w:val="24"/>
                <w:szCs w:val="24"/>
                <w:lang w:val="en-US" w:eastAsia="zh-CN"/>
              </w:rPr>
              <w:t xml:space="preserve"> </w:t>
            </w:r>
            <w:r>
              <w:rPr>
                <w:rFonts w:hint="eastAsia"/>
                <w:b/>
                <w:bCs/>
                <w:snapToGrid/>
                <w:color w:val="auto"/>
                <w:spacing w:val="0"/>
                <w:kern w:val="0"/>
                <w:position w:val="0"/>
                <w:sz w:val="24"/>
                <w:szCs w:val="24"/>
                <w:lang w:val="en-US" w:eastAsia="zh-CN"/>
              </w:rPr>
              <w:t xml:space="preserve"> </w:t>
            </w:r>
            <w:r>
              <w:rPr>
                <w:rFonts w:hint="default"/>
                <w:b/>
                <w:bCs/>
                <w:snapToGrid/>
                <w:color w:val="auto"/>
                <w:spacing w:val="0"/>
                <w:kern w:val="0"/>
                <w:position w:val="0"/>
                <w:sz w:val="24"/>
                <w:szCs w:val="24"/>
                <w:lang w:val="en-US" w:eastAsia="zh-CN"/>
              </w:rPr>
              <w:t>废气排放口</w:t>
            </w:r>
            <w:r>
              <w:rPr>
                <w:rFonts w:hint="eastAsia"/>
                <w:b/>
                <w:bCs/>
                <w:snapToGrid/>
                <w:color w:val="auto"/>
                <w:spacing w:val="0"/>
                <w:kern w:val="0"/>
                <w:position w:val="0"/>
                <w:sz w:val="24"/>
                <w:szCs w:val="24"/>
                <w:lang w:val="en-US" w:eastAsia="zh-CN"/>
              </w:rPr>
              <w:t>设置及大气污染物监测计划</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369"/>
              <w:gridCol w:w="928"/>
              <w:gridCol w:w="1033"/>
              <w:gridCol w:w="1133"/>
              <w:gridCol w:w="2028"/>
              <w:gridCol w:w="1410"/>
              <w:gridCol w:w="1290"/>
              <w:gridCol w:w="1833"/>
              <w:gridCol w:w="1292"/>
            </w:tblGrid>
            <w:tr w14:paraId="58DD6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Merge w:val="restart"/>
                  <w:noWrap w:val="0"/>
                  <w:vAlign w:val="center"/>
                </w:tcPr>
                <w:p w14:paraId="4F7D6637">
                  <w:pPr>
                    <w:adjustRightInd w:val="0"/>
                    <w:snapToGrid w:val="0"/>
                    <w:jc w:val="center"/>
                    <w:rPr>
                      <w:rFonts w:hint="default"/>
                      <w:color w:val="auto"/>
                      <w:lang w:val="en-US" w:eastAsia="zh-CN"/>
                    </w:rPr>
                  </w:pPr>
                  <w:r>
                    <w:rPr>
                      <w:rFonts w:hint="eastAsia"/>
                      <w:color w:val="auto"/>
                      <w:lang w:val="en-US" w:eastAsia="zh-CN"/>
                    </w:rPr>
                    <w:t>污染源类别</w:t>
                  </w:r>
                </w:p>
              </w:tc>
              <w:tc>
                <w:tcPr>
                  <w:tcW w:w="512" w:type="pct"/>
                  <w:vMerge w:val="restart"/>
                  <w:noWrap w:val="0"/>
                  <w:vAlign w:val="center"/>
                </w:tcPr>
                <w:p w14:paraId="5041E81B">
                  <w:pPr>
                    <w:adjustRightInd w:val="0"/>
                    <w:snapToGrid w:val="0"/>
                    <w:jc w:val="center"/>
                    <w:rPr>
                      <w:rFonts w:hint="default"/>
                      <w:color w:val="auto"/>
                      <w:lang w:val="en-US" w:eastAsia="zh-CN"/>
                    </w:rPr>
                  </w:pPr>
                  <w:r>
                    <w:rPr>
                      <w:rFonts w:hint="eastAsia"/>
                      <w:color w:val="auto"/>
                      <w:lang w:val="en-US" w:eastAsia="zh-CN"/>
                    </w:rPr>
                    <w:t>排放口编号及名称</w:t>
                  </w:r>
                </w:p>
              </w:tc>
              <w:tc>
                <w:tcPr>
                  <w:tcW w:w="2446" w:type="pct"/>
                  <w:gridSpan w:val="5"/>
                  <w:noWrap w:val="0"/>
                  <w:vAlign w:val="center"/>
                </w:tcPr>
                <w:p w14:paraId="494156D4">
                  <w:pPr>
                    <w:adjustRightInd w:val="0"/>
                    <w:snapToGrid w:val="0"/>
                    <w:jc w:val="center"/>
                    <w:rPr>
                      <w:rFonts w:hint="default"/>
                      <w:color w:val="auto"/>
                      <w:lang w:val="en-US" w:eastAsia="zh-CN"/>
                    </w:rPr>
                  </w:pPr>
                  <w:r>
                    <w:rPr>
                      <w:rFonts w:hint="eastAsia"/>
                      <w:color w:val="auto"/>
                      <w:lang w:val="en-US" w:eastAsia="zh-CN"/>
                    </w:rPr>
                    <w:t>排放口基本情况</w:t>
                  </w:r>
                </w:p>
              </w:tc>
              <w:tc>
                <w:tcPr>
                  <w:tcW w:w="1653" w:type="pct"/>
                  <w:gridSpan w:val="3"/>
                  <w:noWrap w:val="0"/>
                  <w:vAlign w:val="center"/>
                </w:tcPr>
                <w:p w14:paraId="2260F406">
                  <w:pPr>
                    <w:adjustRightInd w:val="0"/>
                    <w:snapToGrid w:val="0"/>
                    <w:jc w:val="center"/>
                    <w:rPr>
                      <w:rFonts w:hint="default"/>
                      <w:color w:val="auto"/>
                      <w:lang w:val="en-US" w:eastAsia="zh-CN"/>
                    </w:rPr>
                  </w:pPr>
                  <w:r>
                    <w:rPr>
                      <w:rFonts w:hint="eastAsia"/>
                      <w:color w:val="auto"/>
                      <w:lang w:val="en-US" w:eastAsia="zh-CN"/>
                    </w:rPr>
                    <w:t>监测要求</w:t>
                  </w:r>
                </w:p>
              </w:tc>
            </w:tr>
            <w:tr w14:paraId="62E9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Merge w:val="continue"/>
                  <w:noWrap w:val="0"/>
                  <w:vAlign w:val="center"/>
                </w:tcPr>
                <w:p w14:paraId="7167AC79">
                  <w:pPr>
                    <w:adjustRightInd w:val="0"/>
                    <w:snapToGrid w:val="0"/>
                    <w:jc w:val="center"/>
                    <w:rPr>
                      <w:rFonts w:hint="default"/>
                      <w:color w:val="auto"/>
                      <w:lang w:val="en-US" w:eastAsia="zh-CN"/>
                    </w:rPr>
                  </w:pPr>
                </w:p>
              </w:tc>
              <w:tc>
                <w:tcPr>
                  <w:tcW w:w="512" w:type="pct"/>
                  <w:vMerge w:val="continue"/>
                  <w:noWrap w:val="0"/>
                  <w:vAlign w:val="center"/>
                </w:tcPr>
                <w:p w14:paraId="50D80044">
                  <w:pPr>
                    <w:adjustRightInd w:val="0"/>
                    <w:snapToGrid w:val="0"/>
                    <w:jc w:val="center"/>
                    <w:rPr>
                      <w:rFonts w:hint="default"/>
                      <w:color w:val="auto"/>
                      <w:lang w:val="en-US" w:eastAsia="zh-CN"/>
                    </w:rPr>
                  </w:pPr>
                </w:p>
              </w:tc>
              <w:tc>
                <w:tcPr>
                  <w:tcW w:w="347" w:type="pct"/>
                  <w:noWrap w:val="0"/>
                  <w:vAlign w:val="center"/>
                </w:tcPr>
                <w:p w14:paraId="54BBF378">
                  <w:pPr>
                    <w:adjustRightInd w:val="0"/>
                    <w:snapToGrid w:val="0"/>
                    <w:jc w:val="center"/>
                    <w:rPr>
                      <w:rFonts w:hint="default"/>
                      <w:color w:val="auto"/>
                      <w:lang w:val="en-US" w:eastAsia="zh-CN"/>
                    </w:rPr>
                  </w:pPr>
                  <w:r>
                    <w:rPr>
                      <w:rFonts w:hint="eastAsia"/>
                      <w:color w:val="auto"/>
                      <w:lang w:val="en-US" w:eastAsia="zh-CN"/>
                    </w:rPr>
                    <w:t>高度/m</w:t>
                  </w:r>
                </w:p>
              </w:tc>
              <w:tc>
                <w:tcPr>
                  <w:tcW w:w="386" w:type="pct"/>
                  <w:noWrap w:val="0"/>
                  <w:vAlign w:val="center"/>
                </w:tcPr>
                <w:p w14:paraId="6CBAB062">
                  <w:pPr>
                    <w:adjustRightInd w:val="0"/>
                    <w:snapToGrid w:val="0"/>
                    <w:jc w:val="center"/>
                    <w:rPr>
                      <w:rFonts w:hint="default"/>
                      <w:color w:val="auto"/>
                      <w:lang w:val="en-US" w:eastAsia="zh-CN"/>
                    </w:rPr>
                  </w:pPr>
                  <w:r>
                    <w:rPr>
                      <w:rFonts w:hint="eastAsia"/>
                      <w:color w:val="auto"/>
                      <w:lang w:val="en-US" w:eastAsia="zh-CN"/>
                    </w:rPr>
                    <w:t>内径/m</w:t>
                  </w:r>
                </w:p>
              </w:tc>
              <w:tc>
                <w:tcPr>
                  <w:tcW w:w="424" w:type="pct"/>
                  <w:noWrap w:val="0"/>
                  <w:vAlign w:val="center"/>
                </w:tcPr>
                <w:p w14:paraId="5D5DCF76">
                  <w:pPr>
                    <w:adjustRightInd w:val="0"/>
                    <w:snapToGrid w:val="0"/>
                    <w:jc w:val="center"/>
                    <w:rPr>
                      <w:rFonts w:hint="default"/>
                      <w:color w:val="auto"/>
                      <w:lang w:val="en-US" w:eastAsia="zh-CN"/>
                    </w:rPr>
                  </w:pPr>
                  <w:r>
                    <w:rPr>
                      <w:rFonts w:hint="eastAsia"/>
                      <w:color w:val="auto"/>
                      <w:lang w:val="en-US" w:eastAsia="zh-CN"/>
                    </w:rPr>
                    <w:t>温度</w:t>
                  </w:r>
                  <w:r>
                    <w:rPr>
                      <w:rFonts w:hint="default"/>
                      <w:color w:val="auto"/>
                      <w:lang w:val="en-US" w:eastAsia="zh-CN"/>
                    </w:rPr>
                    <w:t>℃</w:t>
                  </w:r>
                </w:p>
              </w:tc>
              <w:tc>
                <w:tcPr>
                  <w:tcW w:w="759" w:type="pct"/>
                  <w:noWrap w:val="0"/>
                  <w:vAlign w:val="center"/>
                </w:tcPr>
                <w:p w14:paraId="3A9CF278">
                  <w:pPr>
                    <w:adjustRightInd w:val="0"/>
                    <w:snapToGrid w:val="0"/>
                    <w:jc w:val="center"/>
                    <w:rPr>
                      <w:rFonts w:hint="default"/>
                      <w:color w:val="auto"/>
                      <w:lang w:val="en-US" w:eastAsia="zh-CN"/>
                    </w:rPr>
                  </w:pPr>
                  <w:r>
                    <w:rPr>
                      <w:rFonts w:hint="eastAsia"/>
                      <w:color w:val="auto"/>
                      <w:lang w:val="en-US" w:eastAsia="zh-CN"/>
                    </w:rPr>
                    <w:t>坐标</w:t>
                  </w:r>
                </w:p>
              </w:tc>
              <w:tc>
                <w:tcPr>
                  <w:tcW w:w="528" w:type="pct"/>
                  <w:noWrap w:val="0"/>
                  <w:vAlign w:val="center"/>
                </w:tcPr>
                <w:p w14:paraId="00DB6D48">
                  <w:pPr>
                    <w:adjustRightInd w:val="0"/>
                    <w:snapToGrid w:val="0"/>
                    <w:jc w:val="center"/>
                    <w:rPr>
                      <w:rFonts w:hint="default"/>
                      <w:color w:val="auto"/>
                      <w:lang w:val="en-US" w:eastAsia="zh-CN"/>
                    </w:rPr>
                  </w:pPr>
                  <w:r>
                    <w:rPr>
                      <w:rFonts w:hint="eastAsia"/>
                      <w:color w:val="auto"/>
                      <w:lang w:val="en-US" w:eastAsia="zh-CN"/>
                    </w:rPr>
                    <w:t>类型</w:t>
                  </w:r>
                </w:p>
              </w:tc>
              <w:tc>
                <w:tcPr>
                  <w:tcW w:w="483" w:type="pct"/>
                  <w:noWrap w:val="0"/>
                  <w:vAlign w:val="center"/>
                </w:tcPr>
                <w:p w14:paraId="3AAC0608">
                  <w:pPr>
                    <w:adjustRightInd w:val="0"/>
                    <w:snapToGrid w:val="0"/>
                    <w:jc w:val="center"/>
                    <w:rPr>
                      <w:rFonts w:hint="default"/>
                      <w:color w:val="auto"/>
                      <w:lang w:val="en-US" w:eastAsia="zh-CN"/>
                    </w:rPr>
                  </w:pPr>
                  <w:r>
                    <w:rPr>
                      <w:rFonts w:hint="eastAsia"/>
                      <w:color w:val="auto"/>
                      <w:lang w:val="en-US" w:eastAsia="zh-CN"/>
                    </w:rPr>
                    <w:t>监测点位</w:t>
                  </w:r>
                </w:p>
              </w:tc>
              <w:tc>
                <w:tcPr>
                  <w:tcW w:w="686" w:type="pct"/>
                  <w:noWrap w:val="0"/>
                  <w:vAlign w:val="center"/>
                </w:tcPr>
                <w:p w14:paraId="1DA2768D">
                  <w:pPr>
                    <w:adjustRightInd w:val="0"/>
                    <w:snapToGrid w:val="0"/>
                    <w:jc w:val="center"/>
                    <w:rPr>
                      <w:rFonts w:hint="default"/>
                      <w:color w:val="auto"/>
                      <w:lang w:val="en-US" w:eastAsia="zh-CN"/>
                    </w:rPr>
                  </w:pPr>
                  <w:r>
                    <w:rPr>
                      <w:rFonts w:hint="eastAsia"/>
                      <w:color w:val="auto"/>
                      <w:lang w:val="en-US" w:eastAsia="zh-CN"/>
                    </w:rPr>
                    <w:t>监测因子</w:t>
                  </w:r>
                </w:p>
              </w:tc>
              <w:tc>
                <w:tcPr>
                  <w:tcW w:w="483" w:type="pct"/>
                  <w:noWrap w:val="0"/>
                  <w:vAlign w:val="center"/>
                </w:tcPr>
                <w:p w14:paraId="709A8EF3">
                  <w:pPr>
                    <w:adjustRightInd w:val="0"/>
                    <w:snapToGrid w:val="0"/>
                    <w:jc w:val="center"/>
                    <w:rPr>
                      <w:rFonts w:hint="default"/>
                      <w:color w:val="auto"/>
                      <w:lang w:val="en-US" w:eastAsia="zh-CN"/>
                    </w:rPr>
                  </w:pPr>
                  <w:r>
                    <w:rPr>
                      <w:rFonts w:hint="eastAsia"/>
                      <w:color w:val="auto"/>
                      <w:lang w:val="en-US" w:eastAsia="zh-CN"/>
                    </w:rPr>
                    <w:t>监测频次</w:t>
                  </w:r>
                </w:p>
              </w:tc>
            </w:tr>
            <w:tr w14:paraId="6392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noWrap w:val="0"/>
                  <w:vAlign w:val="center"/>
                </w:tcPr>
                <w:p w14:paraId="20BB7456">
                  <w:pPr>
                    <w:adjustRightInd w:val="0"/>
                    <w:snapToGrid w:val="0"/>
                    <w:jc w:val="center"/>
                    <w:rPr>
                      <w:rFonts w:hint="eastAsia"/>
                      <w:color w:val="auto"/>
                      <w:lang w:val="en-US" w:eastAsia="zh-CN"/>
                    </w:rPr>
                  </w:pPr>
                  <w:r>
                    <w:rPr>
                      <w:rFonts w:hint="eastAsia"/>
                      <w:color w:val="auto"/>
                      <w:lang w:val="en-US" w:eastAsia="zh-CN"/>
                    </w:rPr>
                    <w:t>有组织</w:t>
                  </w:r>
                </w:p>
              </w:tc>
              <w:tc>
                <w:tcPr>
                  <w:tcW w:w="512" w:type="pct"/>
                  <w:noWrap w:val="0"/>
                  <w:vAlign w:val="center"/>
                </w:tcPr>
                <w:p w14:paraId="7031224B">
                  <w:pPr>
                    <w:adjustRightInd w:val="0"/>
                    <w:snapToGrid w:val="0"/>
                    <w:jc w:val="center"/>
                    <w:rPr>
                      <w:rFonts w:hint="default"/>
                      <w:color w:val="auto"/>
                      <w:lang w:val="en-US" w:eastAsia="zh-CN"/>
                    </w:rPr>
                  </w:pPr>
                  <w:r>
                    <w:rPr>
                      <w:rFonts w:hint="default"/>
                      <w:color w:val="auto"/>
                      <w:lang w:val="en-US" w:eastAsia="zh-CN"/>
                    </w:rPr>
                    <w:t>DA00</w:t>
                  </w:r>
                  <w:r>
                    <w:rPr>
                      <w:rFonts w:hint="eastAsia"/>
                      <w:color w:val="auto"/>
                      <w:lang w:val="en-US" w:eastAsia="zh-CN"/>
                    </w:rPr>
                    <w:t>1/混合废气排放口</w:t>
                  </w:r>
                </w:p>
              </w:tc>
              <w:tc>
                <w:tcPr>
                  <w:tcW w:w="347" w:type="pct"/>
                  <w:noWrap w:val="0"/>
                  <w:vAlign w:val="center"/>
                </w:tcPr>
                <w:p w14:paraId="6CEAF0CD">
                  <w:pPr>
                    <w:adjustRightInd w:val="0"/>
                    <w:snapToGrid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15</w:t>
                  </w:r>
                </w:p>
              </w:tc>
              <w:tc>
                <w:tcPr>
                  <w:tcW w:w="386" w:type="pct"/>
                  <w:noWrap w:val="0"/>
                  <w:vAlign w:val="center"/>
                </w:tcPr>
                <w:p w14:paraId="34C1F323">
                  <w:pPr>
                    <w:adjustRightInd w:val="0"/>
                    <w:snapToGrid w:val="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0.35</w:t>
                  </w:r>
                </w:p>
              </w:tc>
              <w:tc>
                <w:tcPr>
                  <w:tcW w:w="424" w:type="pct"/>
                  <w:noWrap w:val="0"/>
                  <w:vAlign w:val="center"/>
                </w:tcPr>
                <w:p w14:paraId="5643DE96">
                  <w:pPr>
                    <w:adjustRightInd w:val="0"/>
                    <w:snapToGrid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25</w:t>
                  </w:r>
                </w:p>
              </w:tc>
              <w:tc>
                <w:tcPr>
                  <w:tcW w:w="759" w:type="pct"/>
                  <w:noWrap w:val="0"/>
                  <w:vAlign w:val="center"/>
                </w:tcPr>
                <w:p w14:paraId="6FDAFAA8">
                  <w:pPr>
                    <w:adjustRightInd w:val="0"/>
                    <w:snapToGrid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E117°</w:t>
                  </w:r>
                  <w:r>
                    <w:rPr>
                      <w:rFonts w:hint="eastAsia" w:cs="Times New Roman"/>
                      <w:color w:val="auto"/>
                      <w:lang w:val="en-US" w:eastAsia="zh-CN"/>
                    </w:rPr>
                    <w:t>28</w:t>
                  </w:r>
                  <w:r>
                    <w:rPr>
                      <w:rFonts w:hint="default" w:ascii="Times New Roman" w:hAnsi="Times New Roman" w:cs="Times New Roman"/>
                      <w:color w:val="auto"/>
                      <w:lang w:val="en-US" w:eastAsia="zh-CN"/>
                    </w:rPr>
                    <w:t>′</w:t>
                  </w:r>
                  <w:r>
                    <w:rPr>
                      <w:rFonts w:hint="eastAsia" w:cs="Times New Roman"/>
                      <w:color w:val="auto"/>
                      <w:lang w:val="en-US" w:eastAsia="zh-CN"/>
                    </w:rPr>
                    <w:t>4.859</w:t>
                  </w:r>
                  <w:r>
                    <w:rPr>
                      <w:rFonts w:hint="default" w:ascii="Times New Roman" w:hAnsi="Times New Roman" w:cs="Times New Roman"/>
                      <w:color w:val="auto"/>
                      <w:lang w:val="en-US" w:eastAsia="zh-CN"/>
                    </w:rPr>
                    <w:t>″，</w:t>
                  </w:r>
                </w:p>
                <w:p w14:paraId="647A099B">
                  <w:pPr>
                    <w:adjustRightInd w:val="0"/>
                    <w:snapToGrid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N33°4</w:t>
                  </w:r>
                  <w:r>
                    <w:rPr>
                      <w:rFonts w:hint="eastAsia" w:cs="Times New Roman"/>
                      <w:color w:val="auto"/>
                      <w:lang w:val="en-US" w:eastAsia="zh-CN"/>
                    </w:rPr>
                    <w:t>7</w:t>
                  </w:r>
                  <w:r>
                    <w:rPr>
                      <w:rFonts w:hint="default" w:ascii="Times New Roman" w:hAnsi="Times New Roman" w:cs="Times New Roman"/>
                      <w:color w:val="auto"/>
                      <w:lang w:val="en-US" w:eastAsia="zh-CN"/>
                    </w:rPr>
                    <w:t>′</w:t>
                  </w:r>
                  <w:r>
                    <w:rPr>
                      <w:rFonts w:hint="eastAsia" w:cs="Times New Roman"/>
                      <w:color w:val="auto"/>
                      <w:lang w:val="en-US" w:eastAsia="zh-CN"/>
                    </w:rPr>
                    <w:t>47.002</w:t>
                  </w:r>
                  <w:r>
                    <w:rPr>
                      <w:rFonts w:hint="default" w:ascii="Times New Roman" w:hAnsi="Times New Roman" w:cs="Times New Roman"/>
                      <w:color w:val="auto"/>
                      <w:lang w:val="en-US" w:eastAsia="zh-CN"/>
                    </w:rPr>
                    <w:t>″</w:t>
                  </w:r>
                </w:p>
              </w:tc>
              <w:tc>
                <w:tcPr>
                  <w:tcW w:w="528" w:type="pct"/>
                  <w:noWrap w:val="0"/>
                  <w:vAlign w:val="center"/>
                </w:tcPr>
                <w:p w14:paraId="7FD2D55E">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一般排放口</w:t>
                  </w:r>
                </w:p>
              </w:tc>
              <w:tc>
                <w:tcPr>
                  <w:tcW w:w="483" w:type="pct"/>
                  <w:noWrap w:val="0"/>
                  <w:vAlign w:val="center"/>
                </w:tcPr>
                <w:p w14:paraId="1D9497F9">
                  <w:pPr>
                    <w:adjustRightInd w:val="0"/>
                    <w:snapToGrid w:val="0"/>
                    <w:jc w:val="center"/>
                    <w:rPr>
                      <w:rFonts w:hint="default" w:ascii="Times New Roman" w:hAnsi="Times New Roman" w:eastAsia="宋体" w:cs="Times New Roman"/>
                      <w:color w:val="auto"/>
                      <w:kern w:val="2"/>
                      <w:sz w:val="21"/>
                      <w:szCs w:val="24"/>
                      <w:lang w:val="en-US" w:eastAsia="zh-CN" w:bidi="ar-SA"/>
                    </w:rPr>
                  </w:pPr>
                  <w:r>
                    <w:rPr>
                      <w:rFonts w:hint="default"/>
                      <w:color w:val="auto"/>
                      <w:lang w:val="en-US" w:eastAsia="zh-CN"/>
                    </w:rPr>
                    <w:t>DA00</w:t>
                  </w:r>
                  <w:r>
                    <w:rPr>
                      <w:rFonts w:hint="eastAsia"/>
                      <w:color w:val="auto"/>
                      <w:lang w:val="en-US" w:eastAsia="zh-CN"/>
                    </w:rPr>
                    <w:t>1</w:t>
                  </w:r>
                </w:p>
              </w:tc>
              <w:tc>
                <w:tcPr>
                  <w:tcW w:w="686" w:type="pct"/>
                  <w:noWrap w:val="0"/>
                  <w:vAlign w:val="center"/>
                </w:tcPr>
                <w:p w14:paraId="635F49E7">
                  <w:pPr>
                    <w:adjustRightInd w:val="0"/>
                    <w:snapToGrid w:val="0"/>
                    <w:jc w:val="center"/>
                    <w:rPr>
                      <w:rFonts w:hint="eastAsia"/>
                      <w:color w:val="auto"/>
                      <w:lang w:val="en-US" w:eastAsia="zh-CN"/>
                    </w:rPr>
                  </w:pPr>
                  <w:r>
                    <w:rPr>
                      <w:rFonts w:hint="eastAsia"/>
                      <w:color w:val="auto"/>
                      <w:lang w:val="en-US" w:eastAsia="zh-CN"/>
                    </w:rPr>
                    <w:t>颗粒物</w:t>
                  </w:r>
                </w:p>
              </w:tc>
              <w:tc>
                <w:tcPr>
                  <w:tcW w:w="483" w:type="pct"/>
                  <w:noWrap w:val="0"/>
                  <w:vAlign w:val="center"/>
                </w:tcPr>
                <w:p w14:paraId="44959EAC">
                  <w:pPr>
                    <w:adjustRightInd w:val="0"/>
                    <w:snapToGrid w:val="0"/>
                    <w:jc w:val="center"/>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1次/年</w:t>
                  </w:r>
                </w:p>
              </w:tc>
            </w:tr>
            <w:tr w14:paraId="61FF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noWrap w:val="0"/>
                  <w:vAlign w:val="center"/>
                </w:tcPr>
                <w:p w14:paraId="7E602409">
                  <w:pPr>
                    <w:adjustRightInd w:val="0"/>
                    <w:snapToGrid w:val="0"/>
                    <w:jc w:val="center"/>
                    <w:rPr>
                      <w:rFonts w:hint="eastAsia"/>
                      <w:color w:val="auto"/>
                      <w:lang w:val="en-US" w:eastAsia="zh-CN"/>
                    </w:rPr>
                  </w:pPr>
                  <w:r>
                    <w:rPr>
                      <w:rFonts w:hint="eastAsia"/>
                      <w:color w:val="auto"/>
                      <w:lang w:val="en-US" w:eastAsia="zh-CN"/>
                    </w:rPr>
                    <w:t>有组织</w:t>
                  </w:r>
                </w:p>
              </w:tc>
              <w:tc>
                <w:tcPr>
                  <w:tcW w:w="512" w:type="pct"/>
                  <w:noWrap w:val="0"/>
                  <w:vAlign w:val="center"/>
                </w:tcPr>
                <w:p w14:paraId="58816B58">
                  <w:pPr>
                    <w:adjustRightInd w:val="0"/>
                    <w:snapToGrid w:val="0"/>
                    <w:jc w:val="center"/>
                    <w:rPr>
                      <w:rFonts w:hint="default"/>
                      <w:color w:val="auto"/>
                      <w:lang w:val="en-US" w:eastAsia="zh-CN"/>
                    </w:rPr>
                  </w:pPr>
                  <w:r>
                    <w:rPr>
                      <w:rFonts w:hint="default"/>
                      <w:color w:val="auto"/>
                      <w:lang w:val="en-US" w:eastAsia="zh-CN"/>
                    </w:rPr>
                    <w:t>DA00</w:t>
                  </w:r>
                  <w:r>
                    <w:rPr>
                      <w:rFonts w:hint="eastAsia"/>
                      <w:color w:val="auto"/>
                      <w:lang w:val="en-US" w:eastAsia="zh-CN"/>
                    </w:rPr>
                    <w:t>2/加热废气排放口</w:t>
                  </w:r>
                </w:p>
              </w:tc>
              <w:tc>
                <w:tcPr>
                  <w:tcW w:w="347" w:type="pct"/>
                  <w:noWrap w:val="0"/>
                  <w:vAlign w:val="center"/>
                </w:tcPr>
                <w:p w14:paraId="40A70E31">
                  <w:pPr>
                    <w:adjustRightInd w:val="0"/>
                    <w:snapToGrid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15</w:t>
                  </w:r>
                </w:p>
              </w:tc>
              <w:tc>
                <w:tcPr>
                  <w:tcW w:w="386" w:type="pct"/>
                  <w:noWrap w:val="0"/>
                  <w:vAlign w:val="center"/>
                </w:tcPr>
                <w:p w14:paraId="50778981">
                  <w:pPr>
                    <w:adjustRightInd w:val="0"/>
                    <w:snapToGrid w:val="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0.12</w:t>
                  </w:r>
                </w:p>
              </w:tc>
              <w:tc>
                <w:tcPr>
                  <w:tcW w:w="424" w:type="pct"/>
                  <w:noWrap w:val="0"/>
                  <w:vAlign w:val="center"/>
                </w:tcPr>
                <w:p w14:paraId="5CE8B292">
                  <w:pPr>
                    <w:adjustRightInd w:val="0"/>
                    <w:snapToGrid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25</w:t>
                  </w:r>
                </w:p>
              </w:tc>
              <w:tc>
                <w:tcPr>
                  <w:tcW w:w="759" w:type="pct"/>
                  <w:noWrap w:val="0"/>
                  <w:vAlign w:val="center"/>
                </w:tcPr>
                <w:p w14:paraId="62A31794">
                  <w:pPr>
                    <w:adjustRightInd w:val="0"/>
                    <w:snapToGrid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E117°</w:t>
                  </w:r>
                  <w:r>
                    <w:rPr>
                      <w:rFonts w:hint="eastAsia" w:cs="Times New Roman"/>
                      <w:color w:val="auto"/>
                      <w:lang w:val="en-US" w:eastAsia="zh-CN"/>
                    </w:rPr>
                    <w:t>28</w:t>
                  </w:r>
                  <w:r>
                    <w:rPr>
                      <w:rFonts w:hint="default" w:ascii="Times New Roman" w:hAnsi="Times New Roman" w:cs="Times New Roman"/>
                      <w:color w:val="auto"/>
                      <w:lang w:val="en-US" w:eastAsia="zh-CN"/>
                    </w:rPr>
                    <w:t>′</w:t>
                  </w:r>
                  <w:r>
                    <w:rPr>
                      <w:rFonts w:hint="eastAsia" w:cs="Times New Roman"/>
                      <w:color w:val="auto"/>
                      <w:lang w:val="en-US" w:eastAsia="zh-CN"/>
                    </w:rPr>
                    <w:t>4.873</w:t>
                  </w:r>
                  <w:r>
                    <w:rPr>
                      <w:rFonts w:hint="default" w:ascii="Times New Roman" w:hAnsi="Times New Roman" w:cs="Times New Roman"/>
                      <w:color w:val="auto"/>
                      <w:lang w:val="en-US" w:eastAsia="zh-CN"/>
                    </w:rPr>
                    <w:t>″</w:t>
                  </w:r>
                </w:p>
                <w:p w14:paraId="09690B3F">
                  <w:pPr>
                    <w:adjustRightInd w:val="0"/>
                    <w:snapToGrid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N33°4</w:t>
                  </w:r>
                  <w:r>
                    <w:rPr>
                      <w:rFonts w:hint="eastAsia" w:cs="Times New Roman"/>
                      <w:color w:val="auto"/>
                      <w:lang w:val="en-US" w:eastAsia="zh-CN"/>
                    </w:rPr>
                    <w:t>7</w:t>
                  </w:r>
                  <w:r>
                    <w:rPr>
                      <w:rFonts w:hint="default" w:ascii="Times New Roman" w:hAnsi="Times New Roman" w:cs="Times New Roman"/>
                      <w:color w:val="auto"/>
                      <w:lang w:val="en-US" w:eastAsia="zh-CN"/>
                    </w:rPr>
                    <w:t>′</w:t>
                  </w:r>
                  <w:r>
                    <w:rPr>
                      <w:rFonts w:hint="eastAsia" w:cs="Times New Roman"/>
                      <w:color w:val="auto"/>
                      <w:lang w:val="en-US" w:eastAsia="zh-CN"/>
                    </w:rPr>
                    <w:t>47.002</w:t>
                  </w:r>
                  <w:r>
                    <w:rPr>
                      <w:rFonts w:hint="default" w:ascii="Times New Roman" w:hAnsi="Times New Roman" w:cs="Times New Roman"/>
                      <w:color w:val="auto"/>
                      <w:lang w:val="en-US" w:eastAsia="zh-CN"/>
                    </w:rPr>
                    <w:t>″</w:t>
                  </w:r>
                </w:p>
              </w:tc>
              <w:tc>
                <w:tcPr>
                  <w:tcW w:w="528" w:type="pct"/>
                  <w:noWrap w:val="0"/>
                  <w:vAlign w:val="center"/>
                </w:tcPr>
                <w:p w14:paraId="5B36C654">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一般排放口</w:t>
                  </w:r>
                </w:p>
              </w:tc>
              <w:tc>
                <w:tcPr>
                  <w:tcW w:w="483" w:type="pct"/>
                  <w:noWrap w:val="0"/>
                  <w:vAlign w:val="center"/>
                </w:tcPr>
                <w:p w14:paraId="7EA30DE9">
                  <w:pPr>
                    <w:adjustRightInd w:val="0"/>
                    <w:snapToGrid w:val="0"/>
                    <w:jc w:val="center"/>
                    <w:rPr>
                      <w:rFonts w:hint="default" w:ascii="Times New Roman" w:hAnsi="Times New Roman" w:eastAsia="宋体" w:cs="Times New Roman"/>
                      <w:color w:val="auto"/>
                      <w:kern w:val="2"/>
                      <w:sz w:val="21"/>
                      <w:szCs w:val="24"/>
                      <w:lang w:val="en-US" w:eastAsia="zh-CN" w:bidi="ar-SA"/>
                    </w:rPr>
                  </w:pPr>
                  <w:r>
                    <w:rPr>
                      <w:rFonts w:hint="default"/>
                      <w:color w:val="auto"/>
                      <w:lang w:val="en-US" w:eastAsia="zh-CN"/>
                    </w:rPr>
                    <w:t>DA00</w:t>
                  </w:r>
                  <w:r>
                    <w:rPr>
                      <w:rFonts w:hint="eastAsia"/>
                      <w:color w:val="auto"/>
                      <w:lang w:val="en-US" w:eastAsia="zh-CN"/>
                    </w:rPr>
                    <w:t>2</w:t>
                  </w:r>
                </w:p>
              </w:tc>
              <w:tc>
                <w:tcPr>
                  <w:tcW w:w="686" w:type="pct"/>
                  <w:noWrap w:val="0"/>
                  <w:vAlign w:val="center"/>
                </w:tcPr>
                <w:p w14:paraId="0E080941">
                  <w:pPr>
                    <w:adjustRightInd w:val="0"/>
                    <w:snapToGrid w:val="0"/>
                    <w:jc w:val="center"/>
                    <w:rPr>
                      <w:rFonts w:hint="eastAsia"/>
                      <w:color w:val="auto"/>
                      <w:lang w:val="en-US" w:eastAsia="zh-CN"/>
                    </w:rPr>
                  </w:pPr>
                  <w:r>
                    <w:rPr>
                      <w:rFonts w:hint="eastAsia"/>
                      <w:color w:val="auto"/>
                      <w:lang w:val="en-US" w:eastAsia="zh-CN"/>
                    </w:rPr>
                    <w:t>挥发性有机物</w:t>
                  </w:r>
                </w:p>
              </w:tc>
              <w:tc>
                <w:tcPr>
                  <w:tcW w:w="483" w:type="pct"/>
                  <w:noWrap w:val="0"/>
                  <w:vAlign w:val="center"/>
                </w:tcPr>
                <w:p w14:paraId="4D7BE31D">
                  <w:pPr>
                    <w:adjustRightInd w:val="0"/>
                    <w:snapToGrid w:val="0"/>
                    <w:jc w:val="center"/>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1次/年</w:t>
                  </w:r>
                </w:p>
              </w:tc>
            </w:tr>
            <w:tr w14:paraId="3E44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noWrap w:val="0"/>
                  <w:vAlign w:val="center"/>
                </w:tcPr>
                <w:p w14:paraId="35CD551B">
                  <w:pPr>
                    <w:adjustRightInd w:val="0"/>
                    <w:snapToGrid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有组织</w:t>
                  </w:r>
                </w:p>
              </w:tc>
              <w:tc>
                <w:tcPr>
                  <w:tcW w:w="512" w:type="pct"/>
                  <w:noWrap w:val="0"/>
                  <w:vAlign w:val="center"/>
                </w:tcPr>
                <w:p w14:paraId="7545C021">
                  <w:pPr>
                    <w:adjustRightInd w:val="0"/>
                    <w:snapToGrid w:val="0"/>
                    <w:jc w:val="center"/>
                    <w:rPr>
                      <w:rFonts w:hint="default" w:ascii="Times New Roman" w:hAnsi="Times New Roman" w:eastAsia="宋体" w:cs="Times New Roman"/>
                      <w:color w:val="auto"/>
                      <w:kern w:val="2"/>
                      <w:sz w:val="21"/>
                      <w:szCs w:val="24"/>
                      <w:lang w:val="en-US" w:eastAsia="zh-CN" w:bidi="ar-SA"/>
                    </w:rPr>
                  </w:pPr>
                  <w:r>
                    <w:rPr>
                      <w:rFonts w:hint="default"/>
                      <w:color w:val="auto"/>
                      <w:lang w:val="en-US" w:eastAsia="zh-CN"/>
                    </w:rPr>
                    <w:t>DA00</w:t>
                  </w:r>
                  <w:r>
                    <w:rPr>
                      <w:rFonts w:hint="eastAsia"/>
                      <w:color w:val="auto"/>
                      <w:lang w:val="en-US" w:eastAsia="zh-CN"/>
                    </w:rPr>
                    <w:t>3/</w:t>
                  </w:r>
                  <w:r>
                    <w:rPr>
                      <w:rFonts w:hint="default"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脱胶</w:t>
                  </w:r>
                  <w:r>
                    <w:rPr>
                      <w:rFonts w:hint="default" w:ascii="Times New Roman" w:hAnsi="Times New Roman" w:eastAsia="宋体" w:cs="Times New Roman"/>
                      <w:color w:val="auto"/>
                      <w:sz w:val="21"/>
                      <w:szCs w:val="21"/>
                      <w:highlight w:val="none"/>
                      <w:lang w:val="en-US" w:eastAsia="zh-CN"/>
                    </w:rPr>
                    <w:t>、注塑</w:t>
                  </w:r>
                  <w:r>
                    <w:rPr>
                      <w:rFonts w:hint="eastAsia"/>
                      <w:color w:val="auto"/>
                      <w:lang w:val="en-US" w:eastAsia="zh-CN"/>
                    </w:rPr>
                    <w:t>废气、固化废气排放口</w:t>
                  </w:r>
                </w:p>
              </w:tc>
              <w:tc>
                <w:tcPr>
                  <w:tcW w:w="347" w:type="pct"/>
                  <w:noWrap w:val="0"/>
                  <w:vAlign w:val="center"/>
                </w:tcPr>
                <w:p w14:paraId="6EA6B401">
                  <w:pPr>
                    <w:adjustRightInd w:val="0"/>
                    <w:snapToGrid w:val="0"/>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15</w:t>
                  </w:r>
                </w:p>
              </w:tc>
              <w:tc>
                <w:tcPr>
                  <w:tcW w:w="386" w:type="pct"/>
                  <w:noWrap w:val="0"/>
                  <w:vAlign w:val="center"/>
                </w:tcPr>
                <w:p w14:paraId="0358049C">
                  <w:pPr>
                    <w:adjustRightInd w:val="0"/>
                    <w:snapToGrid w:val="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0.35</w:t>
                  </w:r>
                </w:p>
              </w:tc>
              <w:tc>
                <w:tcPr>
                  <w:tcW w:w="424" w:type="pct"/>
                  <w:noWrap w:val="0"/>
                  <w:vAlign w:val="center"/>
                </w:tcPr>
                <w:p w14:paraId="011C0D43">
                  <w:pPr>
                    <w:adjustRightInd w:val="0"/>
                    <w:snapToGrid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25</w:t>
                  </w:r>
                </w:p>
              </w:tc>
              <w:tc>
                <w:tcPr>
                  <w:tcW w:w="759" w:type="pct"/>
                  <w:noWrap w:val="0"/>
                  <w:vAlign w:val="center"/>
                </w:tcPr>
                <w:p w14:paraId="72CF3F13">
                  <w:pPr>
                    <w:adjustRightInd w:val="0"/>
                    <w:snapToGrid w:val="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E</w:t>
                  </w:r>
                  <w:r>
                    <w:rPr>
                      <w:rFonts w:hint="default" w:ascii="Times New Roman" w:hAnsi="Times New Roman" w:eastAsia="宋体" w:cs="Times New Roman"/>
                      <w:color w:val="auto"/>
                      <w:kern w:val="2"/>
                      <w:sz w:val="21"/>
                      <w:szCs w:val="24"/>
                      <w:lang w:val="en-US" w:eastAsia="zh-CN" w:bidi="ar-SA"/>
                    </w:rPr>
                    <w:t>117°</w:t>
                  </w:r>
                  <w:r>
                    <w:rPr>
                      <w:rFonts w:hint="eastAsia" w:cs="Times New Roman"/>
                      <w:color w:val="auto"/>
                      <w:kern w:val="2"/>
                      <w:sz w:val="21"/>
                      <w:szCs w:val="24"/>
                      <w:lang w:val="en-US" w:eastAsia="zh-CN" w:bidi="ar-SA"/>
                    </w:rPr>
                    <w:t>28</w:t>
                  </w:r>
                  <w:r>
                    <w:rPr>
                      <w:rFonts w:hint="default" w:ascii="Times New Roman" w:hAnsi="Times New Roman" w:eastAsia="宋体" w:cs="Times New Roman"/>
                      <w:color w:val="auto"/>
                      <w:kern w:val="2"/>
                      <w:sz w:val="21"/>
                      <w:szCs w:val="24"/>
                      <w:lang w:val="en-US" w:eastAsia="zh-CN" w:bidi="ar-SA"/>
                    </w:rPr>
                    <w:t>′</w:t>
                  </w:r>
                  <w:r>
                    <w:rPr>
                      <w:rFonts w:hint="eastAsia" w:cs="Times New Roman"/>
                      <w:color w:val="auto"/>
                      <w:kern w:val="2"/>
                      <w:sz w:val="21"/>
                      <w:szCs w:val="24"/>
                      <w:lang w:val="en-US" w:eastAsia="zh-CN" w:bidi="ar-SA"/>
                    </w:rPr>
                    <w:t>6.877</w:t>
                  </w:r>
                  <w:r>
                    <w:rPr>
                      <w:rFonts w:hint="default" w:ascii="Times New Roman" w:hAnsi="Times New Roman" w:eastAsia="宋体" w:cs="Times New Roman"/>
                      <w:color w:val="auto"/>
                      <w:kern w:val="2"/>
                      <w:sz w:val="21"/>
                      <w:szCs w:val="24"/>
                      <w:lang w:val="en-US" w:eastAsia="zh-CN" w:bidi="ar-SA"/>
                    </w:rPr>
                    <w:t>″</w:t>
                  </w:r>
                  <w:r>
                    <w:rPr>
                      <w:rFonts w:hint="eastAsia" w:ascii="Times New Roman" w:hAnsi="Times New Roman" w:cs="Times New Roman"/>
                      <w:color w:val="auto"/>
                      <w:kern w:val="2"/>
                      <w:sz w:val="21"/>
                      <w:szCs w:val="24"/>
                      <w:lang w:val="en-US" w:eastAsia="zh-CN" w:bidi="ar-SA"/>
                    </w:rPr>
                    <w:t>，</w:t>
                  </w:r>
                </w:p>
                <w:p w14:paraId="4215060A">
                  <w:pPr>
                    <w:adjustRightInd w:val="0"/>
                    <w:snapToGrid w:val="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N</w:t>
                  </w:r>
                  <w:r>
                    <w:rPr>
                      <w:rFonts w:hint="default" w:ascii="Times New Roman" w:hAnsi="Times New Roman" w:eastAsia="宋体" w:cs="Times New Roman"/>
                      <w:color w:val="auto"/>
                      <w:kern w:val="2"/>
                      <w:sz w:val="21"/>
                      <w:szCs w:val="24"/>
                      <w:lang w:val="en-US" w:eastAsia="zh-CN" w:bidi="ar-SA"/>
                    </w:rPr>
                    <w:t>33°4</w:t>
                  </w:r>
                  <w:r>
                    <w:rPr>
                      <w:rFonts w:hint="eastAsia" w:cs="Times New Roman"/>
                      <w:color w:val="auto"/>
                      <w:kern w:val="2"/>
                      <w:sz w:val="21"/>
                      <w:szCs w:val="24"/>
                      <w:lang w:val="en-US" w:eastAsia="zh-CN" w:bidi="ar-SA"/>
                    </w:rPr>
                    <w:t>7</w:t>
                  </w:r>
                  <w:r>
                    <w:rPr>
                      <w:rFonts w:hint="default" w:ascii="Times New Roman" w:hAnsi="Times New Roman" w:eastAsia="宋体" w:cs="Times New Roman"/>
                      <w:color w:val="auto"/>
                      <w:kern w:val="2"/>
                      <w:sz w:val="21"/>
                      <w:szCs w:val="24"/>
                      <w:lang w:val="en-US" w:eastAsia="zh-CN" w:bidi="ar-SA"/>
                    </w:rPr>
                    <w:t>′</w:t>
                  </w:r>
                  <w:r>
                    <w:rPr>
                      <w:rFonts w:hint="eastAsia" w:cs="Times New Roman"/>
                      <w:color w:val="auto"/>
                      <w:kern w:val="2"/>
                      <w:sz w:val="21"/>
                      <w:szCs w:val="24"/>
                      <w:lang w:val="en-US" w:eastAsia="zh-CN" w:bidi="ar-SA"/>
                    </w:rPr>
                    <w:t>46.831</w:t>
                  </w:r>
                  <w:r>
                    <w:rPr>
                      <w:rFonts w:hint="default" w:ascii="Times New Roman" w:hAnsi="Times New Roman" w:eastAsia="宋体" w:cs="Times New Roman"/>
                      <w:color w:val="auto"/>
                      <w:kern w:val="2"/>
                      <w:sz w:val="21"/>
                      <w:szCs w:val="24"/>
                      <w:lang w:val="en-US" w:eastAsia="zh-CN" w:bidi="ar-SA"/>
                    </w:rPr>
                    <w:t>″</w:t>
                  </w:r>
                </w:p>
              </w:tc>
              <w:tc>
                <w:tcPr>
                  <w:tcW w:w="528" w:type="pct"/>
                  <w:noWrap w:val="0"/>
                  <w:vAlign w:val="center"/>
                </w:tcPr>
                <w:p w14:paraId="3F98794D">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default" w:ascii="Times New Roman" w:hAnsi="Times New Roman" w:eastAsia="宋体" w:cs="Times New Roman"/>
                      <w:snapToGrid/>
                      <w:color w:val="auto"/>
                      <w:spacing w:val="0"/>
                      <w:kern w:val="0"/>
                      <w:position w:val="0"/>
                      <w:sz w:val="21"/>
                      <w:szCs w:val="21"/>
                      <w:lang w:val="en-US" w:eastAsia="zh-CN"/>
                    </w:rPr>
                    <w:t>一般排放口</w:t>
                  </w:r>
                </w:p>
              </w:tc>
              <w:tc>
                <w:tcPr>
                  <w:tcW w:w="483" w:type="pct"/>
                  <w:noWrap w:val="0"/>
                  <w:vAlign w:val="center"/>
                </w:tcPr>
                <w:p w14:paraId="5CD4801C">
                  <w:pPr>
                    <w:adjustRightInd w:val="0"/>
                    <w:snapToGrid w:val="0"/>
                    <w:jc w:val="center"/>
                    <w:rPr>
                      <w:rFonts w:hint="default" w:ascii="Times New Roman" w:hAnsi="Times New Roman" w:eastAsia="宋体" w:cs="Times New Roman"/>
                      <w:color w:val="auto"/>
                      <w:kern w:val="2"/>
                      <w:sz w:val="21"/>
                      <w:szCs w:val="24"/>
                      <w:lang w:val="en-US" w:eastAsia="zh-CN" w:bidi="ar-SA"/>
                    </w:rPr>
                  </w:pPr>
                  <w:r>
                    <w:rPr>
                      <w:rFonts w:hint="default"/>
                      <w:color w:val="auto"/>
                      <w:lang w:val="en-US" w:eastAsia="zh-CN"/>
                    </w:rPr>
                    <w:t>DA00</w:t>
                  </w:r>
                  <w:r>
                    <w:rPr>
                      <w:rFonts w:hint="eastAsia"/>
                      <w:color w:val="auto"/>
                      <w:lang w:val="en-US" w:eastAsia="zh-CN"/>
                    </w:rPr>
                    <w:t>3</w:t>
                  </w:r>
                </w:p>
              </w:tc>
              <w:tc>
                <w:tcPr>
                  <w:tcW w:w="686" w:type="pct"/>
                  <w:noWrap w:val="0"/>
                  <w:vAlign w:val="center"/>
                </w:tcPr>
                <w:p w14:paraId="7FB3565E">
                  <w:pPr>
                    <w:adjustRightInd w:val="0"/>
                    <w:snapToGrid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挥发性有机物</w:t>
                  </w:r>
                </w:p>
              </w:tc>
              <w:tc>
                <w:tcPr>
                  <w:tcW w:w="483" w:type="pct"/>
                  <w:noWrap w:val="0"/>
                  <w:vAlign w:val="center"/>
                </w:tcPr>
                <w:p w14:paraId="39C902A3">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bidi="ar-SA"/>
                    </w:rPr>
                  </w:pPr>
                  <w:r>
                    <w:rPr>
                      <w:rFonts w:hint="default" w:ascii="Times New Roman" w:hAnsi="Times New Roman" w:eastAsia="宋体" w:cs="Times New Roman"/>
                      <w:snapToGrid/>
                      <w:color w:val="auto"/>
                      <w:spacing w:val="0"/>
                      <w:kern w:val="0"/>
                      <w:position w:val="0"/>
                      <w:sz w:val="21"/>
                      <w:szCs w:val="21"/>
                    </w:rPr>
                    <w:t>1次/年</w:t>
                  </w:r>
                </w:p>
              </w:tc>
            </w:tr>
            <w:tr w14:paraId="5D27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noWrap w:val="0"/>
                  <w:vAlign w:val="center"/>
                </w:tcPr>
                <w:p w14:paraId="6B045804">
                  <w:pPr>
                    <w:adjustRightInd w:val="0"/>
                    <w:snapToGrid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有组织</w:t>
                  </w:r>
                </w:p>
              </w:tc>
              <w:tc>
                <w:tcPr>
                  <w:tcW w:w="512" w:type="pct"/>
                  <w:noWrap w:val="0"/>
                  <w:vAlign w:val="center"/>
                </w:tcPr>
                <w:p w14:paraId="3BE95ABA">
                  <w:pPr>
                    <w:adjustRightInd w:val="0"/>
                    <w:snapToGrid w:val="0"/>
                    <w:jc w:val="center"/>
                    <w:rPr>
                      <w:rFonts w:hint="default" w:ascii="Times New Roman" w:hAnsi="Times New Roman" w:eastAsia="宋体" w:cs="Times New Roman"/>
                      <w:color w:val="auto"/>
                      <w:kern w:val="2"/>
                      <w:sz w:val="21"/>
                      <w:szCs w:val="24"/>
                      <w:lang w:val="en-US" w:eastAsia="zh-CN" w:bidi="ar-SA"/>
                    </w:rPr>
                  </w:pPr>
                  <w:r>
                    <w:rPr>
                      <w:rFonts w:hint="default"/>
                      <w:color w:val="auto"/>
                      <w:lang w:val="en-US" w:eastAsia="zh-CN"/>
                    </w:rPr>
                    <w:t>DA00</w:t>
                  </w:r>
                  <w:r>
                    <w:rPr>
                      <w:rFonts w:hint="eastAsia"/>
                      <w:color w:val="auto"/>
                      <w:lang w:val="en-US" w:eastAsia="zh-CN"/>
                    </w:rPr>
                    <w:t>4/</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脱胶</w:t>
                  </w:r>
                  <w:r>
                    <w:rPr>
                      <w:rFonts w:hint="default" w:ascii="Times New Roman" w:hAnsi="Times New Roman" w:eastAsia="宋体" w:cs="Times New Roman"/>
                      <w:color w:val="auto"/>
                      <w:sz w:val="21"/>
                      <w:szCs w:val="21"/>
                      <w:highlight w:val="none"/>
                      <w:lang w:val="en-US" w:eastAsia="zh-CN"/>
                    </w:rPr>
                    <w:t>、注塑</w:t>
                  </w:r>
                  <w:r>
                    <w:rPr>
                      <w:rFonts w:hint="eastAsia"/>
                      <w:color w:val="auto"/>
                      <w:lang w:val="en-US" w:eastAsia="zh-CN"/>
                    </w:rPr>
                    <w:t>废气排放口</w:t>
                  </w:r>
                </w:p>
              </w:tc>
              <w:tc>
                <w:tcPr>
                  <w:tcW w:w="347" w:type="pct"/>
                  <w:noWrap w:val="0"/>
                  <w:vAlign w:val="center"/>
                </w:tcPr>
                <w:p w14:paraId="6AF93725">
                  <w:pPr>
                    <w:adjustRightInd w:val="0"/>
                    <w:snapToGrid w:val="0"/>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15</w:t>
                  </w:r>
                </w:p>
              </w:tc>
              <w:tc>
                <w:tcPr>
                  <w:tcW w:w="386" w:type="pct"/>
                  <w:noWrap w:val="0"/>
                  <w:vAlign w:val="center"/>
                </w:tcPr>
                <w:p w14:paraId="16547EF9">
                  <w:pPr>
                    <w:adjustRightInd w:val="0"/>
                    <w:snapToGrid w:val="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0.45</w:t>
                  </w:r>
                </w:p>
              </w:tc>
              <w:tc>
                <w:tcPr>
                  <w:tcW w:w="424" w:type="pct"/>
                  <w:noWrap w:val="0"/>
                  <w:vAlign w:val="center"/>
                </w:tcPr>
                <w:p w14:paraId="09C34698">
                  <w:pPr>
                    <w:adjustRightInd w:val="0"/>
                    <w:snapToGrid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25</w:t>
                  </w:r>
                </w:p>
              </w:tc>
              <w:tc>
                <w:tcPr>
                  <w:tcW w:w="759" w:type="pct"/>
                  <w:noWrap w:val="0"/>
                  <w:vAlign w:val="center"/>
                </w:tcPr>
                <w:p w14:paraId="2732B038">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E</w:t>
                  </w:r>
                  <w:r>
                    <w:rPr>
                      <w:rFonts w:hint="default" w:ascii="Times New Roman" w:hAnsi="Times New Roman" w:eastAsia="宋体" w:cs="Times New Roman"/>
                      <w:color w:val="auto"/>
                      <w:sz w:val="21"/>
                      <w:szCs w:val="21"/>
                      <w:lang w:val="en-US" w:eastAsia="zh-CN"/>
                    </w:rPr>
                    <w:t>117°</w:t>
                  </w:r>
                  <w:r>
                    <w:rPr>
                      <w:rFonts w:hint="eastAsia" w:cs="Times New Roman"/>
                      <w:color w:val="auto"/>
                      <w:sz w:val="21"/>
                      <w:szCs w:val="21"/>
                      <w:lang w:val="en-US" w:eastAsia="zh-CN"/>
                    </w:rPr>
                    <w:t>28</w:t>
                  </w:r>
                  <w:r>
                    <w:rPr>
                      <w:rFonts w:hint="default"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5.627</w:t>
                  </w:r>
                  <w:r>
                    <w:rPr>
                      <w:rFonts w:hint="default" w:ascii="Times New Roman" w:hAnsi="Times New Roman" w:eastAsia="宋体" w:cs="Times New Roman"/>
                      <w:color w:val="auto"/>
                      <w:sz w:val="21"/>
                      <w:szCs w:val="21"/>
                      <w:lang w:val="en-US" w:eastAsia="zh-CN"/>
                    </w:rPr>
                    <w:t>″</w:t>
                  </w:r>
                </w:p>
                <w:p w14:paraId="39BFC9F5">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N</w:t>
                  </w:r>
                  <w:r>
                    <w:rPr>
                      <w:rFonts w:hint="default" w:ascii="Times New Roman" w:hAnsi="Times New Roman" w:eastAsia="宋体" w:cs="Times New Roman"/>
                      <w:color w:val="auto"/>
                      <w:sz w:val="21"/>
                      <w:szCs w:val="21"/>
                      <w:lang w:val="en-US" w:eastAsia="zh-CN"/>
                    </w:rPr>
                    <w:t>33°4</w:t>
                  </w:r>
                  <w:r>
                    <w:rPr>
                      <w:rFonts w:hint="eastAsia" w:cs="Times New Roman"/>
                      <w:color w:val="auto"/>
                      <w:sz w:val="21"/>
                      <w:szCs w:val="21"/>
                      <w:lang w:val="en-US" w:eastAsia="zh-CN"/>
                    </w:rPr>
                    <w:t>7</w:t>
                  </w:r>
                  <w:r>
                    <w:rPr>
                      <w:rFonts w:hint="default"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46.763</w:t>
                  </w:r>
                  <w:r>
                    <w:rPr>
                      <w:rFonts w:hint="default" w:ascii="Times New Roman" w:hAnsi="Times New Roman" w:eastAsia="宋体" w:cs="Times New Roman"/>
                      <w:color w:val="auto"/>
                      <w:sz w:val="21"/>
                      <w:szCs w:val="21"/>
                      <w:lang w:val="en-US" w:eastAsia="zh-CN"/>
                    </w:rPr>
                    <w:t>″</w:t>
                  </w:r>
                </w:p>
              </w:tc>
              <w:tc>
                <w:tcPr>
                  <w:tcW w:w="528" w:type="pct"/>
                  <w:noWrap w:val="0"/>
                  <w:vAlign w:val="center"/>
                </w:tcPr>
                <w:p w14:paraId="4B1A33C0">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一般排放口</w:t>
                  </w:r>
                </w:p>
              </w:tc>
              <w:tc>
                <w:tcPr>
                  <w:tcW w:w="483" w:type="pct"/>
                  <w:noWrap w:val="0"/>
                  <w:vAlign w:val="center"/>
                </w:tcPr>
                <w:p w14:paraId="201B8A17">
                  <w:pPr>
                    <w:adjustRightInd w:val="0"/>
                    <w:snapToGrid w:val="0"/>
                    <w:jc w:val="center"/>
                    <w:rPr>
                      <w:rFonts w:hint="default"/>
                      <w:color w:val="auto"/>
                      <w:lang w:val="en-US" w:eastAsia="zh-CN"/>
                    </w:rPr>
                  </w:pPr>
                  <w:r>
                    <w:rPr>
                      <w:rFonts w:hint="default"/>
                      <w:color w:val="auto"/>
                      <w:lang w:val="en-US" w:eastAsia="zh-CN"/>
                    </w:rPr>
                    <w:t>DA00</w:t>
                  </w:r>
                  <w:r>
                    <w:rPr>
                      <w:rFonts w:hint="eastAsia"/>
                      <w:color w:val="auto"/>
                      <w:lang w:val="en-US" w:eastAsia="zh-CN"/>
                    </w:rPr>
                    <w:t>4</w:t>
                  </w:r>
                </w:p>
              </w:tc>
              <w:tc>
                <w:tcPr>
                  <w:tcW w:w="686" w:type="pct"/>
                  <w:noWrap w:val="0"/>
                  <w:vAlign w:val="center"/>
                </w:tcPr>
                <w:p w14:paraId="1A5A6E11">
                  <w:pPr>
                    <w:adjustRightInd w:val="0"/>
                    <w:snapToGrid w:val="0"/>
                    <w:jc w:val="center"/>
                    <w:rPr>
                      <w:rFonts w:hint="eastAsia"/>
                      <w:color w:val="auto"/>
                      <w:lang w:val="en-US" w:eastAsia="zh-CN"/>
                    </w:rPr>
                  </w:pPr>
                  <w:r>
                    <w:rPr>
                      <w:rFonts w:hint="eastAsia"/>
                      <w:color w:val="auto"/>
                      <w:lang w:val="en-US" w:eastAsia="zh-CN"/>
                    </w:rPr>
                    <w:t>挥发性有机物</w:t>
                  </w:r>
                </w:p>
              </w:tc>
              <w:tc>
                <w:tcPr>
                  <w:tcW w:w="483" w:type="pct"/>
                  <w:noWrap w:val="0"/>
                  <w:vAlign w:val="center"/>
                </w:tcPr>
                <w:p w14:paraId="382C664D">
                  <w:pPr>
                    <w:adjustRightInd w:val="0"/>
                    <w:snapToGrid w:val="0"/>
                    <w:jc w:val="center"/>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1次/年</w:t>
                  </w:r>
                </w:p>
              </w:tc>
            </w:tr>
            <w:tr w14:paraId="45F8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noWrap w:val="0"/>
                  <w:vAlign w:val="center"/>
                </w:tcPr>
                <w:p w14:paraId="045CE11B">
                  <w:pPr>
                    <w:adjustRightInd w:val="0"/>
                    <w:snapToGrid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有组织</w:t>
                  </w:r>
                </w:p>
              </w:tc>
              <w:tc>
                <w:tcPr>
                  <w:tcW w:w="512" w:type="pct"/>
                  <w:noWrap w:val="0"/>
                  <w:vAlign w:val="center"/>
                </w:tcPr>
                <w:p w14:paraId="7FB6F62C">
                  <w:pPr>
                    <w:adjustRightInd w:val="0"/>
                    <w:snapToGrid w:val="0"/>
                    <w:jc w:val="center"/>
                    <w:rPr>
                      <w:rFonts w:hint="default" w:ascii="Times New Roman" w:hAnsi="Times New Roman" w:eastAsia="宋体" w:cs="Times New Roman"/>
                      <w:color w:val="auto"/>
                      <w:kern w:val="2"/>
                      <w:sz w:val="21"/>
                      <w:szCs w:val="24"/>
                      <w:lang w:val="en-US" w:eastAsia="zh-CN" w:bidi="ar-SA"/>
                    </w:rPr>
                  </w:pPr>
                  <w:r>
                    <w:rPr>
                      <w:rFonts w:hint="default"/>
                      <w:color w:val="auto"/>
                      <w:lang w:val="en-US" w:eastAsia="zh-CN"/>
                    </w:rPr>
                    <w:t>DA00</w:t>
                  </w:r>
                  <w:r>
                    <w:rPr>
                      <w:rFonts w:hint="eastAsia"/>
                      <w:color w:val="auto"/>
                      <w:lang w:val="en-US" w:eastAsia="zh-CN"/>
                    </w:rPr>
                    <w:t>5/</w:t>
                  </w:r>
                  <w:r>
                    <w:rPr>
                      <w:rFonts w:hint="eastAsia" w:ascii="Times New Roman" w:hAnsi="Times New Roman" w:eastAsia="宋体" w:cs="Times New Roman"/>
                      <w:color w:val="auto"/>
                      <w:sz w:val="21"/>
                      <w:szCs w:val="21"/>
                      <w:highlight w:val="none"/>
                      <w:lang w:val="en-US" w:eastAsia="zh-CN"/>
                    </w:rPr>
                    <w:t>喷塑</w:t>
                  </w:r>
                  <w:r>
                    <w:rPr>
                      <w:rFonts w:hint="eastAsia"/>
                      <w:color w:val="auto"/>
                      <w:lang w:val="en-US" w:eastAsia="zh-CN"/>
                    </w:rPr>
                    <w:t>废气排放口</w:t>
                  </w:r>
                </w:p>
              </w:tc>
              <w:tc>
                <w:tcPr>
                  <w:tcW w:w="347" w:type="pct"/>
                  <w:noWrap w:val="0"/>
                  <w:vAlign w:val="center"/>
                </w:tcPr>
                <w:p w14:paraId="5E2CBB95">
                  <w:pPr>
                    <w:adjustRightInd w:val="0"/>
                    <w:snapToGrid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15</w:t>
                  </w:r>
                </w:p>
              </w:tc>
              <w:tc>
                <w:tcPr>
                  <w:tcW w:w="386" w:type="pct"/>
                  <w:noWrap w:val="0"/>
                  <w:vAlign w:val="center"/>
                </w:tcPr>
                <w:p w14:paraId="6542EEC9">
                  <w:pPr>
                    <w:adjustRightInd w:val="0"/>
                    <w:snapToGrid w:val="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0.4</w:t>
                  </w:r>
                </w:p>
              </w:tc>
              <w:tc>
                <w:tcPr>
                  <w:tcW w:w="424" w:type="pct"/>
                  <w:noWrap w:val="0"/>
                  <w:vAlign w:val="center"/>
                </w:tcPr>
                <w:p w14:paraId="1D3D16CC">
                  <w:pPr>
                    <w:adjustRightInd w:val="0"/>
                    <w:snapToGrid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25</w:t>
                  </w:r>
                </w:p>
              </w:tc>
              <w:tc>
                <w:tcPr>
                  <w:tcW w:w="759" w:type="pct"/>
                  <w:noWrap w:val="0"/>
                  <w:vAlign w:val="center"/>
                </w:tcPr>
                <w:p w14:paraId="5280580B">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E</w:t>
                  </w:r>
                  <w:r>
                    <w:rPr>
                      <w:rFonts w:hint="default" w:ascii="Times New Roman" w:hAnsi="Times New Roman" w:eastAsia="宋体" w:cs="Times New Roman"/>
                      <w:color w:val="auto"/>
                      <w:sz w:val="21"/>
                      <w:szCs w:val="21"/>
                      <w:lang w:val="en-US" w:eastAsia="zh-CN"/>
                    </w:rPr>
                    <w:t>117°</w:t>
                  </w:r>
                  <w:r>
                    <w:rPr>
                      <w:rFonts w:hint="eastAsia" w:cs="Times New Roman"/>
                      <w:color w:val="auto"/>
                      <w:sz w:val="21"/>
                      <w:szCs w:val="21"/>
                      <w:lang w:val="en-US" w:eastAsia="zh-CN"/>
                    </w:rPr>
                    <w:t>28</w:t>
                  </w:r>
                  <w:r>
                    <w:rPr>
                      <w:rFonts w:hint="default"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7.601</w:t>
                  </w:r>
                  <w:r>
                    <w:rPr>
                      <w:rFonts w:hint="default" w:ascii="Times New Roman" w:hAnsi="Times New Roman" w:eastAsia="宋体" w:cs="Times New Roman"/>
                      <w:color w:val="auto"/>
                      <w:sz w:val="21"/>
                      <w:szCs w:val="21"/>
                      <w:lang w:val="en-US" w:eastAsia="zh-CN"/>
                    </w:rPr>
                    <w:t>″</w:t>
                  </w:r>
                </w:p>
                <w:p w14:paraId="1C6572A6">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N</w:t>
                  </w:r>
                  <w:r>
                    <w:rPr>
                      <w:rFonts w:hint="default" w:ascii="Times New Roman" w:hAnsi="Times New Roman" w:eastAsia="宋体" w:cs="Times New Roman"/>
                      <w:color w:val="auto"/>
                      <w:sz w:val="21"/>
                      <w:szCs w:val="21"/>
                      <w:lang w:val="en-US" w:eastAsia="zh-CN"/>
                    </w:rPr>
                    <w:t>33°</w:t>
                  </w:r>
                  <w:r>
                    <w:rPr>
                      <w:rFonts w:hint="eastAsia" w:cs="Times New Roman"/>
                      <w:color w:val="auto"/>
                      <w:sz w:val="21"/>
                      <w:szCs w:val="21"/>
                      <w:lang w:val="en-US" w:eastAsia="zh-CN"/>
                    </w:rPr>
                    <w:t>47</w:t>
                  </w:r>
                  <w:r>
                    <w:rPr>
                      <w:rFonts w:hint="default"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45.778</w:t>
                  </w:r>
                  <w:r>
                    <w:rPr>
                      <w:rFonts w:hint="default" w:ascii="Times New Roman" w:hAnsi="Times New Roman" w:eastAsia="宋体" w:cs="Times New Roman"/>
                      <w:color w:val="auto"/>
                      <w:sz w:val="21"/>
                      <w:szCs w:val="21"/>
                      <w:lang w:val="en-US" w:eastAsia="zh-CN"/>
                    </w:rPr>
                    <w:t>″</w:t>
                  </w:r>
                </w:p>
              </w:tc>
              <w:tc>
                <w:tcPr>
                  <w:tcW w:w="528" w:type="pct"/>
                  <w:noWrap w:val="0"/>
                  <w:vAlign w:val="center"/>
                </w:tcPr>
                <w:p w14:paraId="714F7D8F">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一般排放口</w:t>
                  </w:r>
                </w:p>
              </w:tc>
              <w:tc>
                <w:tcPr>
                  <w:tcW w:w="483" w:type="pct"/>
                  <w:noWrap w:val="0"/>
                  <w:vAlign w:val="center"/>
                </w:tcPr>
                <w:p w14:paraId="6D1B38DC">
                  <w:pPr>
                    <w:adjustRightInd w:val="0"/>
                    <w:snapToGrid w:val="0"/>
                    <w:jc w:val="center"/>
                    <w:rPr>
                      <w:rFonts w:hint="default"/>
                      <w:color w:val="auto"/>
                      <w:lang w:val="en-US" w:eastAsia="zh-CN"/>
                    </w:rPr>
                  </w:pPr>
                  <w:r>
                    <w:rPr>
                      <w:rFonts w:hint="default"/>
                      <w:color w:val="auto"/>
                      <w:lang w:val="en-US" w:eastAsia="zh-CN"/>
                    </w:rPr>
                    <w:t>DA00</w:t>
                  </w:r>
                  <w:r>
                    <w:rPr>
                      <w:rFonts w:hint="eastAsia"/>
                      <w:color w:val="auto"/>
                      <w:lang w:val="en-US" w:eastAsia="zh-CN"/>
                    </w:rPr>
                    <w:t>5</w:t>
                  </w:r>
                </w:p>
              </w:tc>
              <w:tc>
                <w:tcPr>
                  <w:tcW w:w="686" w:type="pct"/>
                  <w:noWrap w:val="0"/>
                  <w:vAlign w:val="center"/>
                </w:tcPr>
                <w:p w14:paraId="4844F93E">
                  <w:pPr>
                    <w:adjustRightInd w:val="0"/>
                    <w:snapToGrid w:val="0"/>
                    <w:jc w:val="center"/>
                    <w:rPr>
                      <w:rFonts w:hint="eastAsia"/>
                      <w:color w:val="auto"/>
                      <w:lang w:val="en-US" w:eastAsia="zh-CN"/>
                    </w:rPr>
                  </w:pPr>
                  <w:r>
                    <w:rPr>
                      <w:rFonts w:hint="eastAsia"/>
                      <w:color w:val="auto"/>
                      <w:lang w:val="en-US" w:eastAsia="zh-CN"/>
                    </w:rPr>
                    <w:t>颗粒物</w:t>
                  </w:r>
                </w:p>
              </w:tc>
              <w:tc>
                <w:tcPr>
                  <w:tcW w:w="483" w:type="pct"/>
                  <w:noWrap w:val="0"/>
                  <w:vAlign w:val="center"/>
                </w:tcPr>
                <w:p w14:paraId="4EFB50CB">
                  <w:pPr>
                    <w:adjustRightInd w:val="0"/>
                    <w:snapToGrid w:val="0"/>
                    <w:jc w:val="center"/>
                    <w:rPr>
                      <w:rFonts w:hint="default" w:ascii="Times New Roman" w:hAnsi="Times New Roman" w:eastAsia="宋体" w:cs="Times New Roman"/>
                      <w:snapToGrid/>
                      <w:color w:val="auto"/>
                      <w:spacing w:val="0"/>
                      <w:kern w:val="0"/>
                      <w:position w:val="0"/>
                      <w:sz w:val="21"/>
                      <w:szCs w:val="21"/>
                    </w:rPr>
                  </w:pPr>
                  <w:r>
                    <w:rPr>
                      <w:rFonts w:hint="default" w:ascii="Times New Roman" w:hAnsi="Times New Roman" w:eastAsia="宋体" w:cs="Times New Roman"/>
                      <w:snapToGrid/>
                      <w:color w:val="auto"/>
                      <w:spacing w:val="0"/>
                      <w:kern w:val="0"/>
                      <w:position w:val="0"/>
                      <w:sz w:val="21"/>
                      <w:szCs w:val="21"/>
                    </w:rPr>
                    <w:t>1次/年</w:t>
                  </w:r>
                </w:p>
              </w:tc>
            </w:tr>
            <w:tr w14:paraId="0D73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noWrap w:val="0"/>
                  <w:vAlign w:val="center"/>
                </w:tcPr>
                <w:p w14:paraId="4275ACB4">
                  <w:pPr>
                    <w:adjustRightInd w:val="0"/>
                    <w:snapToGrid w:val="0"/>
                    <w:jc w:val="center"/>
                    <w:rPr>
                      <w:rFonts w:hint="default"/>
                      <w:color w:val="auto"/>
                      <w:lang w:val="en-US" w:eastAsia="zh-CN"/>
                    </w:rPr>
                  </w:pPr>
                  <w:r>
                    <w:rPr>
                      <w:rFonts w:hint="eastAsia"/>
                      <w:color w:val="auto"/>
                      <w:lang w:val="en-US" w:eastAsia="zh-CN"/>
                    </w:rPr>
                    <w:t>无组织</w:t>
                  </w:r>
                </w:p>
              </w:tc>
              <w:tc>
                <w:tcPr>
                  <w:tcW w:w="512" w:type="pct"/>
                  <w:noWrap w:val="0"/>
                  <w:vAlign w:val="center"/>
                </w:tcPr>
                <w:p w14:paraId="7B6600D6">
                  <w:pPr>
                    <w:adjustRightInd w:val="0"/>
                    <w:snapToGrid w:val="0"/>
                    <w:jc w:val="center"/>
                    <w:rPr>
                      <w:rFonts w:hint="default"/>
                      <w:color w:val="auto"/>
                      <w:lang w:val="en-US" w:eastAsia="zh-CN"/>
                    </w:rPr>
                  </w:pPr>
                  <w:r>
                    <w:rPr>
                      <w:rFonts w:hint="eastAsia"/>
                      <w:color w:val="auto"/>
                      <w:lang w:val="en-US" w:eastAsia="zh-CN"/>
                    </w:rPr>
                    <w:t>厂界</w:t>
                  </w:r>
                </w:p>
              </w:tc>
              <w:tc>
                <w:tcPr>
                  <w:tcW w:w="347" w:type="pct"/>
                  <w:noWrap w:val="0"/>
                  <w:vAlign w:val="center"/>
                </w:tcPr>
                <w:p w14:paraId="46C2D648">
                  <w:pPr>
                    <w:adjustRightInd w:val="0"/>
                    <w:snapToGrid w:val="0"/>
                    <w:jc w:val="center"/>
                    <w:rPr>
                      <w:rFonts w:hint="default"/>
                      <w:color w:val="auto"/>
                      <w:lang w:val="en-US" w:eastAsia="zh-CN"/>
                    </w:rPr>
                  </w:pPr>
                  <w:r>
                    <w:rPr>
                      <w:rFonts w:hint="eastAsia"/>
                      <w:color w:val="auto"/>
                      <w:lang w:val="en-US" w:eastAsia="zh-CN"/>
                    </w:rPr>
                    <w:t>/</w:t>
                  </w:r>
                </w:p>
              </w:tc>
              <w:tc>
                <w:tcPr>
                  <w:tcW w:w="386" w:type="pct"/>
                  <w:noWrap w:val="0"/>
                  <w:vAlign w:val="center"/>
                </w:tcPr>
                <w:p w14:paraId="4029975C">
                  <w:pPr>
                    <w:adjustRightInd w:val="0"/>
                    <w:snapToGrid w:val="0"/>
                    <w:jc w:val="center"/>
                    <w:rPr>
                      <w:rFonts w:hint="default"/>
                      <w:color w:val="auto"/>
                      <w:lang w:val="en-US" w:eastAsia="zh-CN"/>
                    </w:rPr>
                  </w:pPr>
                  <w:r>
                    <w:rPr>
                      <w:rFonts w:hint="eastAsia"/>
                      <w:color w:val="auto"/>
                      <w:lang w:val="en-US" w:eastAsia="zh-CN"/>
                    </w:rPr>
                    <w:t>/</w:t>
                  </w:r>
                </w:p>
              </w:tc>
              <w:tc>
                <w:tcPr>
                  <w:tcW w:w="424" w:type="pct"/>
                  <w:noWrap w:val="0"/>
                  <w:vAlign w:val="center"/>
                </w:tcPr>
                <w:p w14:paraId="79646CEC">
                  <w:pPr>
                    <w:adjustRightInd w:val="0"/>
                    <w:snapToGrid w:val="0"/>
                    <w:jc w:val="center"/>
                    <w:rPr>
                      <w:rFonts w:hint="default"/>
                      <w:color w:val="auto"/>
                      <w:lang w:val="en-US" w:eastAsia="zh-CN"/>
                    </w:rPr>
                  </w:pPr>
                  <w:r>
                    <w:rPr>
                      <w:rFonts w:hint="eastAsia"/>
                      <w:color w:val="auto"/>
                      <w:lang w:val="en-US" w:eastAsia="zh-CN"/>
                    </w:rPr>
                    <w:t>/</w:t>
                  </w:r>
                </w:p>
              </w:tc>
              <w:tc>
                <w:tcPr>
                  <w:tcW w:w="759" w:type="pct"/>
                  <w:noWrap w:val="0"/>
                  <w:vAlign w:val="center"/>
                </w:tcPr>
                <w:p w14:paraId="183BC168">
                  <w:pPr>
                    <w:adjustRightInd w:val="0"/>
                    <w:snapToGrid w:val="0"/>
                    <w:jc w:val="center"/>
                    <w:rPr>
                      <w:rFonts w:hint="default"/>
                      <w:color w:val="auto"/>
                      <w:lang w:val="en-US" w:eastAsia="zh-CN"/>
                    </w:rPr>
                  </w:pPr>
                  <w:r>
                    <w:rPr>
                      <w:rFonts w:hint="eastAsia"/>
                      <w:color w:val="auto"/>
                      <w:lang w:val="en-US" w:eastAsia="zh-CN"/>
                    </w:rPr>
                    <w:t>/</w:t>
                  </w:r>
                </w:p>
              </w:tc>
              <w:tc>
                <w:tcPr>
                  <w:tcW w:w="528" w:type="pct"/>
                  <w:noWrap w:val="0"/>
                  <w:vAlign w:val="center"/>
                </w:tcPr>
                <w:p w14:paraId="779A75C9">
                  <w:pPr>
                    <w:adjustRightInd w:val="0"/>
                    <w:snapToGrid w:val="0"/>
                    <w:jc w:val="center"/>
                    <w:rPr>
                      <w:rFonts w:hint="default"/>
                      <w:color w:val="auto"/>
                      <w:lang w:val="en-US" w:eastAsia="zh-CN"/>
                    </w:rPr>
                  </w:pPr>
                  <w:r>
                    <w:rPr>
                      <w:rFonts w:hint="eastAsia"/>
                      <w:color w:val="auto"/>
                      <w:lang w:val="en-US" w:eastAsia="zh-CN"/>
                    </w:rPr>
                    <w:t>/</w:t>
                  </w:r>
                </w:p>
              </w:tc>
              <w:tc>
                <w:tcPr>
                  <w:tcW w:w="483" w:type="pct"/>
                  <w:noWrap w:val="0"/>
                  <w:vAlign w:val="center"/>
                </w:tcPr>
                <w:p w14:paraId="6D5A33E7">
                  <w:pPr>
                    <w:adjustRightInd w:val="0"/>
                    <w:snapToGrid w:val="0"/>
                    <w:jc w:val="center"/>
                    <w:rPr>
                      <w:rFonts w:hint="default"/>
                      <w:color w:val="auto"/>
                      <w:lang w:val="en-US" w:eastAsia="zh-CN"/>
                    </w:rPr>
                  </w:pPr>
                  <w:r>
                    <w:rPr>
                      <w:rFonts w:hint="eastAsia"/>
                      <w:color w:val="auto"/>
                      <w:lang w:val="en-US" w:eastAsia="zh-CN"/>
                    </w:rPr>
                    <w:t>厂界</w:t>
                  </w:r>
                </w:p>
              </w:tc>
              <w:tc>
                <w:tcPr>
                  <w:tcW w:w="686" w:type="pct"/>
                  <w:noWrap w:val="0"/>
                  <w:vAlign w:val="center"/>
                </w:tcPr>
                <w:p w14:paraId="6ED5D4FA">
                  <w:pPr>
                    <w:adjustRightInd w:val="0"/>
                    <w:snapToGrid w:val="0"/>
                    <w:jc w:val="center"/>
                    <w:rPr>
                      <w:rFonts w:hint="default"/>
                      <w:color w:val="auto"/>
                      <w:lang w:val="en-US" w:eastAsia="zh-CN"/>
                    </w:rPr>
                  </w:pPr>
                  <w:r>
                    <w:rPr>
                      <w:rFonts w:hint="eastAsia"/>
                      <w:color w:val="auto"/>
                      <w:lang w:val="en-US" w:eastAsia="zh-CN"/>
                    </w:rPr>
                    <w:t>颗粒物、挥发性有机物、氨气</w:t>
                  </w:r>
                </w:p>
              </w:tc>
              <w:tc>
                <w:tcPr>
                  <w:tcW w:w="483" w:type="pct"/>
                  <w:noWrap w:val="0"/>
                  <w:vAlign w:val="center"/>
                </w:tcPr>
                <w:p w14:paraId="0C974FA9">
                  <w:pPr>
                    <w:adjustRightInd w:val="0"/>
                    <w:snapToGrid w:val="0"/>
                    <w:jc w:val="center"/>
                    <w:rPr>
                      <w:rFonts w:hint="default"/>
                      <w:color w:val="auto"/>
                      <w:lang w:val="en-US" w:eastAsia="zh-CN"/>
                    </w:rPr>
                  </w:pPr>
                  <w:r>
                    <w:rPr>
                      <w:rFonts w:hint="default" w:ascii="Times New Roman" w:hAnsi="Times New Roman" w:eastAsia="宋体" w:cs="Times New Roman"/>
                      <w:snapToGrid/>
                      <w:color w:val="auto"/>
                      <w:spacing w:val="0"/>
                      <w:kern w:val="0"/>
                      <w:position w:val="0"/>
                      <w:sz w:val="21"/>
                      <w:szCs w:val="21"/>
                    </w:rPr>
                    <w:t>1次/年</w:t>
                  </w:r>
                </w:p>
              </w:tc>
            </w:tr>
            <w:tr w14:paraId="390A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noWrap w:val="0"/>
                  <w:vAlign w:val="center"/>
                </w:tcPr>
                <w:p w14:paraId="5DFDFBDA">
                  <w:pPr>
                    <w:adjustRightInd w:val="0"/>
                    <w:snapToGrid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无组织</w:t>
                  </w:r>
                </w:p>
              </w:tc>
              <w:tc>
                <w:tcPr>
                  <w:tcW w:w="512" w:type="pct"/>
                  <w:noWrap w:val="0"/>
                  <w:vAlign w:val="center"/>
                </w:tcPr>
                <w:p w14:paraId="030B8047">
                  <w:pPr>
                    <w:adjustRightInd w:val="0"/>
                    <w:snapToGrid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厂区内</w:t>
                  </w:r>
                </w:p>
              </w:tc>
              <w:tc>
                <w:tcPr>
                  <w:tcW w:w="347" w:type="pct"/>
                  <w:noWrap w:val="0"/>
                  <w:vAlign w:val="center"/>
                </w:tcPr>
                <w:p w14:paraId="42B16509">
                  <w:pPr>
                    <w:adjustRightInd w:val="0"/>
                    <w:snapToGrid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w:t>
                  </w:r>
                </w:p>
              </w:tc>
              <w:tc>
                <w:tcPr>
                  <w:tcW w:w="386" w:type="pct"/>
                  <w:noWrap w:val="0"/>
                  <w:vAlign w:val="center"/>
                </w:tcPr>
                <w:p w14:paraId="203BCD0E">
                  <w:pPr>
                    <w:adjustRightInd w:val="0"/>
                    <w:snapToGrid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w:t>
                  </w:r>
                </w:p>
              </w:tc>
              <w:tc>
                <w:tcPr>
                  <w:tcW w:w="424" w:type="pct"/>
                  <w:noWrap w:val="0"/>
                  <w:vAlign w:val="center"/>
                </w:tcPr>
                <w:p w14:paraId="32C3DF2C">
                  <w:pPr>
                    <w:adjustRightInd w:val="0"/>
                    <w:snapToGrid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w:t>
                  </w:r>
                </w:p>
              </w:tc>
              <w:tc>
                <w:tcPr>
                  <w:tcW w:w="759" w:type="pct"/>
                  <w:noWrap w:val="0"/>
                  <w:vAlign w:val="center"/>
                </w:tcPr>
                <w:p w14:paraId="06312D18">
                  <w:pPr>
                    <w:adjustRightInd w:val="0"/>
                    <w:snapToGrid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w:t>
                  </w:r>
                </w:p>
              </w:tc>
              <w:tc>
                <w:tcPr>
                  <w:tcW w:w="528" w:type="pct"/>
                  <w:noWrap w:val="0"/>
                  <w:vAlign w:val="center"/>
                </w:tcPr>
                <w:p w14:paraId="0F887D8D">
                  <w:pPr>
                    <w:adjustRightInd w:val="0"/>
                    <w:snapToGrid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w:t>
                  </w:r>
                </w:p>
              </w:tc>
              <w:tc>
                <w:tcPr>
                  <w:tcW w:w="483" w:type="pct"/>
                  <w:noWrap w:val="0"/>
                  <w:vAlign w:val="center"/>
                </w:tcPr>
                <w:p w14:paraId="342B3DED">
                  <w:pPr>
                    <w:adjustRightInd w:val="0"/>
                    <w:snapToGrid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厂区内</w:t>
                  </w:r>
                </w:p>
              </w:tc>
              <w:tc>
                <w:tcPr>
                  <w:tcW w:w="686" w:type="pct"/>
                  <w:noWrap w:val="0"/>
                  <w:vAlign w:val="center"/>
                </w:tcPr>
                <w:p w14:paraId="6A397EB7">
                  <w:pPr>
                    <w:adjustRightInd w:val="0"/>
                    <w:snapToGrid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挥发性有机物</w:t>
                  </w:r>
                </w:p>
              </w:tc>
              <w:tc>
                <w:tcPr>
                  <w:tcW w:w="483" w:type="pct"/>
                  <w:noWrap w:val="0"/>
                  <w:vAlign w:val="center"/>
                </w:tcPr>
                <w:p w14:paraId="51653F6A">
                  <w:pPr>
                    <w:adjustRightInd w:val="0"/>
                    <w:snapToGrid w:val="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snapToGrid/>
                      <w:color w:val="auto"/>
                      <w:spacing w:val="0"/>
                      <w:kern w:val="0"/>
                      <w:position w:val="0"/>
                      <w:sz w:val="21"/>
                      <w:szCs w:val="21"/>
                    </w:rPr>
                    <w:t>1次/年</w:t>
                  </w:r>
                </w:p>
              </w:tc>
            </w:tr>
          </w:tbl>
          <w:p w14:paraId="3281F5C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snapToGrid/>
                <w:color w:val="auto"/>
                <w:spacing w:val="0"/>
                <w:kern w:val="0"/>
                <w:position w:val="0"/>
                <w:sz w:val="10"/>
                <w:szCs w:val="10"/>
                <w:lang w:val="en-US" w:eastAsia="zh-CN"/>
              </w:rPr>
            </w:pPr>
          </w:p>
          <w:p w14:paraId="5E86ED9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snapToGrid/>
                <w:color w:val="auto"/>
                <w:spacing w:val="0"/>
                <w:kern w:val="0"/>
                <w:position w:val="0"/>
                <w:sz w:val="10"/>
                <w:szCs w:val="10"/>
                <w:lang w:val="en-US" w:eastAsia="zh-CN"/>
              </w:rPr>
            </w:pPr>
          </w:p>
          <w:p w14:paraId="69922EE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snapToGrid/>
                <w:color w:val="auto"/>
                <w:spacing w:val="0"/>
                <w:kern w:val="0"/>
                <w:position w:val="0"/>
                <w:sz w:val="10"/>
                <w:szCs w:val="10"/>
                <w:lang w:val="en-US" w:eastAsia="zh-CN"/>
              </w:rPr>
            </w:pPr>
          </w:p>
          <w:p w14:paraId="0644700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snapToGrid/>
                <w:color w:val="auto"/>
                <w:spacing w:val="0"/>
                <w:kern w:val="0"/>
                <w:position w:val="0"/>
                <w:sz w:val="10"/>
                <w:szCs w:val="10"/>
                <w:lang w:val="en-US" w:eastAsia="zh-CN"/>
              </w:rPr>
            </w:pPr>
          </w:p>
          <w:p w14:paraId="7D89818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snapToGrid/>
                <w:color w:val="auto"/>
                <w:spacing w:val="0"/>
                <w:kern w:val="0"/>
                <w:position w:val="0"/>
                <w:sz w:val="10"/>
                <w:szCs w:val="10"/>
                <w:lang w:val="en-US" w:eastAsia="zh-CN"/>
              </w:rPr>
            </w:pPr>
          </w:p>
          <w:p w14:paraId="537605E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eastAsia="宋体"/>
                <w:snapToGrid/>
                <w:color w:val="auto"/>
                <w:spacing w:val="0"/>
                <w:kern w:val="0"/>
                <w:position w:val="0"/>
                <w:sz w:val="10"/>
                <w:szCs w:val="10"/>
                <w:lang w:val="en-US" w:eastAsia="zh-CN"/>
              </w:rPr>
            </w:pPr>
          </w:p>
        </w:tc>
      </w:tr>
    </w:tbl>
    <w:p w14:paraId="0812BFB4">
      <w:pPr>
        <w:pStyle w:val="27"/>
        <w:rPr>
          <w:snapToGrid/>
          <w:color w:val="auto"/>
          <w:spacing w:val="0"/>
          <w:kern w:val="0"/>
          <w:position w:val="0"/>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3"/>
        <w:tblW w:w="89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424"/>
      </w:tblGrid>
      <w:tr w14:paraId="66F05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7" w:type="dxa"/>
            <w:tcBorders>
              <w:tl2br w:val="nil"/>
              <w:tr2bl w:val="nil"/>
            </w:tcBorders>
            <w:noWrap w:val="0"/>
            <w:vAlign w:val="center"/>
          </w:tcPr>
          <w:p w14:paraId="5B3F974B">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运营</w:t>
            </w:r>
          </w:p>
          <w:p w14:paraId="6DB96D03">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期环</w:t>
            </w:r>
          </w:p>
          <w:p w14:paraId="2C0C8C88">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境影</w:t>
            </w:r>
          </w:p>
          <w:p w14:paraId="18A4939B">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响和</w:t>
            </w:r>
          </w:p>
          <w:p w14:paraId="7848987D">
            <w:pPr>
              <w:adjustRightInd w:val="0"/>
              <w:snapToGrid w:val="0"/>
              <w:spacing w:line="240" w:lineRule="auto"/>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保护</w:t>
            </w:r>
          </w:p>
          <w:p w14:paraId="29FC66E7">
            <w:pPr>
              <w:pStyle w:val="27"/>
              <w:numPr>
                <w:ilvl w:val="1"/>
                <w:numId w:val="0"/>
              </w:numPr>
              <w:spacing w:line="240" w:lineRule="auto"/>
              <w:ind w:leftChars="0"/>
              <w:jc w:val="center"/>
              <w:rPr>
                <w:rFonts w:hint="default" w:ascii="Times New Roman" w:hAnsi="Times New Roman" w:eastAsia="宋体" w:cs="Times New Roman"/>
                <w:snapToGrid/>
                <w:color w:val="auto"/>
                <w:spacing w:val="0"/>
                <w:kern w:val="0"/>
                <w:position w:val="0"/>
                <w:vertAlign w:val="baseline"/>
              </w:rPr>
            </w:pPr>
            <w:r>
              <w:rPr>
                <w:rFonts w:hint="default" w:ascii="Times New Roman" w:hAnsi="Times New Roman" w:eastAsia="宋体" w:cs="Times New Roman"/>
                <w:b w:val="0"/>
                <w:bCs w:val="0"/>
                <w:snapToGrid/>
                <w:color w:val="auto"/>
                <w:spacing w:val="0"/>
                <w:kern w:val="0"/>
                <w:position w:val="0"/>
                <w:sz w:val="24"/>
                <w:szCs w:val="24"/>
              </w:rPr>
              <w:t>措施</w:t>
            </w:r>
          </w:p>
        </w:tc>
        <w:tc>
          <w:tcPr>
            <w:tcW w:w="0" w:type="auto"/>
            <w:tcBorders>
              <w:tl2br w:val="nil"/>
              <w:tr2bl w:val="nil"/>
            </w:tcBorders>
            <w:noWrap w:val="0"/>
            <w:vAlign w:val="center"/>
          </w:tcPr>
          <w:p w14:paraId="757AD59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废气</w:t>
            </w:r>
            <w:r>
              <w:rPr>
                <w:rFonts w:hint="eastAsia" w:ascii="Times New Roman" w:hAnsi="Times New Roman" w:eastAsia="宋体" w:cs="Times New Roman"/>
                <w:b/>
                <w:color w:val="auto"/>
                <w:sz w:val="24"/>
                <w:lang w:val="en-US" w:eastAsia="zh-CN"/>
              </w:rPr>
              <w:t>工艺可行性</w:t>
            </w:r>
            <w:r>
              <w:rPr>
                <w:rFonts w:hint="default" w:ascii="Times New Roman" w:hAnsi="Times New Roman" w:eastAsia="宋体" w:cs="Times New Roman"/>
                <w:b/>
                <w:color w:val="auto"/>
                <w:sz w:val="24"/>
              </w:rPr>
              <w:t>分析</w:t>
            </w:r>
          </w:p>
          <w:p w14:paraId="6FE1C5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本项目生产过程中废气主要有</w:t>
            </w:r>
            <w:r>
              <w:rPr>
                <w:rFonts w:hint="eastAsia"/>
                <w:color w:val="auto"/>
                <w:sz w:val="24"/>
                <w:lang w:val="en-US" w:eastAsia="zh-CN"/>
              </w:rPr>
              <w:t>混合废气，加热废气，注塑、脱胶废气，喷塑废气，固化废气</w:t>
            </w:r>
            <w:r>
              <w:rPr>
                <w:rFonts w:hint="default" w:ascii="Times New Roman" w:hAnsi="Times New Roman" w:eastAsia="宋体" w:cs="Times New Roman"/>
                <w:color w:val="auto"/>
                <w:sz w:val="24"/>
                <w:szCs w:val="24"/>
                <w:lang w:val="en-US" w:eastAsia="zh-CN"/>
              </w:rPr>
              <w:t>。</w:t>
            </w:r>
          </w:p>
          <w:p w14:paraId="6C57DD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lang w:val="en-US" w:eastAsia="zh-CN"/>
              </w:rPr>
            </w:pPr>
            <w:r>
              <w:rPr>
                <w:rFonts w:hint="eastAsia"/>
                <w:color w:val="auto"/>
                <w:sz w:val="24"/>
                <w:szCs w:val="24"/>
                <w:lang w:val="en-US" w:eastAsia="zh-CN"/>
              </w:rPr>
              <w:t>根据《排污单位自行监测技术指南 总则》（HJ819-2017），</w:t>
            </w:r>
            <w:r>
              <w:rPr>
                <w:rFonts w:hint="default" w:ascii="Times New Roman" w:hAnsi="Times New Roman" w:cs="Times New Roman"/>
                <w:color w:val="auto"/>
                <w:sz w:val="24"/>
                <w:szCs w:val="24"/>
                <w:highlight w:val="none"/>
                <w:lang w:val="en-US" w:eastAsia="zh-CN"/>
              </w:rPr>
              <w:t>挥发性有机物的污染防治设</w:t>
            </w:r>
            <w:r>
              <w:rPr>
                <w:rFonts w:hint="default" w:ascii="Times New Roman" w:hAnsi="Times New Roman" w:eastAsia="宋体" w:cs="Times New Roman"/>
                <w:color w:val="auto"/>
                <w:sz w:val="24"/>
                <w:szCs w:val="24"/>
                <w:highlight w:val="none"/>
                <w:lang w:val="en-US" w:eastAsia="zh-CN"/>
              </w:rPr>
              <w:t>施名称及工艺包括</w:t>
            </w:r>
            <w:r>
              <w:rPr>
                <w:rFonts w:hint="default" w:ascii="Times New Roman" w:hAnsi="Times New Roman" w:eastAsia="宋体" w:cs="Times New Roman"/>
                <w:color w:val="auto"/>
                <w:sz w:val="24"/>
                <w:szCs w:val="24"/>
                <w:highlight w:val="none"/>
              </w:rPr>
              <w:t>活性炭吸附法，燃烧法，浓缩+燃烧法</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eastAsia="zh-CN"/>
              </w:rPr>
              <w:t>颗粒物</w:t>
            </w:r>
            <w:r>
              <w:rPr>
                <w:rFonts w:hint="default" w:ascii="Times New Roman" w:hAnsi="Times New Roman" w:eastAsia="宋体" w:cs="Times New Roman"/>
                <w:color w:val="auto"/>
                <w:sz w:val="24"/>
                <w:szCs w:val="24"/>
                <w:highlight w:val="none"/>
                <w:lang w:eastAsia="zh-CN"/>
              </w:rPr>
              <w:t>的污染防治设施名称及工艺包括布袋除尘、旋风除尘等；</w:t>
            </w:r>
            <w:r>
              <w:rPr>
                <w:rFonts w:hint="default" w:ascii="Times New Roman" w:hAnsi="Times New Roman" w:eastAsia="宋体" w:cs="Times New Roman"/>
                <w:color w:val="auto"/>
                <w:sz w:val="24"/>
                <w:szCs w:val="24"/>
                <w:lang w:val="en-US" w:eastAsia="zh-CN"/>
              </w:rPr>
              <w:t>则本项目</w:t>
            </w:r>
            <w:r>
              <w:rPr>
                <w:rFonts w:hint="eastAsia"/>
                <w:color w:val="auto"/>
                <w:sz w:val="24"/>
                <w:lang w:val="en-US" w:eastAsia="zh-CN"/>
              </w:rPr>
              <w:t>混合废气</w:t>
            </w:r>
            <w:r>
              <w:rPr>
                <w:rFonts w:hint="default" w:ascii="Times New Roman" w:hAnsi="Times New Roman" w:eastAsia="宋体" w:cs="Times New Roman"/>
                <w:color w:val="auto"/>
                <w:sz w:val="24"/>
                <w:szCs w:val="24"/>
                <w:lang w:val="en-US" w:eastAsia="zh-CN"/>
              </w:rPr>
              <w:t>采用</w:t>
            </w:r>
            <w:r>
              <w:rPr>
                <w:rFonts w:hint="eastAsia" w:ascii="宋体" w:hAnsi="宋体" w:eastAsia="宋体" w:cs="宋体"/>
                <w:color w:val="auto"/>
                <w:sz w:val="24"/>
                <w:szCs w:val="24"/>
                <w:lang w:val="en-US" w:eastAsia="zh-CN"/>
              </w:rPr>
              <w:t>“集气罩</w:t>
            </w:r>
            <w:r>
              <w:rPr>
                <w:rFonts w:hint="default" w:ascii="Times New Roman" w:hAnsi="Times New Roman" w:eastAsia="宋体" w:cs="Times New Roman"/>
                <w:color w:val="auto"/>
                <w:sz w:val="24"/>
                <w:szCs w:val="24"/>
                <w:lang w:val="en-US" w:eastAsia="zh-CN"/>
              </w:rPr>
              <w:t>+布袋除尘器+</w:t>
            </w:r>
            <w:r>
              <w:rPr>
                <w:rFonts w:hint="eastAsia"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米高排气筒（DA00</w:t>
            </w:r>
            <w:r>
              <w:rPr>
                <w:rFonts w:hint="eastAsia"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w:t>
            </w:r>
            <w:r>
              <w:rPr>
                <w:rFonts w:hint="eastAsia" w:ascii="宋体" w:hAnsi="宋体" w:eastAsia="宋体" w:cs="宋体"/>
                <w:color w:val="auto"/>
                <w:sz w:val="24"/>
                <w:szCs w:val="24"/>
                <w:lang w:val="en-US" w:eastAsia="zh-CN"/>
              </w:rPr>
              <w:t>”处理，</w:t>
            </w:r>
            <w:r>
              <w:rPr>
                <w:rFonts w:hint="eastAsia"/>
                <w:color w:val="auto"/>
                <w:sz w:val="24"/>
                <w:lang w:val="en-US" w:eastAsia="zh-CN"/>
              </w:rPr>
              <w:t>加热废气，注塑、脱胶废气、固化废气</w:t>
            </w:r>
            <w:r>
              <w:rPr>
                <w:rFonts w:hint="default" w:ascii="Times New Roman" w:hAnsi="Times New Roman" w:cs="Times New Roman"/>
                <w:color w:val="auto"/>
                <w:sz w:val="24"/>
                <w:szCs w:val="24"/>
                <w:highlight w:val="none"/>
                <w:lang w:val="en-US" w:eastAsia="zh-CN"/>
              </w:rPr>
              <w:t>挥发性有机物</w:t>
            </w:r>
            <w:r>
              <w:rPr>
                <w:rFonts w:hint="default" w:ascii="Times New Roman" w:hAnsi="Times New Roman" w:eastAsia="宋体" w:cs="Times New Roman"/>
                <w:color w:val="auto"/>
                <w:sz w:val="24"/>
                <w:szCs w:val="24"/>
                <w:lang w:val="en-US" w:eastAsia="zh-CN"/>
              </w:rPr>
              <w:t>采用</w:t>
            </w:r>
            <w:r>
              <w:rPr>
                <w:rFonts w:hint="eastAsia" w:ascii="宋体" w:hAnsi="宋体" w:eastAsia="宋体" w:cs="宋体"/>
                <w:color w:val="auto"/>
                <w:sz w:val="24"/>
                <w:szCs w:val="24"/>
                <w:lang w:val="en-US" w:eastAsia="zh-CN"/>
              </w:rPr>
              <w:t>“集气罩+二级活性炭吸附装</w:t>
            </w:r>
            <w:r>
              <w:rPr>
                <w:rFonts w:hint="default" w:ascii="Times New Roman" w:hAnsi="Times New Roman" w:eastAsia="宋体" w:cs="Times New Roman"/>
                <w:color w:val="auto"/>
                <w:sz w:val="24"/>
                <w:szCs w:val="24"/>
                <w:lang w:val="en-US" w:eastAsia="zh-CN"/>
              </w:rPr>
              <w:t>置</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进行处理后分别通过15米高排气筒排放（DA00</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、DA00</w:t>
            </w:r>
            <w:r>
              <w:rPr>
                <w:rFonts w:hint="eastAsia" w:cs="Times New Roman"/>
                <w:color w:val="auto"/>
                <w:sz w:val="24"/>
                <w:szCs w:val="24"/>
                <w:lang w:val="en-US" w:eastAsia="zh-CN"/>
              </w:rPr>
              <w:t>3、DA004</w:t>
            </w:r>
            <w:r>
              <w:rPr>
                <w:rFonts w:hint="default" w:ascii="Times New Roman" w:hAnsi="Times New Roman" w:eastAsia="宋体" w:cs="Times New Roman"/>
                <w:color w:val="auto"/>
                <w:sz w:val="24"/>
                <w:szCs w:val="24"/>
                <w:lang w:val="en-US" w:eastAsia="zh-CN"/>
              </w:rPr>
              <w:t>）处理</w:t>
            </w:r>
            <w:r>
              <w:rPr>
                <w:rFonts w:hint="eastAsia" w:cs="Times New Roman"/>
                <w:color w:val="auto"/>
                <w:sz w:val="24"/>
                <w:szCs w:val="24"/>
                <w:lang w:val="en-US" w:eastAsia="zh-CN"/>
              </w:rPr>
              <w:t>，喷塑废气</w:t>
            </w:r>
            <w:r>
              <w:rPr>
                <w:rFonts w:hint="default" w:ascii="Times New Roman" w:hAnsi="Times New Roman" w:eastAsia="宋体" w:cs="Times New Roman"/>
                <w:color w:val="auto"/>
                <w:sz w:val="24"/>
                <w:szCs w:val="24"/>
                <w:lang w:val="en-US" w:eastAsia="zh-CN"/>
              </w:rPr>
              <w:t>采用</w:t>
            </w:r>
            <w:r>
              <w:rPr>
                <w:rFonts w:hint="eastAsia" w:ascii="宋体" w:hAnsi="宋体" w:eastAsia="宋体" w:cs="宋体"/>
                <w:color w:val="auto"/>
                <w:sz w:val="24"/>
                <w:szCs w:val="24"/>
                <w:lang w:val="en-US" w:eastAsia="zh-CN"/>
              </w:rPr>
              <w:t>“侧向集气罩</w:t>
            </w:r>
            <w:r>
              <w:rPr>
                <w:rFonts w:hint="default" w:ascii="Times New Roman" w:hAnsi="Times New Roman" w:eastAsia="宋体" w:cs="Times New Roman"/>
                <w:color w:val="auto"/>
                <w:sz w:val="24"/>
                <w:szCs w:val="24"/>
                <w:lang w:val="en-US" w:eastAsia="zh-CN"/>
              </w:rPr>
              <w:t>+布袋除尘器+</w:t>
            </w:r>
            <w:r>
              <w:rPr>
                <w:rFonts w:hint="eastAsia"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米高排气筒（DA00</w:t>
            </w: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w:t>
            </w:r>
            <w:r>
              <w:rPr>
                <w:rFonts w:hint="eastAsia" w:ascii="宋体" w:hAnsi="宋体" w:eastAsia="宋体" w:cs="宋体"/>
                <w:color w:val="auto"/>
                <w:sz w:val="24"/>
                <w:szCs w:val="24"/>
                <w:lang w:val="en-US" w:eastAsia="zh-CN"/>
              </w:rPr>
              <w:t>”处理。</w:t>
            </w:r>
            <w:r>
              <w:rPr>
                <w:rFonts w:ascii="宋体" w:hAnsi="宋体" w:eastAsia="宋体" w:cs="宋体"/>
                <w:color w:val="auto"/>
                <w:sz w:val="24"/>
                <w:szCs w:val="24"/>
              </w:rPr>
              <w:t>本项目活性炭吸附装置采用侧面进气方式，有机废气为低浓度，能保证有效吸收有机废气，吸附效率能达</w:t>
            </w:r>
            <w:r>
              <w:rPr>
                <w:rFonts w:hint="default" w:ascii="Times New Roman" w:hAnsi="Times New Roman" w:eastAsia="宋体" w:cs="Times New Roman"/>
                <w:color w:val="auto"/>
                <w:sz w:val="24"/>
                <w:szCs w:val="24"/>
              </w:rPr>
              <w:t>到</w:t>
            </w: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rPr>
              <w:t>0%。本项目活性炭吸附装置设计参数满足《</w:t>
            </w:r>
            <w:r>
              <w:rPr>
                <w:rFonts w:hint="default" w:ascii="Times New Roman" w:hAnsi="Times New Roman" w:eastAsia="宋体" w:cs="Times New Roman"/>
                <w:color w:val="auto"/>
                <w:sz w:val="24"/>
                <w:szCs w:val="24"/>
                <w:lang w:eastAsia="zh-CN"/>
              </w:rPr>
              <w:t>重点行业挥发性有机物治理环境管理技术规范</w:t>
            </w:r>
            <w:r>
              <w:rPr>
                <w:rFonts w:hint="default" w:ascii="Times New Roman" w:hAnsi="Times New Roman" w:eastAsia="宋体" w:cs="Times New Roman"/>
                <w:color w:val="auto"/>
                <w:sz w:val="24"/>
                <w:szCs w:val="24"/>
                <w:lang w:val="en-US" w:eastAsia="zh-CN"/>
              </w:rPr>
              <w:t xml:space="preserve"> 第1部分：通则</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DB34/T4230.1-2022）</w:t>
            </w:r>
            <w:r>
              <w:rPr>
                <w:rFonts w:hint="default" w:ascii="Times New Roman" w:hAnsi="Times New Roman" w:eastAsia="宋体" w:cs="Times New Roman"/>
                <w:color w:val="auto"/>
                <w:sz w:val="24"/>
                <w:szCs w:val="24"/>
              </w:rPr>
              <w:t>中要求，</w:t>
            </w:r>
            <w:r>
              <w:rPr>
                <w:rFonts w:hint="eastAsia" w:ascii="Times New Roman" w:hAnsi="Times New Roman" w:eastAsia="宋体" w:cs="Times New Roman"/>
                <w:color w:val="auto"/>
                <w:sz w:val="24"/>
                <w:szCs w:val="24"/>
                <w:lang w:eastAsia="zh-CN"/>
              </w:rPr>
              <w:t>治理技术选择范围（5.1.1 末端治理技术选择应考虑废气浓度、风量、温度和湿度等，同时满足HJ942的要求。常见VOCs控制技术比较见附录表A.1。5.1.2 高浓度VOCs</w:t>
            </w:r>
            <w:r>
              <w:rPr>
                <w:rFonts w:hint="eastAsia" w:cs="Times New Roman"/>
                <w:color w:val="auto"/>
                <w:sz w:val="24"/>
                <w:szCs w:val="24"/>
                <w:lang w:eastAsia="zh-CN"/>
              </w:rPr>
              <w:t>（</w:t>
            </w:r>
            <w:r>
              <w:rPr>
                <w:rFonts w:hint="eastAsia" w:ascii="Times New Roman" w:hAnsi="Times New Roman" w:eastAsia="宋体" w:cs="Times New Roman"/>
                <w:color w:val="auto"/>
                <w:sz w:val="24"/>
                <w:szCs w:val="24"/>
                <w:lang w:eastAsia="zh-CN"/>
              </w:rPr>
              <w:t>大于10000 ppm</w:t>
            </w:r>
            <w:r>
              <w:rPr>
                <w:rFonts w:hint="eastAsia" w:cs="Times New Roman"/>
                <w:color w:val="auto"/>
                <w:sz w:val="24"/>
                <w:szCs w:val="24"/>
                <w:lang w:eastAsia="zh-CN"/>
              </w:rPr>
              <w:t>）</w:t>
            </w:r>
            <w:r>
              <w:rPr>
                <w:rFonts w:hint="eastAsia" w:ascii="Times New Roman" w:hAnsi="Times New Roman" w:eastAsia="宋体" w:cs="Times New Roman"/>
                <w:color w:val="auto"/>
                <w:sz w:val="24"/>
                <w:szCs w:val="24"/>
                <w:lang w:eastAsia="zh-CN"/>
              </w:rPr>
              <w:t>宜优先采用油气回收、冷凝等回收技术，降低VOCs浓度后再采用催化燃烧、高温燃烧、吸附等处理技术；中等浓度VOCs(1000～10000 ppm</w:t>
            </w:r>
            <w:r>
              <w:rPr>
                <w:rFonts w:hint="eastAsia" w:cs="Times New Roman"/>
                <w:color w:val="auto"/>
                <w:sz w:val="24"/>
                <w:szCs w:val="24"/>
                <w:lang w:eastAsia="zh-CN"/>
              </w:rPr>
              <w:t>）</w:t>
            </w:r>
            <w:r>
              <w:rPr>
                <w:rFonts w:hint="eastAsia" w:ascii="Times New Roman" w:hAnsi="Times New Roman" w:eastAsia="宋体" w:cs="Times New Roman"/>
                <w:color w:val="auto"/>
                <w:sz w:val="24"/>
                <w:szCs w:val="24"/>
                <w:lang w:eastAsia="zh-CN"/>
              </w:rPr>
              <w:t>宜采用吸附、吸收、催化燃烧、高温燃烧等处理技术；低浓度VOCs</w:t>
            </w:r>
            <w:r>
              <w:rPr>
                <w:rFonts w:hint="eastAsia" w:cs="Times New Roman"/>
                <w:color w:val="auto"/>
                <w:sz w:val="24"/>
                <w:szCs w:val="24"/>
                <w:lang w:eastAsia="zh-CN"/>
              </w:rPr>
              <w:t>（</w:t>
            </w:r>
            <w:r>
              <w:rPr>
                <w:rFonts w:hint="eastAsia" w:ascii="Times New Roman" w:hAnsi="Times New Roman" w:eastAsia="宋体" w:cs="Times New Roman"/>
                <w:color w:val="auto"/>
                <w:sz w:val="24"/>
                <w:szCs w:val="24"/>
                <w:lang w:eastAsia="zh-CN"/>
              </w:rPr>
              <w:t>小于1000 ppm</w:t>
            </w:r>
            <w:r>
              <w:rPr>
                <w:rFonts w:hint="eastAsia" w:cs="Times New Roman"/>
                <w:color w:val="auto"/>
                <w:sz w:val="24"/>
                <w:szCs w:val="24"/>
                <w:lang w:eastAsia="zh-CN"/>
              </w:rPr>
              <w:t>）</w:t>
            </w:r>
            <w:r>
              <w:rPr>
                <w:rFonts w:hint="eastAsia" w:ascii="Times New Roman" w:hAnsi="Times New Roman" w:eastAsia="宋体" w:cs="Times New Roman"/>
                <w:color w:val="auto"/>
                <w:sz w:val="24"/>
                <w:szCs w:val="24"/>
                <w:lang w:eastAsia="zh-CN"/>
              </w:rPr>
              <w:t>宜采用吸附浓缩、生物法、吸收法等处理技术）本项目产生的挥发性有机物浓度属于中等浓度，采用</w:t>
            </w:r>
            <w:r>
              <w:rPr>
                <w:rFonts w:hint="eastAsia" w:cs="Times New Roman"/>
                <w:color w:val="auto"/>
                <w:sz w:val="24"/>
                <w:szCs w:val="24"/>
                <w:lang w:eastAsia="zh-CN"/>
              </w:rPr>
              <w:t>活性炭吸附法</w:t>
            </w:r>
            <w:r>
              <w:rPr>
                <w:rFonts w:hint="eastAsia" w:ascii="Times New Roman" w:hAnsi="Times New Roman" w:eastAsia="宋体" w:cs="Times New Roman"/>
                <w:color w:val="auto"/>
                <w:sz w:val="24"/>
                <w:szCs w:val="24"/>
                <w:lang w:eastAsia="zh-CN"/>
              </w:rPr>
              <w:t>满足要求。</w:t>
            </w:r>
            <w:r>
              <w:rPr>
                <w:rFonts w:ascii="宋体" w:hAnsi="宋体" w:eastAsia="宋体" w:cs="宋体"/>
                <w:color w:val="auto"/>
                <w:sz w:val="24"/>
                <w:szCs w:val="24"/>
              </w:rPr>
              <w:t>在加强日常运行管理的条件下，</w:t>
            </w:r>
            <w:r>
              <w:rPr>
                <w:rFonts w:hint="eastAsia" w:ascii="宋体" w:hAnsi="宋体" w:cs="宋体"/>
                <w:color w:val="auto"/>
                <w:sz w:val="24"/>
                <w:szCs w:val="24"/>
                <w:lang w:val="en-US" w:eastAsia="zh-CN"/>
              </w:rPr>
              <w:t>二级活性炭吸附装置</w:t>
            </w:r>
            <w:r>
              <w:rPr>
                <w:rFonts w:ascii="宋体" w:hAnsi="宋体" w:eastAsia="宋体" w:cs="宋体"/>
                <w:color w:val="auto"/>
                <w:sz w:val="24"/>
                <w:szCs w:val="24"/>
              </w:rPr>
              <w:t>治理效率可达</w:t>
            </w:r>
            <w:r>
              <w:rPr>
                <w:rFonts w:hint="eastAsia" w:cs="Times New Roman"/>
                <w:color w:val="auto"/>
                <w:sz w:val="24"/>
                <w:szCs w:val="24"/>
                <w:lang w:val="en-US" w:eastAsia="zh-CN"/>
              </w:rPr>
              <w:t>90</w:t>
            </w:r>
            <w:r>
              <w:rPr>
                <w:rFonts w:hint="default" w:ascii="Times New Roman" w:hAnsi="Times New Roman" w:eastAsia="宋体" w:cs="Times New Roman"/>
                <w:color w:val="auto"/>
                <w:sz w:val="24"/>
                <w:szCs w:val="24"/>
              </w:rPr>
              <w:t>%</w:t>
            </w:r>
            <w:r>
              <w:rPr>
                <w:rFonts w:ascii="宋体" w:hAnsi="宋体" w:eastAsia="宋体" w:cs="宋体"/>
                <w:color w:val="auto"/>
                <w:sz w:val="24"/>
                <w:szCs w:val="24"/>
              </w:rPr>
              <w:t>以上</w:t>
            </w:r>
            <w:r>
              <w:rPr>
                <w:rFonts w:hint="eastAsia" w:ascii="宋体" w:hAnsi="宋体" w:cs="宋体"/>
                <w:color w:val="auto"/>
                <w:sz w:val="24"/>
                <w:szCs w:val="24"/>
                <w:lang w:eastAsia="zh-CN"/>
              </w:rPr>
              <w:t>，布袋除尘器处理效率</w:t>
            </w:r>
            <w:r>
              <w:rPr>
                <w:rFonts w:ascii="宋体" w:hAnsi="宋体" w:eastAsia="宋体" w:cs="宋体"/>
                <w:color w:val="auto"/>
                <w:sz w:val="24"/>
                <w:szCs w:val="24"/>
              </w:rPr>
              <w:t>可达</w:t>
            </w:r>
            <w:r>
              <w:rPr>
                <w:rFonts w:hint="eastAsia" w:cs="Times New Roman"/>
                <w:color w:val="auto"/>
                <w:sz w:val="24"/>
                <w:szCs w:val="24"/>
                <w:lang w:val="en-US" w:eastAsia="zh-CN"/>
              </w:rPr>
              <w:t>95</w:t>
            </w:r>
            <w:r>
              <w:rPr>
                <w:rFonts w:hint="default" w:ascii="Times New Roman" w:hAnsi="Times New Roman" w:eastAsia="宋体" w:cs="Times New Roman"/>
                <w:color w:val="auto"/>
                <w:sz w:val="24"/>
                <w:szCs w:val="24"/>
              </w:rPr>
              <w:t>%</w:t>
            </w:r>
            <w:r>
              <w:rPr>
                <w:rFonts w:ascii="宋体" w:hAnsi="宋体" w:eastAsia="宋体" w:cs="宋体"/>
                <w:color w:val="auto"/>
                <w:sz w:val="24"/>
                <w:szCs w:val="24"/>
              </w:rPr>
              <w:t>以上。</w:t>
            </w:r>
            <w:r>
              <w:rPr>
                <w:rFonts w:hint="eastAsia" w:ascii="宋体" w:hAnsi="宋体" w:eastAsia="宋体" w:cs="宋体"/>
                <w:color w:val="auto"/>
                <w:sz w:val="24"/>
                <w:szCs w:val="24"/>
                <w:lang w:val="en-US" w:eastAsia="zh-CN"/>
              </w:rPr>
              <w:t>因此本项目废气处理工艺为可行性技术。</w:t>
            </w:r>
          </w:p>
          <w:p w14:paraId="74A11FC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napToGrid/>
                <w:color w:val="auto"/>
                <w:spacing w:val="0"/>
                <w:kern w:val="0"/>
                <w:position w:val="0"/>
                <w:sz w:val="24"/>
                <w:szCs w:val="24"/>
                <w:lang w:eastAsia="zh-CN"/>
              </w:rPr>
            </w:pPr>
            <w:r>
              <w:rPr>
                <w:rFonts w:hint="default" w:ascii="Times New Roman" w:hAnsi="Times New Roman" w:eastAsia="宋体" w:cs="Times New Roman"/>
                <w:b/>
                <w:bCs/>
                <w:snapToGrid/>
                <w:color w:val="auto"/>
                <w:spacing w:val="0"/>
                <w:kern w:val="0"/>
                <w:position w:val="0"/>
                <w:sz w:val="24"/>
                <w:szCs w:val="24"/>
                <w:lang w:eastAsia="zh-CN"/>
              </w:rPr>
              <w:t>非正常工况分析</w:t>
            </w:r>
          </w:p>
          <w:p w14:paraId="003C4D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color w:val="auto"/>
                <w:sz w:val="24"/>
              </w:rPr>
            </w:pPr>
            <w:r>
              <w:rPr>
                <w:rFonts w:hint="default" w:ascii="Times New Roman" w:hAnsi="Times New Roman" w:eastAsia="宋体" w:cs="Times New Roman"/>
                <w:color w:val="auto"/>
                <w:sz w:val="24"/>
                <w:szCs w:val="24"/>
                <w:lang w:val="en-US" w:eastAsia="zh-CN"/>
              </w:rPr>
              <w:t>非正常工况是指生产运行阶段的检修、操作不正常或设备故障等引起的一般性事故排放。根据本项目的污染物特点及工程分析，非正常工况</w:t>
            </w:r>
            <w:r>
              <w:rPr>
                <w:rFonts w:hint="eastAsia" w:ascii="Times New Roman" w:hAnsi="Times New Roman" w:eastAsia="宋体" w:cs="Times New Roman"/>
                <w:color w:val="auto"/>
                <w:sz w:val="24"/>
                <w:szCs w:val="24"/>
                <w:lang w:val="en-US" w:eastAsia="zh-CN"/>
              </w:rPr>
              <w:t>主要为环保设施故障，即</w:t>
            </w:r>
            <w:r>
              <w:rPr>
                <w:rFonts w:hint="eastAsia" w:cs="Times New Roman"/>
                <w:color w:val="auto"/>
                <w:sz w:val="24"/>
                <w:szCs w:val="24"/>
                <w:lang w:val="en-US" w:eastAsia="zh-CN"/>
              </w:rPr>
              <w:t>颗粒物的废气处理设施“布袋除尘器”</w:t>
            </w:r>
            <w:r>
              <w:rPr>
                <w:rFonts w:hint="eastAsia" w:ascii="Times New Roman" w:hAnsi="Times New Roman" w:eastAsia="宋体" w:cs="Times New Roman"/>
                <w:color w:val="auto"/>
                <w:sz w:val="24"/>
                <w:szCs w:val="24"/>
                <w:lang w:val="en-US" w:eastAsia="zh-CN"/>
              </w:rPr>
              <w:t>发生故障，</w:t>
            </w:r>
            <w:r>
              <w:rPr>
                <w:rFonts w:hint="eastAsia" w:cs="Times New Roman"/>
                <w:color w:val="auto"/>
                <w:sz w:val="24"/>
                <w:szCs w:val="24"/>
                <w:lang w:val="en-US" w:eastAsia="zh-CN"/>
              </w:rPr>
              <w:t>引起颗粒物的事故排放，挥发性有机物的废气处理设施“二级活性炭吸附装置”</w:t>
            </w:r>
            <w:r>
              <w:rPr>
                <w:rFonts w:hint="eastAsia" w:ascii="Times New Roman" w:hAnsi="Times New Roman" w:eastAsia="宋体" w:cs="Times New Roman"/>
                <w:color w:val="auto"/>
                <w:sz w:val="24"/>
                <w:szCs w:val="24"/>
                <w:lang w:val="en-US" w:eastAsia="zh-CN"/>
              </w:rPr>
              <w:t>发生故障，</w:t>
            </w:r>
            <w:r>
              <w:rPr>
                <w:rFonts w:hint="eastAsia" w:cs="Times New Roman"/>
                <w:color w:val="auto"/>
                <w:sz w:val="24"/>
                <w:szCs w:val="24"/>
                <w:lang w:val="en-US" w:eastAsia="zh-CN"/>
              </w:rPr>
              <w:t>引起挥发性有机物的事故排放。</w:t>
            </w:r>
            <w:r>
              <w:rPr>
                <w:color w:val="auto"/>
                <w:kern w:val="0"/>
                <w:sz w:val="24"/>
                <w:lang w:bidi="ar"/>
              </w:rPr>
              <w:t>事故持续时间在</w:t>
            </w:r>
            <w:r>
              <w:rPr>
                <w:rFonts w:hint="eastAsia"/>
                <w:color w:val="auto"/>
                <w:kern w:val="0"/>
                <w:sz w:val="24"/>
                <w:lang w:val="en-US" w:eastAsia="zh-CN" w:bidi="ar"/>
              </w:rPr>
              <w:t>1</w:t>
            </w:r>
            <w:r>
              <w:rPr>
                <w:color w:val="auto"/>
                <w:kern w:val="0"/>
                <w:sz w:val="24"/>
                <w:lang w:bidi="ar"/>
              </w:rPr>
              <w:t>小时之内，非正常工况条件下废气排放源强及排放情况见下表</w:t>
            </w:r>
            <w:r>
              <w:rPr>
                <w:color w:val="auto"/>
                <w:sz w:val="24"/>
              </w:rPr>
              <w:t>：</w:t>
            </w:r>
          </w:p>
          <w:p w14:paraId="6A1E2885">
            <w:pPr>
              <w:adjustRightInd w:val="0"/>
              <w:snapToGrid w:val="0"/>
              <w:spacing w:line="360" w:lineRule="auto"/>
              <w:jc w:val="center"/>
              <w:rPr>
                <w:b/>
                <w:bCs/>
                <w:color w:val="auto"/>
                <w:sz w:val="24"/>
              </w:rPr>
            </w:pPr>
            <w:r>
              <w:rPr>
                <w:b/>
                <w:bCs/>
                <w:color w:val="auto"/>
                <w:sz w:val="24"/>
              </w:rPr>
              <w:t>表4.</w:t>
            </w:r>
            <w:r>
              <w:rPr>
                <w:rFonts w:hint="eastAsia"/>
                <w:b/>
                <w:bCs/>
                <w:color w:val="auto"/>
                <w:sz w:val="24"/>
                <w:lang w:val="en-US" w:eastAsia="zh-CN"/>
              </w:rPr>
              <w:t xml:space="preserve">7  </w:t>
            </w:r>
            <w:r>
              <w:rPr>
                <w:b/>
                <w:bCs/>
                <w:color w:val="auto"/>
                <w:sz w:val="24"/>
              </w:rPr>
              <w:t>非正常工况下污染物排放一览表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871"/>
              <w:gridCol w:w="1521"/>
              <w:gridCol w:w="752"/>
              <w:gridCol w:w="645"/>
              <w:gridCol w:w="1083"/>
              <w:gridCol w:w="932"/>
              <w:gridCol w:w="676"/>
              <w:gridCol w:w="1239"/>
            </w:tblGrid>
            <w:tr w14:paraId="7330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Align w:val="center"/>
                </w:tcPr>
                <w:p w14:paraId="234451EC">
                  <w:pPr>
                    <w:adjustRightInd w:val="0"/>
                    <w:snapToGrid w:val="0"/>
                    <w:spacing w:before="48" w:beforeLines="20"/>
                    <w:jc w:val="center"/>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531" w:type="pct"/>
                  <w:vAlign w:val="center"/>
                </w:tcPr>
                <w:p w14:paraId="6C04C182">
                  <w:pPr>
                    <w:adjustRightInd w:val="0"/>
                    <w:snapToGrid w:val="0"/>
                    <w:spacing w:before="48" w:beforeLines="20"/>
                    <w:jc w:val="center"/>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污染源</w:t>
                  </w:r>
                </w:p>
              </w:tc>
              <w:tc>
                <w:tcPr>
                  <w:tcW w:w="927" w:type="pct"/>
                  <w:vAlign w:val="center"/>
                </w:tcPr>
                <w:p w14:paraId="3106450B">
                  <w:pPr>
                    <w:adjustRightInd w:val="0"/>
                    <w:snapToGrid w:val="0"/>
                    <w:spacing w:before="48" w:beforeLines="20"/>
                    <w:jc w:val="center"/>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非正常排放原因</w:t>
                  </w:r>
                </w:p>
              </w:tc>
              <w:tc>
                <w:tcPr>
                  <w:tcW w:w="458" w:type="pct"/>
                  <w:vAlign w:val="center"/>
                </w:tcPr>
                <w:p w14:paraId="5172EC5D">
                  <w:pPr>
                    <w:adjustRightInd w:val="0"/>
                    <w:snapToGrid w:val="0"/>
                    <w:spacing w:before="48" w:beforeLines="20"/>
                    <w:jc w:val="center"/>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w:t>
                  </w:r>
                </w:p>
              </w:tc>
              <w:tc>
                <w:tcPr>
                  <w:tcW w:w="393" w:type="pct"/>
                  <w:vAlign w:val="center"/>
                </w:tcPr>
                <w:p w14:paraId="430A3BCE">
                  <w:pPr>
                    <w:adjustRightInd w:val="0"/>
                    <w:snapToGrid w:val="0"/>
                    <w:spacing w:before="48" w:beforeLines="20"/>
                    <w:jc w:val="center"/>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频次</w:t>
                  </w:r>
                </w:p>
              </w:tc>
              <w:tc>
                <w:tcPr>
                  <w:tcW w:w="660" w:type="pct"/>
                  <w:vAlign w:val="center"/>
                </w:tcPr>
                <w:p w14:paraId="70C3A8F5">
                  <w:pPr>
                    <w:adjustRightInd w:val="0"/>
                    <w:snapToGrid w:val="0"/>
                    <w:spacing w:before="48" w:beforeLines="20"/>
                    <w:jc w:val="center"/>
                    <w:outlineLvl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排放量</w:t>
                  </w:r>
                  <w:r>
                    <w:rPr>
                      <w:rFonts w:hint="eastAsia" w:cs="Times New Roman"/>
                      <w:color w:val="auto"/>
                      <w:sz w:val="21"/>
                      <w:szCs w:val="21"/>
                      <w:highlight w:val="none"/>
                      <w:lang w:val="en-US" w:eastAsia="zh-CN"/>
                    </w:rPr>
                    <w:t>kg</w:t>
                  </w:r>
                </w:p>
              </w:tc>
              <w:tc>
                <w:tcPr>
                  <w:tcW w:w="568" w:type="pct"/>
                  <w:vAlign w:val="center"/>
                </w:tcPr>
                <w:p w14:paraId="52CE85AC">
                  <w:pPr>
                    <w:adjustRightInd w:val="0"/>
                    <w:snapToGrid w:val="0"/>
                    <w:spacing w:before="48" w:beforeLines="20"/>
                    <w:jc w:val="center"/>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排放浓度mg/m</w:t>
                  </w:r>
                  <w:r>
                    <w:rPr>
                      <w:rFonts w:hint="default" w:ascii="Times New Roman" w:hAnsi="Times New Roman" w:eastAsia="宋体" w:cs="Times New Roman"/>
                      <w:color w:val="auto"/>
                      <w:sz w:val="21"/>
                      <w:szCs w:val="21"/>
                      <w:highlight w:val="none"/>
                      <w:vertAlign w:val="superscript"/>
                    </w:rPr>
                    <w:t>3</w:t>
                  </w:r>
                </w:p>
              </w:tc>
              <w:tc>
                <w:tcPr>
                  <w:tcW w:w="412" w:type="pct"/>
                  <w:vAlign w:val="center"/>
                </w:tcPr>
                <w:p w14:paraId="5D85F12B">
                  <w:pPr>
                    <w:adjustRightInd w:val="0"/>
                    <w:snapToGrid w:val="0"/>
                    <w:spacing w:before="48" w:beforeLines="20"/>
                    <w:jc w:val="center"/>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持续时间/h</w:t>
                  </w:r>
                </w:p>
              </w:tc>
              <w:tc>
                <w:tcPr>
                  <w:tcW w:w="755" w:type="pct"/>
                  <w:vAlign w:val="center"/>
                </w:tcPr>
                <w:p w14:paraId="0DC47247">
                  <w:pPr>
                    <w:adjustRightInd w:val="0"/>
                    <w:snapToGrid w:val="0"/>
                    <w:spacing w:before="48" w:beforeLines="20"/>
                    <w:jc w:val="center"/>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措施</w:t>
                  </w:r>
                </w:p>
              </w:tc>
            </w:tr>
            <w:tr w14:paraId="41B72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Align w:val="center"/>
                </w:tcPr>
                <w:p w14:paraId="374F99B2">
                  <w:pPr>
                    <w:adjustRightInd w:val="0"/>
                    <w:snapToGrid w:val="0"/>
                    <w:spacing w:before="48" w:beforeLines="20"/>
                    <w:jc w:val="center"/>
                    <w:outlineLvl w:val="0"/>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w:t>
                  </w:r>
                </w:p>
              </w:tc>
              <w:tc>
                <w:tcPr>
                  <w:tcW w:w="531" w:type="pct"/>
                  <w:vAlign w:val="center"/>
                </w:tcPr>
                <w:p w14:paraId="76BAD07D">
                  <w:pPr>
                    <w:adjustRightInd w:val="0"/>
                    <w:snapToGrid w:val="0"/>
                    <w:spacing w:before="48" w:beforeLines="20"/>
                    <w:jc w:val="center"/>
                    <w:outlineLvl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1</w:t>
                  </w:r>
                </w:p>
              </w:tc>
              <w:tc>
                <w:tcPr>
                  <w:tcW w:w="927" w:type="pct"/>
                  <w:vAlign w:val="center"/>
                </w:tcPr>
                <w:p w14:paraId="29C4BD36">
                  <w:pPr>
                    <w:adjustRightInd w:val="0"/>
                    <w:snapToGrid w:val="0"/>
                    <w:spacing w:before="48" w:beforeLines="20"/>
                    <w:jc w:val="center"/>
                    <w:outlineLvl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颗粒物的处理设施</w:t>
                  </w:r>
                  <w:r>
                    <w:rPr>
                      <w:rFonts w:hint="eastAsia" w:ascii="宋体" w:hAnsi="宋体" w:eastAsia="宋体" w:cs="宋体"/>
                      <w:color w:val="auto"/>
                      <w:sz w:val="21"/>
                      <w:szCs w:val="21"/>
                      <w:highlight w:val="none"/>
                      <w:lang w:val="en-US" w:eastAsia="zh-CN"/>
                    </w:rPr>
                    <w:t>“布袋除尘器（</w:t>
                  </w:r>
                  <w:r>
                    <w:rPr>
                      <w:rFonts w:hint="default" w:ascii="Times New Roman" w:hAnsi="Times New Roman" w:eastAsia="宋体" w:cs="Times New Roman"/>
                      <w:color w:val="auto"/>
                      <w:sz w:val="21"/>
                      <w:szCs w:val="21"/>
                      <w:highlight w:val="none"/>
                      <w:lang w:val="en-US" w:eastAsia="zh-CN"/>
                    </w:rPr>
                    <w:t>TA001</w:t>
                  </w:r>
                  <w:r>
                    <w:rPr>
                      <w:rFonts w:hint="eastAsia" w:ascii="宋体" w:hAnsi="宋体" w:eastAsia="宋体" w:cs="宋体"/>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处理效率下降或</w:t>
                  </w:r>
                  <w:r>
                    <w:rPr>
                      <w:rFonts w:hint="default" w:ascii="Times New Roman" w:hAnsi="Times New Roman" w:eastAsia="宋体" w:cs="Times New Roman"/>
                      <w:color w:val="auto"/>
                      <w:sz w:val="21"/>
                      <w:szCs w:val="21"/>
                      <w:highlight w:val="none"/>
                      <w:lang w:eastAsia="zh-CN"/>
                    </w:rPr>
                    <w:t>故障</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处理效率为0</w:t>
                  </w:r>
                </w:p>
              </w:tc>
              <w:tc>
                <w:tcPr>
                  <w:tcW w:w="458" w:type="pct"/>
                  <w:vAlign w:val="center"/>
                </w:tcPr>
                <w:p w14:paraId="65ACE051">
                  <w:pPr>
                    <w:adjustRightInd w:val="0"/>
                    <w:snapToGrid w:val="0"/>
                    <w:spacing w:before="48" w:beforeLines="2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393" w:type="pct"/>
                  <w:vMerge w:val="restart"/>
                  <w:vAlign w:val="center"/>
                </w:tcPr>
                <w:p w14:paraId="791483BD">
                  <w:pPr>
                    <w:adjustRightInd w:val="0"/>
                    <w:snapToGrid w:val="0"/>
                    <w:spacing w:before="48" w:beforeLines="20"/>
                    <w:jc w:val="center"/>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1~2次/年</w:t>
                  </w:r>
                </w:p>
              </w:tc>
              <w:tc>
                <w:tcPr>
                  <w:tcW w:w="660" w:type="pct"/>
                  <w:vAlign w:val="center"/>
                </w:tcPr>
                <w:p w14:paraId="3A715DF9">
                  <w:pPr>
                    <w:autoSpaceDE w:val="0"/>
                    <w:autoSpaceDN w:val="0"/>
                    <w:adjustRightInd w:val="0"/>
                    <w:snapToGrid w:val="0"/>
                    <w:spacing w:before="48" w:beforeLines="20"/>
                    <w:jc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0.128</w:t>
                  </w:r>
                </w:p>
              </w:tc>
              <w:tc>
                <w:tcPr>
                  <w:tcW w:w="568" w:type="pct"/>
                  <w:vAlign w:val="center"/>
                </w:tcPr>
                <w:p w14:paraId="417B1995">
                  <w:pPr>
                    <w:adjustRightInd w:val="0"/>
                    <w:snapToGrid w:val="0"/>
                    <w:spacing w:before="48" w:beforeLines="20"/>
                    <w:jc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42.5</w:t>
                  </w:r>
                </w:p>
              </w:tc>
              <w:tc>
                <w:tcPr>
                  <w:tcW w:w="412" w:type="pct"/>
                  <w:vMerge w:val="restart"/>
                  <w:vAlign w:val="center"/>
                </w:tcPr>
                <w:p w14:paraId="206360F7">
                  <w:pPr>
                    <w:adjustRightInd w:val="0"/>
                    <w:snapToGrid w:val="0"/>
                    <w:spacing w:before="48" w:beforeLines="20"/>
                    <w:jc w:val="center"/>
                    <w:outlineLvl w:val="0"/>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1</w:t>
                  </w:r>
                </w:p>
              </w:tc>
              <w:tc>
                <w:tcPr>
                  <w:tcW w:w="755" w:type="pct"/>
                  <w:vMerge w:val="restart"/>
                  <w:vAlign w:val="center"/>
                </w:tcPr>
                <w:p w14:paraId="00DF4FAD">
                  <w:pPr>
                    <w:adjustRightInd w:val="0"/>
                    <w:snapToGrid w:val="0"/>
                    <w:spacing w:before="48" w:beforeLines="20"/>
                    <w:jc w:val="center"/>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立即停止生产进行检修，直至废气治理设施正常运行。并定期对废气处理装置维护、维修、保养。</w:t>
                  </w:r>
                </w:p>
              </w:tc>
            </w:tr>
            <w:tr w14:paraId="0EE2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Align w:val="center"/>
                </w:tcPr>
                <w:p w14:paraId="6169DA7A">
                  <w:pPr>
                    <w:adjustRightInd w:val="0"/>
                    <w:snapToGrid w:val="0"/>
                    <w:spacing w:before="48" w:beforeLines="20"/>
                    <w:jc w:val="center"/>
                    <w:outlineLvl w:val="0"/>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w:t>
                  </w:r>
                </w:p>
              </w:tc>
              <w:tc>
                <w:tcPr>
                  <w:tcW w:w="531" w:type="pct"/>
                  <w:vAlign w:val="center"/>
                </w:tcPr>
                <w:p w14:paraId="75D3E573">
                  <w:pPr>
                    <w:adjustRightInd w:val="0"/>
                    <w:snapToGrid w:val="0"/>
                    <w:spacing w:before="48" w:beforeLines="20"/>
                    <w:jc w:val="center"/>
                    <w:outlineLvl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2</w:t>
                  </w:r>
                </w:p>
              </w:tc>
              <w:tc>
                <w:tcPr>
                  <w:tcW w:w="927" w:type="pct"/>
                  <w:vAlign w:val="center"/>
                </w:tcPr>
                <w:p w14:paraId="510EF981">
                  <w:pPr>
                    <w:adjustRightInd w:val="0"/>
                    <w:snapToGrid w:val="0"/>
                    <w:spacing w:before="48" w:beforeLines="20"/>
                    <w:jc w:val="center"/>
                    <w:outlineLvl w:val="0"/>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挥发性有机物</w:t>
                  </w:r>
                  <w:r>
                    <w:rPr>
                      <w:rFonts w:hint="default" w:ascii="Times New Roman" w:hAnsi="Times New Roman" w:eastAsia="宋体" w:cs="Times New Roman"/>
                      <w:color w:val="auto"/>
                      <w:sz w:val="21"/>
                      <w:szCs w:val="21"/>
                      <w:highlight w:val="none"/>
                      <w:lang w:val="en-US" w:eastAsia="zh-CN"/>
                    </w:rPr>
                    <w:t>的处理设施</w:t>
                  </w:r>
                  <w:r>
                    <w:rPr>
                      <w:rFonts w:hint="eastAsia" w:ascii="宋体" w:hAnsi="宋体" w:eastAsia="宋体" w:cs="宋体"/>
                      <w:color w:val="auto"/>
                      <w:sz w:val="21"/>
                      <w:szCs w:val="21"/>
                      <w:highlight w:val="none"/>
                      <w:lang w:val="en-US" w:eastAsia="zh-CN"/>
                    </w:rPr>
                    <w:t>“二级活性炭吸附装置（</w:t>
                  </w:r>
                  <w:r>
                    <w:rPr>
                      <w:rFonts w:hint="default" w:ascii="Times New Roman" w:hAnsi="Times New Roman" w:eastAsia="宋体" w:cs="Times New Roman"/>
                      <w:color w:val="auto"/>
                      <w:sz w:val="21"/>
                      <w:szCs w:val="21"/>
                      <w:highlight w:val="none"/>
                      <w:lang w:val="en-US" w:eastAsia="zh-CN"/>
                    </w:rPr>
                    <w:t>TA00</w:t>
                  </w:r>
                  <w:r>
                    <w:rPr>
                      <w:rFonts w:hint="eastAsia" w:ascii="Times New Roman" w:hAnsi="Times New Roman" w:eastAsia="宋体" w:cs="Times New Roman"/>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处理效率下降或</w:t>
                  </w:r>
                  <w:r>
                    <w:rPr>
                      <w:rFonts w:hint="default" w:ascii="Times New Roman" w:hAnsi="Times New Roman" w:eastAsia="宋体" w:cs="Times New Roman"/>
                      <w:color w:val="auto"/>
                      <w:sz w:val="21"/>
                      <w:szCs w:val="21"/>
                      <w:highlight w:val="none"/>
                      <w:lang w:eastAsia="zh-CN"/>
                    </w:rPr>
                    <w:t>故障</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处理效率为0</w:t>
                  </w:r>
                </w:p>
              </w:tc>
              <w:tc>
                <w:tcPr>
                  <w:tcW w:w="458" w:type="pct"/>
                  <w:vAlign w:val="center"/>
                </w:tcPr>
                <w:p w14:paraId="457DE3E6">
                  <w:pPr>
                    <w:adjustRightInd w:val="0"/>
                    <w:snapToGrid w:val="0"/>
                    <w:spacing w:before="48" w:beforeLines="2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挥发性有机物</w:t>
                  </w:r>
                </w:p>
              </w:tc>
              <w:tc>
                <w:tcPr>
                  <w:tcW w:w="393" w:type="pct"/>
                  <w:vMerge w:val="continue"/>
                  <w:vAlign w:val="center"/>
                </w:tcPr>
                <w:p w14:paraId="3402A633">
                  <w:pPr>
                    <w:adjustRightInd w:val="0"/>
                    <w:snapToGrid w:val="0"/>
                    <w:spacing w:before="48" w:beforeLines="20"/>
                    <w:jc w:val="center"/>
                    <w:outlineLvl w:val="0"/>
                    <w:rPr>
                      <w:rFonts w:hint="default" w:ascii="Times New Roman" w:hAnsi="Times New Roman" w:eastAsia="宋体" w:cs="Times New Roman"/>
                      <w:color w:val="auto"/>
                      <w:sz w:val="21"/>
                      <w:szCs w:val="21"/>
                      <w:highlight w:val="none"/>
                    </w:rPr>
                  </w:pPr>
                </w:p>
              </w:tc>
              <w:tc>
                <w:tcPr>
                  <w:tcW w:w="660" w:type="pct"/>
                  <w:vAlign w:val="center"/>
                </w:tcPr>
                <w:p w14:paraId="39845C0A">
                  <w:pPr>
                    <w:autoSpaceDE w:val="0"/>
                    <w:autoSpaceDN w:val="0"/>
                    <w:adjustRightInd w:val="0"/>
                    <w:snapToGrid w:val="0"/>
                    <w:spacing w:before="48" w:beforeLines="20"/>
                    <w:jc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0.011</w:t>
                  </w:r>
                </w:p>
              </w:tc>
              <w:tc>
                <w:tcPr>
                  <w:tcW w:w="568" w:type="pct"/>
                  <w:vAlign w:val="center"/>
                </w:tcPr>
                <w:p w14:paraId="66831399">
                  <w:pPr>
                    <w:adjustRightInd w:val="0"/>
                    <w:snapToGrid w:val="0"/>
                    <w:spacing w:before="48" w:beforeLines="20"/>
                    <w:jc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10.88</w:t>
                  </w:r>
                </w:p>
              </w:tc>
              <w:tc>
                <w:tcPr>
                  <w:tcW w:w="412" w:type="pct"/>
                  <w:vMerge w:val="continue"/>
                  <w:vAlign w:val="center"/>
                </w:tcPr>
                <w:p w14:paraId="704E0106">
                  <w:pPr>
                    <w:adjustRightInd w:val="0"/>
                    <w:snapToGrid w:val="0"/>
                    <w:spacing w:before="48" w:beforeLines="20"/>
                    <w:jc w:val="center"/>
                    <w:outlineLvl w:val="0"/>
                    <w:rPr>
                      <w:rFonts w:hint="default" w:ascii="Times New Roman" w:hAnsi="Times New Roman" w:eastAsia="宋体" w:cs="Times New Roman"/>
                      <w:color w:val="auto"/>
                      <w:sz w:val="21"/>
                      <w:szCs w:val="21"/>
                      <w:highlight w:val="none"/>
                    </w:rPr>
                  </w:pPr>
                </w:p>
              </w:tc>
              <w:tc>
                <w:tcPr>
                  <w:tcW w:w="755" w:type="pct"/>
                  <w:vMerge w:val="continue"/>
                  <w:vAlign w:val="center"/>
                </w:tcPr>
                <w:p w14:paraId="43C8E055">
                  <w:pPr>
                    <w:adjustRightInd w:val="0"/>
                    <w:snapToGrid w:val="0"/>
                    <w:spacing w:before="48" w:beforeLines="20"/>
                    <w:jc w:val="center"/>
                    <w:outlineLvl w:val="0"/>
                    <w:rPr>
                      <w:rFonts w:hint="default" w:ascii="Times New Roman" w:hAnsi="Times New Roman" w:eastAsia="宋体" w:cs="Times New Roman"/>
                      <w:color w:val="auto"/>
                      <w:sz w:val="21"/>
                      <w:szCs w:val="21"/>
                      <w:highlight w:val="none"/>
                    </w:rPr>
                  </w:pPr>
                </w:p>
              </w:tc>
            </w:tr>
            <w:tr w14:paraId="152A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shd w:val="clear" w:color="auto" w:fill="auto"/>
                  <w:vAlign w:val="center"/>
                </w:tcPr>
                <w:p w14:paraId="2D3F3E44">
                  <w:pPr>
                    <w:adjustRightInd w:val="0"/>
                    <w:snapToGrid w:val="0"/>
                    <w:spacing w:before="48" w:beforeLines="20"/>
                    <w:jc w:val="center"/>
                    <w:outlineLvl w:val="0"/>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w:t>
                  </w:r>
                </w:p>
              </w:tc>
              <w:tc>
                <w:tcPr>
                  <w:tcW w:w="531" w:type="pct"/>
                  <w:shd w:val="clear" w:color="auto" w:fill="auto"/>
                  <w:vAlign w:val="center"/>
                </w:tcPr>
                <w:p w14:paraId="13DF07A1">
                  <w:pPr>
                    <w:adjustRightInd w:val="0"/>
                    <w:snapToGrid w:val="0"/>
                    <w:spacing w:before="48" w:beforeLines="20"/>
                    <w:jc w:val="center"/>
                    <w:outlineLvl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DA0</w:t>
                  </w:r>
                  <w:r>
                    <w:rPr>
                      <w:rFonts w:hint="eastAsia" w:cs="Times New Roman"/>
                      <w:color w:val="auto"/>
                      <w:sz w:val="21"/>
                      <w:szCs w:val="21"/>
                      <w:highlight w:val="none"/>
                      <w:lang w:val="en-US" w:eastAsia="zh-CN"/>
                    </w:rPr>
                    <w:t>03</w:t>
                  </w:r>
                </w:p>
              </w:tc>
              <w:tc>
                <w:tcPr>
                  <w:tcW w:w="927" w:type="pct"/>
                  <w:vAlign w:val="center"/>
                </w:tcPr>
                <w:p w14:paraId="09B5329E">
                  <w:pPr>
                    <w:adjustRightInd w:val="0"/>
                    <w:snapToGrid w:val="0"/>
                    <w:spacing w:before="48" w:beforeLines="20"/>
                    <w:jc w:val="center"/>
                    <w:outlineLvl w:val="0"/>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挥发性有机物</w:t>
                  </w:r>
                  <w:r>
                    <w:rPr>
                      <w:rFonts w:hint="default" w:ascii="Times New Roman" w:hAnsi="Times New Roman" w:eastAsia="宋体" w:cs="Times New Roman"/>
                      <w:color w:val="auto"/>
                      <w:sz w:val="21"/>
                      <w:szCs w:val="21"/>
                      <w:highlight w:val="none"/>
                      <w:lang w:val="en-US" w:eastAsia="zh-CN"/>
                    </w:rPr>
                    <w:t>的处理设施</w:t>
                  </w:r>
                  <w:r>
                    <w:rPr>
                      <w:rFonts w:hint="eastAsia" w:ascii="宋体" w:hAnsi="宋体" w:eastAsia="宋体" w:cs="宋体"/>
                      <w:color w:val="auto"/>
                      <w:sz w:val="21"/>
                      <w:szCs w:val="21"/>
                      <w:highlight w:val="none"/>
                      <w:lang w:val="en-US" w:eastAsia="zh-CN"/>
                    </w:rPr>
                    <w:t>“二级活性炭吸附装置（</w:t>
                  </w:r>
                  <w:r>
                    <w:rPr>
                      <w:rFonts w:hint="default" w:ascii="Times New Roman" w:hAnsi="Times New Roman" w:eastAsia="宋体" w:cs="Times New Roman"/>
                      <w:color w:val="auto"/>
                      <w:sz w:val="21"/>
                      <w:szCs w:val="21"/>
                      <w:highlight w:val="none"/>
                      <w:lang w:val="en-US" w:eastAsia="zh-CN"/>
                    </w:rPr>
                    <w:t>TA00</w:t>
                  </w:r>
                  <w:r>
                    <w:rPr>
                      <w:rFonts w:hint="eastAsia" w:ascii="Times New Roman" w:hAnsi="Times New Roman" w:eastAsia="宋体" w:cs="Times New Roman"/>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处理效率下降或</w:t>
                  </w:r>
                  <w:r>
                    <w:rPr>
                      <w:rFonts w:hint="default" w:ascii="Times New Roman" w:hAnsi="Times New Roman" w:eastAsia="宋体" w:cs="Times New Roman"/>
                      <w:color w:val="auto"/>
                      <w:sz w:val="21"/>
                      <w:szCs w:val="21"/>
                      <w:highlight w:val="none"/>
                      <w:lang w:eastAsia="zh-CN"/>
                    </w:rPr>
                    <w:t>故障</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处理效率为0</w:t>
                  </w:r>
                </w:p>
              </w:tc>
              <w:tc>
                <w:tcPr>
                  <w:tcW w:w="458" w:type="pct"/>
                  <w:vAlign w:val="center"/>
                </w:tcPr>
                <w:p w14:paraId="531BE9BF">
                  <w:pPr>
                    <w:adjustRightInd w:val="0"/>
                    <w:snapToGrid w:val="0"/>
                    <w:spacing w:before="48" w:beforeLines="2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挥发性有机物</w:t>
                  </w:r>
                </w:p>
              </w:tc>
              <w:tc>
                <w:tcPr>
                  <w:tcW w:w="393" w:type="pct"/>
                  <w:vMerge w:val="continue"/>
                  <w:vAlign w:val="center"/>
                </w:tcPr>
                <w:p w14:paraId="626FE467">
                  <w:pPr>
                    <w:adjustRightInd w:val="0"/>
                    <w:snapToGrid w:val="0"/>
                    <w:spacing w:before="48" w:beforeLines="20"/>
                    <w:jc w:val="center"/>
                    <w:outlineLvl w:val="0"/>
                    <w:rPr>
                      <w:rFonts w:hint="default" w:ascii="Times New Roman" w:hAnsi="Times New Roman" w:eastAsia="宋体" w:cs="Times New Roman"/>
                      <w:color w:val="auto"/>
                      <w:sz w:val="21"/>
                      <w:szCs w:val="21"/>
                      <w:highlight w:val="none"/>
                    </w:rPr>
                  </w:pPr>
                </w:p>
              </w:tc>
              <w:tc>
                <w:tcPr>
                  <w:tcW w:w="660" w:type="pct"/>
                  <w:vAlign w:val="center"/>
                </w:tcPr>
                <w:p w14:paraId="7AD1445C">
                  <w:pPr>
                    <w:autoSpaceDE w:val="0"/>
                    <w:autoSpaceDN w:val="0"/>
                    <w:adjustRightInd w:val="0"/>
                    <w:snapToGrid w:val="0"/>
                    <w:spacing w:before="48" w:beforeLines="2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0.132</w:t>
                  </w:r>
                </w:p>
              </w:tc>
              <w:tc>
                <w:tcPr>
                  <w:tcW w:w="568" w:type="pct"/>
                  <w:vAlign w:val="center"/>
                </w:tcPr>
                <w:p w14:paraId="50616FEE">
                  <w:pPr>
                    <w:adjustRightInd w:val="0"/>
                    <w:snapToGrid w:val="0"/>
                    <w:spacing w:before="48" w:beforeLines="2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22</w:t>
                  </w:r>
                </w:p>
              </w:tc>
              <w:tc>
                <w:tcPr>
                  <w:tcW w:w="412" w:type="pct"/>
                  <w:vMerge w:val="continue"/>
                  <w:vAlign w:val="center"/>
                </w:tcPr>
                <w:p w14:paraId="308F4624">
                  <w:pPr>
                    <w:adjustRightInd w:val="0"/>
                    <w:snapToGrid w:val="0"/>
                    <w:spacing w:before="48" w:beforeLines="20"/>
                    <w:jc w:val="center"/>
                    <w:outlineLvl w:val="0"/>
                    <w:rPr>
                      <w:rFonts w:hint="default" w:ascii="Times New Roman" w:hAnsi="Times New Roman" w:eastAsia="宋体" w:cs="Times New Roman"/>
                      <w:color w:val="auto"/>
                      <w:sz w:val="21"/>
                      <w:szCs w:val="21"/>
                      <w:highlight w:val="none"/>
                    </w:rPr>
                  </w:pPr>
                </w:p>
              </w:tc>
              <w:tc>
                <w:tcPr>
                  <w:tcW w:w="755" w:type="pct"/>
                  <w:vMerge w:val="continue"/>
                  <w:vAlign w:val="center"/>
                </w:tcPr>
                <w:p w14:paraId="4E4A6D4C">
                  <w:pPr>
                    <w:adjustRightInd w:val="0"/>
                    <w:snapToGrid w:val="0"/>
                    <w:spacing w:before="48" w:beforeLines="20"/>
                    <w:jc w:val="center"/>
                    <w:outlineLvl w:val="0"/>
                    <w:rPr>
                      <w:rFonts w:hint="default" w:ascii="Times New Roman" w:hAnsi="Times New Roman" w:eastAsia="宋体" w:cs="Times New Roman"/>
                      <w:color w:val="auto"/>
                      <w:sz w:val="21"/>
                      <w:szCs w:val="21"/>
                      <w:highlight w:val="none"/>
                    </w:rPr>
                  </w:pPr>
                </w:p>
              </w:tc>
            </w:tr>
            <w:tr w14:paraId="05D95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Align w:val="center"/>
                </w:tcPr>
                <w:p w14:paraId="00935516">
                  <w:pPr>
                    <w:adjustRightInd w:val="0"/>
                    <w:snapToGrid w:val="0"/>
                    <w:spacing w:before="48" w:beforeLines="20"/>
                    <w:jc w:val="center"/>
                    <w:outlineLvl w:val="0"/>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w:t>
                  </w:r>
                </w:p>
              </w:tc>
              <w:tc>
                <w:tcPr>
                  <w:tcW w:w="531" w:type="pct"/>
                  <w:vAlign w:val="center"/>
                </w:tcPr>
                <w:p w14:paraId="4291C6B8">
                  <w:pPr>
                    <w:adjustRightInd w:val="0"/>
                    <w:snapToGrid w:val="0"/>
                    <w:spacing w:before="48" w:beforeLines="20"/>
                    <w:jc w:val="center"/>
                    <w:outlineLvl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w:t>
                  </w:r>
                  <w:r>
                    <w:rPr>
                      <w:rFonts w:hint="eastAsia" w:cs="Times New Roman"/>
                      <w:color w:val="auto"/>
                      <w:sz w:val="21"/>
                      <w:szCs w:val="21"/>
                      <w:highlight w:val="none"/>
                      <w:lang w:val="en-US" w:eastAsia="zh-CN"/>
                    </w:rPr>
                    <w:t>04</w:t>
                  </w:r>
                </w:p>
              </w:tc>
              <w:tc>
                <w:tcPr>
                  <w:tcW w:w="927" w:type="pct"/>
                  <w:vAlign w:val="center"/>
                </w:tcPr>
                <w:p w14:paraId="45FBE804">
                  <w:pPr>
                    <w:adjustRightInd w:val="0"/>
                    <w:snapToGrid w:val="0"/>
                    <w:spacing w:before="48" w:beforeLines="20"/>
                    <w:jc w:val="center"/>
                    <w:outlineLvl w:val="0"/>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挥发性有机物</w:t>
                  </w:r>
                  <w:r>
                    <w:rPr>
                      <w:rFonts w:hint="default" w:ascii="Times New Roman" w:hAnsi="Times New Roman" w:eastAsia="宋体" w:cs="Times New Roman"/>
                      <w:color w:val="auto"/>
                      <w:sz w:val="21"/>
                      <w:szCs w:val="21"/>
                      <w:highlight w:val="none"/>
                      <w:lang w:val="en-US" w:eastAsia="zh-CN"/>
                    </w:rPr>
                    <w:t>的处理设施</w:t>
                  </w:r>
                  <w:r>
                    <w:rPr>
                      <w:rFonts w:hint="eastAsia" w:ascii="宋体" w:hAnsi="宋体" w:eastAsia="宋体" w:cs="宋体"/>
                      <w:color w:val="auto"/>
                      <w:sz w:val="21"/>
                      <w:szCs w:val="21"/>
                      <w:highlight w:val="none"/>
                      <w:lang w:val="en-US" w:eastAsia="zh-CN"/>
                    </w:rPr>
                    <w:t>“二级活性炭吸附装置（</w:t>
                  </w:r>
                  <w:r>
                    <w:rPr>
                      <w:rFonts w:hint="default" w:ascii="Times New Roman" w:hAnsi="Times New Roman" w:eastAsia="宋体" w:cs="Times New Roman"/>
                      <w:color w:val="auto"/>
                      <w:sz w:val="21"/>
                      <w:szCs w:val="21"/>
                      <w:highlight w:val="none"/>
                      <w:lang w:val="en-US" w:eastAsia="zh-CN"/>
                    </w:rPr>
                    <w:t>TA00</w:t>
                  </w:r>
                  <w:r>
                    <w:rPr>
                      <w:rFonts w:hint="eastAsia" w:ascii="Times New Roman" w:hAnsi="Times New Roman" w:eastAsia="宋体" w:cs="Times New Roman"/>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处理效率下降或</w:t>
                  </w:r>
                  <w:r>
                    <w:rPr>
                      <w:rFonts w:hint="default" w:ascii="Times New Roman" w:hAnsi="Times New Roman" w:eastAsia="宋体" w:cs="Times New Roman"/>
                      <w:color w:val="auto"/>
                      <w:sz w:val="21"/>
                      <w:szCs w:val="21"/>
                      <w:highlight w:val="none"/>
                      <w:lang w:eastAsia="zh-CN"/>
                    </w:rPr>
                    <w:t>故障</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处理效率为0</w:t>
                  </w:r>
                </w:p>
              </w:tc>
              <w:tc>
                <w:tcPr>
                  <w:tcW w:w="458" w:type="pct"/>
                  <w:vAlign w:val="center"/>
                </w:tcPr>
                <w:p w14:paraId="68481D08">
                  <w:pPr>
                    <w:adjustRightInd w:val="0"/>
                    <w:snapToGrid w:val="0"/>
                    <w:spacing w:before="48" w:beforeLines="2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挥发性有机物</w:t>
                  </w:r>
                </w:p>
              </w:tc>
              <w:tc>
                <w:tcPr>
                  <w:tcW w:w="393" w:type="pct"/>
                  <w:vMerge w:val="continue"/>
                  <w:vAlign w:val="center"/>
                </w:tcPr>
                <w:p w14:paraId="7F28BFCA">
                  <w:pPr>
                    <w:adjustRightInd w:val="0"/>
                    <w:snapToGrid w:val="0"/>
                    <w:spacing w:before="48" w:beforeLines="20"/>
                    <w:jc w:val="center"/>
                    <w:outlineLvl w:val="0"/>
                    <w:rPr>
                      <w:rFonts w:hint="default" w:ascii="Times New Roman" w:hAnsi="Times New Roman" w:eastAsia="宋体" w:cs="Times New Roman"/>
                      <w:color w:val="auto"/>
                      <w:sz w:val="21"/>
                      <w:szCs w:val="21"/>
                      <w:highlight w:val="none"/>
                    </w:rPr>
                  </w:pPr>
                </w:p>
              </w:tc>
              <w:tc>
                <w:tcPr>
                  <w:tcW w:w="660" w:type="pct"/>
                  <w:vAlign w:val="center"/>
                </w:tcPr>
                <w:p w14:paraId="10D9E689">
                  <w:pPr>
                    <w:autoSpaceDE w:val="0"/>
                    <w:autoSpaceDN w:val="0"/>
                    <w:adjustRightInd w:val="0"/>
                    <w:snapToGrid w:val="0"/>
                    <w:spacing w:before="48" w:beforeLines="2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0.107</w:t>
                  </w:r>
                </w:p>
              </w:tc>
              <w:tc>
                <w:tcPr>
                  <w:tcW w:w="568" w:type="pct"/>
                  <w:vAlign w:val="center"/>
                </w:tcPr>
                <w:p w14:paraId="1053691E">
                  <w:pPr>
                    <w:adjustRightInd w:val="0"/>
                    <w:snapToGrid w:val="0"/>
                    <w:spacing w:before="48" w:beforeLines="2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17.78</w:t>
                  </w:r>
                </w:p>
              </w:tc>
              <w:tc>
                <w:tcPr>
                  <w:tcW w:w="412" w:type="pct"/>
                  <w:vMerge w:val="continue"/>
                  <w:vAlign w:val="center"/>
                </w:tcPr>
                <w:p w14:paraId="3218884A">
                  <w:pPr>
                    <w:adjustRightInd w:val="0"/>
                    <w:snapToGrid w:val="0"/>
                    <w:spacing w:before="48" w:beforeLines="20"/>
                    <w:jc w:val="center"/>
                    <w:outlineLvl w:val="0"/>
                    <w:rPr>
                      <w:rFonts w:hint="default" w:ascii="Times New Roman" w:hAnsi="Times New Roman" w:eastAsia="宋体" w:cs="Times New Roman"/>
                      <w:color w:val="auto"/>
                      <w:sz w:val="21"/>
                      <w:szCs w:val="21"/>
                      <w:highlight w:val="none"/>
                    </w:rPr>
                  </w:pPr>
                </w:p>
              </w:tc>
              <w:tc>
                <w:tcPr>
                  <w:tcW w:w="755" w:type="pct"/>
                  <w:vMerge w:val="continue"/>
                  <w:vAlign w:val="center"/>
                </w:tcPr>
                <w:p w14:paraId="04572BD8">
                  <w:pPr>
                    <w:adjustRightInd w:val="0"/>
                    <w:snapToGrid w:val="0"/>
                    <w:spacing w:before="48" w:beforeLines="20"/>
                    <w:jc w:val="center"/>
                    <w:outlineLvl w:val="0"/>
                    <w:rPr>
                      <w:rFonts w:hint="default" w:ascii="Times New Roman" w:hAnsi="Times New Roman" w:eastAsia="宋体" w:cs="Times New Roman"/>
                      <w:color w:val="auto"/>
                      <w:sz w:val="21"/>
                      <w:szCs w:val="21"/>
                      <w:highlight w:val="none"/>
                    </w:rPr>
                  </w:pPr>
                </w:p>
              </w:tc>
            </w:tr>
            <w:tr w14:paraId="50CA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2" w:type="pct"/>
                  <w:vAlign w:val="center"/>
                </w:tcPr>
                <w:p w14:paraId="4BC4F3BE">
                  <w:pPr>
                    <w:adjustRightInd w:val="0"/>
                    <w:snapToGrid w:val="0"/>
                    <w:spacing w:before="48" w:beforeLines="20"/>
                    <w:jc w:val="center"/>
                    <w:outlineLvl w:val="0"/>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w:t>
                  </w:r>
                </w:p>
              </w:tc>
              <w:tc>
                <w:tcPr>
                  <w:tcW w:w="531" w:type="pct"/>
                  <w:vAlign w:val="center"/>
                </w:tcPr>
                <w:p w14:paraId="7EE3ED56">
                  <w:pPr>
                    <w:adjustRightInd w:val="0"/>
                    <w:snapToGrid w:val="0"/>
                    <w:spacing w:before="48" w:beforeLines="20"/>
                    <w:jc w:val="center"/>
                    <w:outlineLvl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DA0</w:t>
                  </w:r>
                  <w:r>
                    <w:rPr>
                      <w:rFonts w:hint="eastAsia" w:cs="Times New Roman"/>
                      <w:color w:val="auto"/>
                      <w:sz w:val="21"/>
                      <w:szCs w:val="21"/>
                      <w:highlight w:val="none"/>
                      <w:lang w:val="en-US" w:eastAsia="zh-CN"/>
                    </w:rPr>
                    <w:t>05</w:t>
                  </w:r>
                </w:p>
              </w:tc>
              <w:tc>
                <w:tcPr>
                  <w:tcW w:w="927" w:type="pct"/>
                  <w:vAlign w:val="center"/>
                </w:tcPr>
                <w:p w14:paraId="098CD8B6">
                  <w:pPr>
                    <w:adjustRightInd w:val="0"/>
                    <w:snapToGrid w:val="0"/>
                    <w:spacing w:before="48" w:beforeLines="20"/>
                    <w:jc w:val="center"/>
                    <w:outlineLvl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颗粒物的处理设</w:t>
                  </w:r>
                  <w:r>
                    <w:rPr>
                      <w:rFonts w:hint="eastAsia" w:ascii="宋体" w:hAnsi="宋体" w:eastAsia="宋体" w:cs="宋体"/>
                      <w:color w:val="auto"/>
                      <w:sz w:val="21"/>
                      <w:szCs w:val="21"/>
                      <w:highlight w:val="none"/>
                      <w:lang w:val="en-US" w:eastAsia="zh-CN"/>
                    </w:rPr>
                    <w:t>施“布袋除尘器（</w:t>
                  </w:r>
                  <w:r>
                    <w:rPr>
                      <w:rFonts w:hint="default" w:ascii="Times New Roman" w:hAnsi="Times New Roman" w:eastAsia="宋体" w:cs="Times New Roman"/>
                      <w:color w:val="auto"/>
                      <w:sz w:val="21"/>
                      <w:szCs w:val="21"/>
                      <w:highlight w:val="none"/>
                      <w:lang w:val="en-US" w:eastAsia="zh-CN"/>
                    </w:rPr>
                    <w:t>TA00</w:t>
                  </w:r>
                  <w:r>
                    <w:rPr>
                      <w:rFonts w:hint="eastAsia" w:ascii="Times New Roman" w:hAnsi="Times New Roman" w:eastAsia="宋体" w:cs="Times New Roman"/>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处理效率下降或</w:t>
                  </w:r>
                  <w:r>
                    <w:rPr>
                      <w:rFonts w:hint="default" w:ascii="Times New Roman" w:hAnsi="Times New Roman" w:eastAsia="宋体" w:cs="Times New Roman"/>
                      <w:color w:val="auto"/>
                      <w:sz w:val="21"/>
                      <w:szCs w:val="21"/>
                      <w:highlight w:val="none"/>
                      <w:lang w:eastAsia="zh-CN"/>
                    </w:rPr>
                    <w:t>故障</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处理效率为0</w:t>
                  </w:r>
                </w:p>
              </w:tc>
              <w:tc>
                <w:tcPr>
                  <w:tcW w:w="458" w:type="pct"/>
                  <w:vAlign w:val="center"/>
                </w:tcPr>
                <w:p w14:paraId="7D5318B2">
                  <w:pPr>
                    <w:adjustRightInd w:val="0"/>
                    <w:snapToGrid w:val="0"/>
                    <w:spacing w:before="48" w:beforeLines="2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393" w:type="pct"/>
                  <w:vMerge w:val="continue"/>
                  <w:vAlign w:val="center"/>
                </w:tcPr>
                <w:p w14:paraId="2B84CC0A">
                  <w:pPr>
                    <w:adjustRightInd w:val="0"/>
                    <w:snapToGrid w:val="0"/>
                    <w:spacing w:before="48" w:beforeLines="20"/>
                    <w:jc w:val="center"/>
                    <w:outlineLvl w:val="0"/>
                    <w:rPr>
                      <w:rFonts w:hint="default" w:ascii="Times New Roman" w:hAnsi="Times New Roman" w:eastAsia="宋体" w:cs="Times New Roman"/>
                      <w:color w:val="auto"/>
                      <w:sz w:val="21"/>
                      <w:szCs w:val="21"/>
                      <w:highlight w:val="none"/>
                    </w:rPr>
                  </w:pPr>
                </w:p>
              </w:tc>
              <w:tc>
                <w:tcPr>
                  <w:tcW w:w="660" w:type="pct"/>
                  <w:vAlign w:val="center"/>
                </w:tcPr>
                <w:p w14:paraId="47BAF9D0">
                  <w:pPr>
                    <w:autoSpaceDE w:val="0"/>
                    <w:autoSpaceDN w:val="0"/>
                    <w:adjustRightInd w:val="0"/>
                    <w:snapToGrid w:val="0"/>
                    <w:spacing w:before="48" w:beforeLines="2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0.238</w:t>
                  </w:r>
                </w:p>
              </w:tc>
              <w:tc>
                <w:tcPr>
                  <w:tcW w:w="568" w:type="pct"/>
                  <w:vAlign w:val="center"/>
                </w:tcPr>
                <w:p w14:paraId="24B91262">
                  <w:pPr>
                    <w:adjustRightInd w:val="0"/>
                    <w:snapToGrid w:val="0"/>
                    <w:spacing w:before="48" w:beforeLines="2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highlight w:val="none"/>
                      <w:lang w:val="en-US" w:eastAsia="zh-CN" w:bidi="ar-SA"/>
                    </w:rPr>
                    <w:t>79.17</w:t>
                  </w:r>
                </w:p>
              </w:tc>
              <w:tc>
                <w:tcPr>
                  <w:tcW w:w="412" w:type="pct"/>
                  <w:vMerge w:val="continue"/>
                  <w:vAlign w:val="center"/>
                </w:tcPr>
                <w:p w14:paraId="197DDCC1">
                  <w:pPr>
                    <w:adjustRightInd w:val="0"/>
                    <w:snapToGrid w:val="0"/>
                    <w:spacing w:before="48" w:beforeLines="20"/>
                    <w:jc w:val="center"/>
                    <w:outlineLvl w:val="0"/>
                    <w:rPr>
                      <w:rFonts w:hint="default" w:ascii="Times New Roman" w:hAnsi="Times New Roman" w:eastAsia="宋体" w:cs="Times New Roman"/>
                      <w:color w:val="auto"/>
                      <w:sz w:val="21"/>
                      <w:szCs w:val="21"/>
                      <w:highlight w:val="none"/>
                    </w:rPr>
                  </w:pPr>
                </w:p>
              </w:tc>
              <w:tc>
                <w:tcPr>
                  <w:tcW w:w="755" w:type="pct"/>
                  <w:vMerge w:val="continue"/>
                  <w:vAlign w:val="center"/>
                </w:tcPr>
                <w:p w14:paraId="1DB7D1EB">
                  <w:pPr>
                    <w:adjustRightInd w:val="0"/>
                    <w:snapToGrid w:val="0"/>
                    <w:spacing w:before="48" w:beforeLines="20"/>
                    <w:jc w:val="center"/>
                    <w:outlineLvl w:val="0"/>
                    <w:rPr>
                      <w:rFonts w:hint="default" w:ascii="Times New Roman" w:hAnsi="Times New Roman" w:eastAsia="宋体" w:cs="Times New Roman"/>
                      <w:color w:val="auto"/>
                      <w:sz w:val="21"/>
                      <w:szCs w:val="21"/>
                      <w:highlight w:val="none"/>
                    </w:rPr>
                  </w:pPr>
                </w:p>
              </w:tc>
            </w:tr>
          </w:tbl>
          <w:p w14:paraId="230E37A4">
            <w:pPr>
              <w:pStyle w:val="2"/>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left="0" w:leftChars="0" w:firstLine="482" w:firstLineChars="200"/>
              <w:textAlignment w:val="auto"/>
              <w:rPr>
                <w:rFonts w:hint="eastAsia"/>
                <w:b w:val="0"/>
                <w:bCs w:val="0"/>
                <w:snapToGrid/>
                <w:color w:val="auto"/>
                <w:spacing w:val="0"/>
                <w:kern w:val="0"/>
                <w:position w:val="0"/>
                <w:sz w:val="24"/>
                <w:szCs w:val="24"/>
                <w:lang w:val="en-US" w:eastAsia="zh-CN"/>
              </w:rPr>
            </w:pPr>
            <w:r>
              <w:rPr>
                <w:rFonts w:hint="eastAsia"/>
                <w:b/>
                <w:bCs/>
                <w:snapToGrid/>
                <w:color w:val="auto"/>
                <w:spacing w:val="0"/>
                <w:kern w:val="0"/>
                <w:position w:val="0"/>
                <w:sz w:val="24"/>
                <w:szCs w:val="24"/>
                <w:lang w:val="en-US" w:eastAsia="zh-CN"/>
              </w:rPr>
              <w:t>废气影响分析</w:t>
            </w:r>
          </w:p>
          <w:p w14:paraId="15B3F399">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Times New Roman" w:hAnsi="Times New Roman" w:eastAsia="宋体" w:cs="Times New Roman"/>
                <w:b w:val="0"/>
                <w:bCs w:val="0"/>
                <w:color w:val="auto"/>
                <w:kern w:val="0"/>
                <w:sz w:val="24"/>
                <w:szCs w:val="24"/>
                <w:lang w:val="en-US" w:eastAsia="zh-CN"/>
              </w:rPr>
            </w:pPr>
            <w:r>
              <w:rPr>
                <w:rFonts w:hint="eastAsia" w:ascii="Times New Roman" w:hAnsi="Times New Roman" w:eastAsia="宋体" w:cs="Times New Roman"/>
                <w:b w:val="0"/>
                <w:bCs w:val="0"/>
                <w:color w:val="auto"/>
                <w:kern w:val="0"/>
                <w:sz w:val="24"/>
                <w:szCs w:val="24"/>
                <w:lang w:val="en-US" w:eastAsia="zh-CN"/>
              </w:rPr>
              <w:t>项县位于</w:t>
            </w:r>
            <w:r>
              <w:rPr>
                <w:rFonts w:hint="eastAsia" w:cs="Times New Roman"/>
                <w:snapToGrid/>
                <w:color w:val="auto"/>
                <w:spacing w:val="0"/>
                <w:kern w:val="0"/>
                <w:position w:val="0"/>
                <w:sz w:val="24"/>
                <w:szCs w:val="24"/>
                <w:u w:val="none"/>
                <w:lang w:eastAsia="zh-CN"/>
              </w:rPr>
              <w:t>安徽省宿州市灵璧县尹集镇田路村</w:t>
            </w:r>
            <w:r>
              <w:rPr>
                <w:rFonts w:hint="eastAsia" w:ascii="Times New Roman" w:hAnsi="Times New Roman" w:eastAsia="宋体" w:cs="Times New Roman"/>
                <w:b w:val="0"/>
                <w:bCs w:val="0"/>
                <w:color w:val="auto"/>
                <w:kern w:val="0"/>
                <w:sz w:val="24"/>
                <w:szCs w:val="24"/>
                <w:lang w:val="en-US" w:eastAsia="zh-CN"/>
              </w:rPr>
              <w:t>，</w:t>
            </w:r>
            <w:r>
              <w:rPr>
                <w:rFonts w:hint="eastAsia" w:cs="Times New Roman"/>
                <w:b w:val="0"/>
                <w:bCs w:val="0"/>
                <w:color w:val="auto"/>
                <w:kern w:val="0"/>
                <w:sz w:val="24"/>
                <w:szCs w:val="24"/>
                <w:lang w:val="en-US" w:eastAsia="zh-CN"/>
              </w:rPr>
              <w:t>根</w:t>
            </w:r>
            <w:r>
              <w:rPr>
                <w:rFonts w:hint="eastAsia" w:ascii="Times New Roman" w:hAnsi="Times New Roman" w:eastAsia="宋体" w:cs="Times New Roman"/>
                <w:b w:val="0"/>
                <w:bCs w:val="0"/>
                <w:color w:val="auto"/>
                <w:kern w:val="0"/>
                <w:sz w:val="24"/>
                <w:szCs w:val="24"/>
                <w:lang w:val="en-US" w:eastAsia="zh-CN"/>
              </w:rPr>
              <w:t>据《202</w:t>
            </w:r>
            <w:r>
              <w:rPr>
                <w:rFonts w:hint="eastAsia" w:cs="Times New Roman"/>
                <w:b w:val="0"/>
                <w:bCs w:val="0"/>
                <w:color w:val="auto"/>
                <w:kern w:val="0"/>
                <w:sz w:val="24"/>
                <w:szCs w:val="24"/>
                <w:lang w:val="en-US" w:eastAsia="zh-CN"/>
              </w:rPr>
              <w:t>3</w:t>
            </w:r>
            <w:r>
              <w:rPr>
                <w:rFonts w:hint="eastAsia" w:ascii="Times New Roman" w:hAnsi="Times New Roman" w:eastAsia="宋体" w:cs="Times New Roman"/>
                <w:b w:val="0"/>
                <w:bCs w:val="0"/>
                <w:color w:val="auto"/>
                <w:kern w:val="0"/>
                <w:sz w:val="24"/>
                <w:szCs w:val="24"/>
                <w:lang w:val="en-US" w:eastAsia="zh-CN"/>
              </w:rPr>
              <w:t>年宿州市环境质量公报》</w:t>
            </w:r>
            <w:r>
              <w:rPr>
                <w:rFonts w:hint="eastAsia" w:eastAsia="宋体" w:cs="Times New Roman"/>
                <w:b w:val="0"/>
                <w:bCs w:val="0"/>
                <w:color w:val="auto"/>
                <w:kern w:val="0"/>
                <w:sz w:val="24"/>
                <w:szCs w:val="24"/>
                <w:lang w:val="en-US" w:eastAsia="zh-CN"/>
              </w:rPr>
              <w:t>，项</w:t>
            </w:r>
            <w:r>
              <w:rPr>
                <w:rFonts w:hint="eastAsia" w:cs="Times New Roman"/>
                <w:b w:val="0"/>
                <w:bCs w:val="0"/>
                <w:color w:val="auto"/>
                <w:kern w:val="0"/>
                <w:sz w:val="24"/>
                <w:szCs w:val="24"/>
                <w:lang w:val="en-US" w:eastAsia="zh-CN"/>
              </w:rPr>
              <w:t>目</w:t>
            </w:r>
            <w:r>
              <w:rPr>
                <w:rFonts w:hint="eastAsia" w:ascii="Times New Roman" w:hAnsi="Times New Roman" w:eastAsia="宋体" w:cs="Times New Roman"/>
                <w:b w:val="0"/>
                <w:bCs w:val="0"/>
                <w:color w:val="auto"/>
                <w:kern w:val="0"/>
                <w:sz w:val="24"/>
                <w:szCs w:val="24"/>
                <w:lang w:val="en-US" w:eastAsia="zh-CN"/>
              </w:rPr>
              <w:t>所在地为大气</w:t>
            </w:r>
            <w:r>
              <w:rPr>
                <w:rFonts w:hint="eastAsia" w:eastAsia="宋体" w:cs="Times New Roman"/>
                <w:b w:val="0"/>
                <w:bCs w:val="0"/>
                <w:color w:val="auto"/>
                <w:kern w:val="0"/>
                <w:sz w:val="24"/>
                <w:szCs w:val="24"/>
                <w:lang w:val="en-US" w:eastAsia="zh-CN"/>
              </w:rPr>
              <w:t>环境</w:t>
            </w:r>
            <w:r>
              <w:rPr>
                <w:rFonts w:hint="eastAsia" w:ascii="Times New Roman" w:hAnsi="Times New Roman" w:eastAsia="宋体" w:cs="Times New Roman"/>
                <w:b w:val="0"/>
                <w:bCs w:val="0"/>
                <w:color w:val="auto"/>
                <w:kern w:val="0"/>
                <w:sz w:val="24"/>
                <w:szCs w:val="24"/>
                <w:lang w:val="en-US" w:eastAsia="zh-CN"/>
              </w:rPr>
              <w:t>空气质量不达标区。项目厂界外500m范围内环境空气保护目标</w:t>
            </w:r>
            <w:r>
              <w:rPr>
                <w:rFonts w:hint="eastAsia" w:cs="Times New Roman"/>
                <w:b w:val="0"/>
                <w:bCs w:val="0"/>
                <w:color w:val="auto"/>
                <w:kern w:val="0"/>
                <w:sz w:val="24"/>
                <w:szCs w:val="24"/>
                <w:lang w:val="en-US" w:eastAsia="zh-CN"/>
              </w:rPr>
              <w:t>为西北侧213m的</w:t>
            </w:r>
            <w:r>
              <w:rPr>
                <w:rFonts w:hint="eastAsia" w:cs="Times New Roman"/>
                <w:snapToGrid/>
                <w:color w:val="auto"/>
                <w:spacing w:val="0"/>
                <w:kern w:val="0"/>
                <w:position w:val="0"/>
                <w:sz w:val="24"/>
                <w:szCs w:val="24"/>
                <w:u w:val="none"/>
                <w:lang w:eastAsia="zh-CN"/>
              </w:rPr>
              <w:t>田路村</w:t>
            </w:r>
            <w:r>
              <w:rPr>
                <w:rFonts w:hint="eastAsia" w:ascii="Times New Roman" w:hAnsi="Times New Roman" w:eastAsia="宋体" w:cs="Times New Roman"/>
                <w:b w:val="0"/>
                <w:bCs w:val="0"/>
                <w:color w:val="auto"/>
                <w:kern w:val="0"/>
                <w:sz w:val="24"/>
                <w:szCs w:val="24"/>
                <w:lang w:val="en-US" w:eastAsia="zh-CN"/>
              </w:rPr>
              <w:t>。</w:t>
            </w:r>
          </w:p>
          <w:p w14:paraId="6AF46BAE">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snapToGrid/>
                <w:color w:val="auto"/>
                <w:spacing w:val="0"/>
                <w:kern w:val="0"/>
                <w:position w:val="0"/>
                <w:lang w:val="en-US" w:eastAsia="zh-CN"/>
              </w:rPr>
            </w:pPr>
            <w:r>
              <w:rPr>
                <w:rFonts w:hint="default" w:ascii="Times New Roman" w:hAnsi="Times New Roman" w:eastAsia="宋体" w:cs="Times New Roman"/>
                <w:color w:val="auto"/>
                <w:sz w:val="24"/>
                <w:szCs w:val="24"/>
                <w:lang w:val="en-US" w:eastAsia="zh-CN"/>
              </w:rPr>
              <w:t>本项目</w:t>
            </w:r>
            <w:r>
              <w:rPr>
                <w:rFonts w:hint="eastAsia" w:cs="Times New Roman"/>
                <w:color w:val="auto"/>
                <w:sz w:val="24"/>
                <w:szCs w:val="24"/>
                <w:lang w:val="en-US" w:eastAsia="zh-CN"/>
              </w:rPr>
              <w:t>混合</w:t>
            </w:r>
            <w:r>
              <w:rPr>
                <w:rFonts w:hint="default" w:ascii="Times New Roman" w:hAnsi="Times New Roman" w:eastAsia="宋体" w:cs="Times New Roman"/>
                <w:color w:val="auto"/>
                <w:sz w:val="24"/>
                <w:szCs w:val="24"/>
                <w:lang w:val="en-US" w:eastAsia="zh-CN"/>
              </w:rPr>
              <w:t>废气采用</w:t>
            </w:r>
            <w:r>
              <w:rPr>
                <w:rFonts w:hint="eastAsia" w:cs="Times New Roman"/>
                <w:color w:val="auto"/>
                <w:sz w:val="24"/>
                <w:szCs w:val="24"/>
                <w:lang w:val="en-US" w:eastAsia="zh-CN"/>
              </w:rPr>
              <w:t>“集气罩+布袋除尘器+15m高排气筒（DA001）”</w:t>
            </w:r>
            <w:r>
              <w:rPr>
                <w:rFonts w:hint="default" w:ascii="Times New Roman" w:hAnsi="Times New Roman" w:eastAsia="宋体" w:cs="Times New Roman"/>
                <w:color w:val="auto"/>
                <w:sz w:val="24"/>
                <w:szCs w:val="24"/>
                <w:lang w:val="en-US" w:eastAsia="zh-CN"/>
              </w:rPr>
              <w:t>处理后排放；</w:t>
            </w:r>
            <w:r>
              <w:rPr>
                <w:rFonts w:hint="eastAsia" w:cs="Times New Roman"/>
                <w:color w:val="auto"/>
                <w:sz w:val="24"/>
                <w:szCs w:val="24"/>
                <w:lang w:val="en-US" w:eastAsia="zh-CN"/>
              </w:rPr>
              <w:t>加热</w:t>
            </w:r>
            <w:r>
              <w:rPr>
                <w:rFonts w:hint="default" w:ascii="Times New Roman" w:hAnsi="Times New Roman" w:eastAsia="宋体" w:cs="Times New Roman"/>
                <w:color w:val="auto"/>
                <w:sz w:val="24"/>
                <w:szCs w:val="24"/>
                <w:lang w:val="en-US" w:eastAsia="zh-CN"/>
              </w:rPr>
              <w:t>废气采用</w:t>
            </w:r>
            <w:r>
              <w:rPr>
                <w:rFonts w:hint="eastAsia" w:cs="Times New Roman"/>
                <w:color w:val="auto"/>
                <w:sz w:val="24"/>
                <w:szCs w:val="24"/>
                <w:lang w:val="en-US" w:eastAsia="zh-CN"/>
              </w:rPr>
              <w:t>“集气罩+二级活性炭吸附装置+15m高排气筒（DA002）”</w:t>
            </w:r>
            <w:r>
              <w:rPr>
                <w:rFonts w:hint="default" w:ascii="Times New Roman" w:hAnsi="Times New Roman" w:eastAsia="宋体" w:cs="Times New Roman"/>
                <w:color w:val="auto"/>
                <w:sz w:val="24"/>
                <w:szCs w:val="24"/>
                <w:lang w:val="en-US" w:eastAsia="zh-CN"/>
              </w:rPr>
              <w:t>处理后排放</w:t>
            </w:r>
            <w:r>
              <w:rPr>
                <w:rFonts w:hint="eastAsia" w:ascii="Times New Roman" w:hAnsi="Times New Roman" w:eastAsia="宋体" w:cs="Times New Roman"/>
                <w:color w:val="auto"/>
                <w:sz w:val="24"/>
                <w:szCs w:val="24"/>
                <w:lang w:val="en-US" w:eastAsia="zh-CN"/>
              </w:rPr>
              <w:t>；1#脱胶、注塑</w:t>
            </w:r>
            <w:r>
              <w:rPr>
                <w:rFonts w:hint="eastAsia" w:cs="Times New Roman"/>
                <w:color w:val="auto"/>
                <w:sz w:val="24"/>
                <w:szCs w:val="24"/>
                <w:lang w:val="en-US" w:eastAsia="zh-CN"/>
              </w:rPr>
              <w:t>废气、固化废气</w:t>
            </w:r>
            <w:r>
              <w:rPr>
                <w:rFonts w:hint="default" w:ascii="Times New Roman" w:hAnsi="Times New Roman" w:eastAsia="宋体" w:cs="Times New Roman"/>
                <w:color w:val="auto"/>
                <w:sz w:val="24"/>
                <w:szCs w:val="24"/>
                <w:lang w:val="en-US" w:eastAsia="zh-CN"/>
              </w:rPr>
              <w:t>采用</w:t>
            </w:r>
            <w:r>
              <w:rPr>
                <w:rFonts w:hint="eastAsia" w:cs="Times New Roman"/>
                <w:color w:val="auto"/>
                <w:sz w:val="24"/>
                <w:szCs w:val="24"/>
                <w:lang w:val="en-US" w:eastAsia="zh-CN"/>
              </w:rPr>
              <w:t>“集气罩+二级活性炭吸附装置+15m高排气筒（DA003）”</w:t>
            </w:r>
            <w:r>
              <w:rPr>
                <w:rFonts w:hint="default" w:ascii="Times New Roman" w:hAnsi="Times New Roman" w:eastAsia="宋体" w:cs="Times New Roman"/>
                <w:color w:val="auto"/>
                <w:sz w:val="24"/>
                <w:szCs w:val="24"/>
                <w:lang w:val="en-US" w:eastAsia="zh-CN"/>
              </w:rPr>
              <w:t>处理后排放</w:t>
            </w:r>
            <w:r>
              <w:rPr>
                <w:rFonts w:hint="eastAsia" w:ascii="Times New Roman" w:hAnsi="Times New Roman" w:eastAsia="宋体" w:cs="Times New Roman"/>
                <w:color w:val="auto"/>
                <w:sz w:val="24"/>
                <w:szCs w:val="24"/>
                <w:lang w:val="en-US" w:eastAsia="zh-CN"/>
              </w:rPr>
              <w:t>；2#脱胶、注塑</w:t>
            </w:r>
            <w:r>
              <w:rPr>
                <w:rFonts w:hint="eastAsia" w:cs="Times New Roman"/>
                <w:color w:val="auto"/>
                <w:sz w:val="24"/>
                <w:szCs w:val="24"/>
                <w:lang w:val="en-US" w:eastAsia="zh-CN"/>
              </w:rPr>
              <w:t>废气</w:t>
            </w:r>
            <w:r>
              <w:rPr>
                <w:rFonts w:hint="default" w:ascii="Times New Roman" w:hAnsi="Times New Roman" w:eastAsia="宋体" w:cs="Times New Roman"/>
                <w:color w:val="auto"/>
                <w:sz w:val="24"/>
                <w:szCs w:val="24"/>
                <w:lang w:val="en-US" w:eastAsia="zh-CN"/>
              </w:rPr>
              <w:t>采用</w:t>
            </w:r>
            <w:r>
              <w:rPr>
                <w:rFonts w:hint="eastAsia" w:cs="Times New Roman"/>
                <w:color w:val="auto"/>
                <w:sz w:val="24"/>
                <w:szCs w:val="24"/>
                <w:lang w:val="en-US" w:eastAsia="zh-CN"/>
              </w:rPr>
              <w:t>“集气罩+二级活性炭吸附装置+15m高排气筒（DA004）”</w:t>
            </w:r>
            <w:r>
              <w:rPr>
                <w:rFonts w:hint="default" w:ascii="Times New Roman" w:hAnsi="Times New Roman" w:eastAsia="宋体" w:cs="Times New Roman"/>
                <w:color w:val="auto"/>
                <w:sz w:val="24"/>
                <w:szCs w:val="24"/>
                <w:lang w:val="en-US" w:eastAsia="zh-CN"/>
              </w:rPr>
              <w:t>处理后排放</w:t>
            </w:r>
            <w:r>
              <w:rPr>
                <w:rFonts w:hint="eastAsia" w:ascii="Times New Roman" w:hAnsi="Times New Roman" w:eastAsia="宋体" w:cs="Times New Roman"/>
                <w:color w:val="auto"/>
                <w:sz w:val="24"/>
                <w:szCs w:val="24"/>
                <w:lang w:val="en-US" w:eastAsia="zh-CN"/>
              </w:rPr>
              <w:t>；喷塑废气采用“侧向集气罩+布袋除尘器+15m高排气筒（DA005）”</w:t>
            </w:r>
            <w:r>
              <w:rPr>
                <w:rFonts w:hint="default" w:ascii="Times New Roman" w:hAnsi="Times New Roman" w:eastAsia="宋体" w:cs="Times New Roman"/>
                <w:color w:val="auto"/>
                <w:sz w:val="24"/>
                <w:szCs w:val="24"/>
                <w:lang w:val="en-US" w:eastAsia="zh-CN"/>
              </w:rPr>
              <w:t>处理后排放</w:t>
            </w:r>
            <w:r>
              <w:rPr>
                <w:rFonts w:hint="eastAsia" w:ascii="Times New Roman" w:hAnsi="Times New Roman" w:eastAsia="宋体" w:cs="Times New Roman"/>
                <w:color w:val="auto"/>
                <w:sz w:val="24"/>
                <w:szCs w:val="24"/>
                <w:lang w:val="en-US" w:eastAsia="zh-CN"/>
              </w:rPr>
              <w:t>；</w:t>
            </w:r>
            <w:r>
              <w:rPr>
                <w:rFonts w:hint="eastAsia" w:cs="Times New Roman"/>
                <w:bCs/>
                <w:color w:val="auto"/>
                <w:kern w:val="24"/>
                <w:sz w:val="24"/>
                <w:szCs w:val="24"/>
                <w:lang w:val="en-US" w:eastAsia="zh-CN"/>
              </w:rPr>
              <w:t>液氨储罐呼吸废气</w:t>
            </w:r>
            <w:r>
              <w:rPr>
                <w:rFonts w:hint="eastAsia" w:ascii="Times New Roman" w:hAnsi="Times New Roman" w:eastAsia="宋体" w:cs="Times New Roman"/>
                <w:color w:val="auto"/>
                <w:sz w:val="24"/>
                <w:szCs w:val="24"/>
                <w:lang w:val="en-US" w:eastAsia="zh-CN"/>
              </w:rPr>
              <w:t>采用</w:t>
            </w:r>
            <w:r>
              <w:rPr>
                <w:rFonts w:hint="eastAsia" w:cs="Times New Roman"/>
                <w:color w:val="auto"/>
                <w:sz w:val="24"/>
                <w:szCs w:val="24"/>
                <w:highlight w:val="none"/>
                <w:lang w:val="en-US" w:eastAsia="zh-CN"/>
              </w:rPr>
              <w:t>加强车间通风，</w:t>
            </w:r>
            <w:r>
              <w:rPr>
                <w:rFonts w:hint="default" w:ascii="Times New Roman" w:hAnsi="Times New Roman" w:eastAsia="宋体" w:cs="Times New Roman"/>
                <w:color w:val="auto"/>
                <w:sz w:val="24"/>
                <w:szCs w:val="24"/>
                <w:highlight w:val="none"/>
                <w:lang w:val="en-US" w:eastAsia="zh-CN"/>
              </w:rPr>
              <w:t>在车间内无组织排放</w:t>
            </w:r>
            <w:r>
              <w:rPr>
                <w:rFonts w:hint="default" w:ascii="Times New Roman" w:hAnsi="Times New Roman" w:eastAsia="宋体" w:cs="Times New Roman"/>
                <w:bCs/>
                <w:color w:val="auto"/>
                <w:kern w:val="24"/>
                <w:sz w:val="24"/>
                <w:szCs w:val="24"/>
                <w:lang w:val="en-US" w:eastAsia="zh-CN"/>
              </w:rPr>
              <w:t>。</w:t>
            </w:r>
            <w:r>
              <w:rPr>
                <w:rFonts w:hint="eastAsia" w:ascii="Times New Roman" w:hAnsi="Times New Roman" w:eastAsia="宋体" w:cs="Times New Roman"/>
                <w:color w:val="auto"/>
                <w:sz w:val="24"/>
                <w:szCs w:val="24"/>
                <w:lang w:val="en-US" w:eastAsia="zh-CN"/>
              </w:rPr>
              <w:t>本项目</w:t>
            </w:r>
            <w:r>
              <w:rPr>
                <w:rFonts w:hint="eastAsia" w:ascii="Times New Roman" w:hAnsi="Times New Roman" w:eastAsia="宋体" w:cs="Times New Roman"/>
                <w:color w:val="auto"/>
                <w:sz w:val="24"/>
                <w:lang w:val="en-US" w:eastAsia="zh-CN"/>
              </w:rPr>
              <w:t>混合</w:t>
            </w:r>
            <w:r>
              <w:rPr>
                <w:rFonts w:hint="eastAsia" w:cs="Times New Roman"/>
                <w:color w:val="auto"/>
                <w:sz w:val="24"/>
                <w:lang w:val="en-US" w:eastAsia="zh-CN"/>
              </w:rPr>
              <w:t>废气、加热废气、喷塑废气有组织</w:t>
            </w:r>
            <w:r>
              <w:rPr>
                <w:rFonts w:hint="default" w:ascii="Times New Roman" w:hAnsi="Times New Roman" w:eastAsia="宋体" w:cs="Times New Roman"/>
                <w:color w:val="auto"/>
                <w:sz w:val="24"/>
                <w:szCs w:val="24"/>
                <w:lang w:val="en-US" w:eastAsia="zh-CN"/>
              </w:rPr>
              <w:t>排放</w:t>
            </w:r>
            <w:r>
              <w:rPr>
                <w:rFonts w:hint="eastAsia" w:cs="Times New Roman"/>
                <w:color w:val="auto"/>
                <w:sz w:val="24"/>
                <w:szCs w:val="24"/>
                <w:lang w:val="en-US" w:eastAsia="zh-CN"/>
              </w:rPr>
              <w:t>满足</w:t>
            </w:r>
            <w:r>
              <w:rPr>
                <w:rFonts w:hint="default" w:ascii="Times New Roman" w:hAnsi="Times New Roman" w:eastAsia="宋体" w:cs="Times New Roman"/>
                <w:color w:val="auto"/>
                <w:kern w:val="2"/>
                <w:sz w:val="24"/>
                <w:szCs w:val="24"/>
                <w:lang w:val="en-US" w:eastAsia="zh-CN" w:bidi="ar-SA"/>
              </w:rPr>
              <w:t>《大气污染物综合排放标准》（GB16297-1996）表2中二级排放标准</w:t>
            </w:r>
            <w:r>
              <w:rPr>
                <w:rFonts w:hint="eastAsia" w:cs="Times New Roman"/>
                <w:color w:val="auto"/>
                <w:kern w:val="2"/>
                <w:sz w:val="24"/>
                <w:szCs w:val="24"/>
                <w:lang w:val="en-US" w:eastAsia="zh-CN" w:bidi="ar-SA"/>
              </w:rPr>
              <w:t>，</w:t>
            </w:r>
            <w:r>
              <w:rPr>
                <w:rFonts w:hint="eastAsia" w:cs="Times New Roman"/>
                <w:b w:val="0"/>
                <w:bCs w:val="0"/>
                <w:snapToGrid w:val="0"/>
                <w:color w:val="auto"/>
                <w:kern w:val="2"/>
                <w:sz w:val="24"/>
                <w:szCs w:val="24"/>
                <w:lang w:val="en-US" w:eastAsia="zh-CN"/>
              </w:rPr>
              <w:t>脱胶</w:t>
            </w:r>
            <w:r>
              <w:rPr>
                <w:rFonts w:hint="eastAsia" w:ascii="Times New Roman" w:hAnsi="Times New Roman" w:eastAsia="宋体" w:cs="Times New Roman"/>
                <w:b w:val="0"/>
                <w:bCs w:val="0"/>
                <w:snapToGrid w:val="0"/>
                <w:color w:val="auto"/>
                <w:kern w:val="2"/>
                <w:sz w:val="24"/>
                <w:szCs w:val="24"/>
                <w:lang w:val="en-US" w:eastAsia="zh-CN"/>
              </w:rPr>
              <w:t>、注塑</w:t>
            </w:r>
            <w:r>
              <w:rPr>
                <w:rFonts w:hint="eastAsia" w:ascii="Times New Roman" w:hAnsi="Times New Roman" w:eastAsia="宋体" w:cs="Times New Roman"/>
                <w:color w:val="auto"/>
                <w:sz w:val="24"/>
                <w:lang w:eastAsia="zh-CN"/>
              </w:rPr>
              <w:t>废气</w:t>
            </w:r>
            <w:r>
              <w:rPr>
                <w:rFonts w:hint="eastAsia" w:cs="Times New Roman"/>
                <w:color w:val="auto"/>
                <w:sz w:val="24"/>
                <w:lang w:eastAsia="zh-CN"/>
              </w:rPr>
              <w:t>、固化废气排放满足</w:t>
            </w:r>
            <w:r>
              <w:rPr>
                <w:rFonts w:hint="default" w:ascii="Times New Roman" w:hAnsi="Times New Roman" w:cs="Times New Roman"/>
                <w:color w:val="auto"/>
                <w:sz w:val="24"/>
                <w:szCs w:val="24"/>
                <w:lang w:val="en-US" w:eastAsia="zh-CN"/>
              </w:rPr>
              <w:t>《合成树脂工业污染物排放标准》（GB31572-2015）中表5 大气污染物特别排放限值</w:t>
            </w:r>
            <w:r>
              <w:rPr>
                <w:rFonts w:hint="default" w:ascii="Times New Roman" w:hAnsi="Times New Roman" w:eastAsia="宋体" w:cs="Times New Roman"/>
                <w:color w:val="auto"/>
                <w:sz w:val="24"/>
                <w:szCs w:val="24"/>
                <w:lang w:val="en-US" w:eastAsia="zh-CN"/>
              </w:rPr>
              <w:t>；</w:t>
            </w:r>
            <w:r>
              <w:rPr>
                <w:color w:val="auto"/>
                <w:sz w:val="24"/>
                <w:lang w:bidi="ar"/>
              </w:rPr>
              <w:t>厂区内</w:t>
            </w:r>
            <w:r>
              <w:rPr>
                <w:rFonts w:hint="eastAsia" w:cs="Times New Roman"/>
                <w:color w:val="auto"/>
                <w:sz w:val="24"/>
                <w:szCs w:val="24"/>
                <w:lang w:val="en-US" w:eastAsia="zh-CN"/>
              </w:rPr>
              <w:t>挥发性有机物无组织排放</w:t>
            </w:r>
            <w:r>
              <w:rPr>
                <w:rFonts w:hint="eastAsia"/>
                <w:color w:val="auto"/>
                <w:sz w:val="24"/>
                <w:lang w:eastAsia="zh-CN" w:bidi="ar"/>
              </w:rPr>
              <w:t>满足</w:t>
            </w:r>
            <w:r>
              <w:rPr>
                <w:color w:val="auto"/>
                <w:sz w:val="24"/>
                <w:lang w:bidi="ar"/>
              </w:rPr>
              <w:t>《</w:t>
            </w:r>
            <w:r>
              <w:rPr>
                <w:rFonts w:hint="eastAsia"/>
                <w:color w:val="auto"/>
                <w:sz w:val="24"/>
                <w:szCs w:val="24"/>
                <w:lang w:eastAsia="zh-CN"/>
              </w:rPr>
              <w:t>固定源挥发性有机物综合排放标准</w:t>
            </w:r>
            <w:r>
              <w:rPr>
                <w:rFonts w:hint="eastAsia"/>
                <w:color w:val="auto"/>
                <w:sz w:val="24"/>
                <w:szCs w:val="24"/>
                <w:lang w:val="en-US" w:eastAsia="zh-CN"/>
              </w:rPr>
              <w:t xml:space="preserve"> 第六部分：其他行业</w:t>
            </w:r>
            <w:r>
              <w:rPr>
                <w:color w:val="auto"/>
                <w:sz w:val="24"/>
                <w:lang w:bidi="ar"/>
              </w:rPr>
              <w:t>》</w:t>
            </w:r>
            <w:r>
              <w:rPr>
                <w:rFonts w:hint="eastAsia"/>
                <w:color w:val="auto"/>
                <w:sz w:val="24"/>
                <w:lang w:eastAsia="zh-CN" w:bidi="ar"/>
              </w:rPr>
              <w:t>（</w:t>
            </w:r>
            <w:r>
              <w:rPr>
                <w:rFonts w:hint="eastAsia" w:cs="Times New Roman"/>
                <w:b w:val="0"/>
                <w:bCs w:val="0"/>
                <w:color w:val="auto"/>
                <w:sz w:val="24"/>
                <w:szCs w:val="24"/>
                <w:lang w:val="en-US" w:eastAsia="zh-CN"/>
              </w:rPr>
              <w:t>DB34/4812.6-2024</w:t>
            </w:r>
            <w:r>
              <w:rPr>
                <w:rFonts w:hint="eastAsia"/>
                <w:color w:val="auto"/>
                <w:sz w:val="24"/>
                <w:lang w:eastAsia="zh-CN" w:bidi="ar"/>
              </w:rPr>
              <w:t>）表</w:t>
            </w:r>
            <w:r>
              <w:rPr>
                <w:rFonts w:hint="eastAsia"/>
                <w:color w:val="auto"/>
                <w:sz w:val="24"/>
                <w:lang w:val="en-US" w:eastAsia="zh-CN" w:bidi="ar"/>
              </w:rPr>
              <w:t>4中无组织排放限值，厂界无组织颗粒物、挥发性有机物</w:t>
            </w:r>
            <w:r>
              <w:rPr>
                <w:rFonts w:hint="eastAsia" w:cs="Times New Roman"/>
                <w:color w:val="auto"/>
                <w:sz w:val="24"/>
                <w:lang w:eastAsia="zh-CN"/>
              </w:rPr>
              <w:t>排放满足</w:t>
            </w:r>
            <w:r>
              <w:rPr>
                <w:rFonts w:hint="default" w:ascii="Times New Roman" w:hAnsi="Times New Roman" w:cs="Times New Roman"/>
                <w:color w:val="auto"/>
                <w:sz w:val="24"/>
                <w:szCs w:val="24"/>
                <w:lang w:val="en-US" w:eastAsia="zh-CN"/>
              </w:rPr>
              <w:t>《合成树脂工业污染物排放标准》（GB31572-2015）中表</w:t>
            </w:r>
            <w:r>
              <w:rPr>
                <w:rFonts w:hint="eastAsia" w:ascii="Times New Roman" w:hAnsi="Times New Roman" w:cs="Times New Roman"/>
                <w:color w:val="auto"/>
                <w:sz w:val="24"/>
                <w:szCs w:val="24"/>
                <w:lang w:val="en-US" w:eastAsia="zh-CN"/>
              </w:rPr>
              <w:t xml:space="preserve">9 </w:t>
            </w:r>
            <w:r>
              <w:rPr>
                <w:rFonts w:hint="default" w:ascii="Times New Roman" w:hAnsi="Times New Roman" w:cs="Times New Roman"/>
                <w:color w:val="auto"/>
                <w:sz w:val="24"/>
                <w:szCs w:val="24"/>
                <w:lang w:val="en-US" w:eastAsia="zh-CN"/>
              </w:rPr>
              <w:t>企业边界大气污染物浓度限值</w:t>
            </w:r>
            <w:r>
              <w:rPr>
                <w:rFonts w:hint="eastAsia" w:ascii="Times New Roman" w:hAnsi="Times New Roman" w:cs="Times New Roman"/>
                <w:color w:val="auto"/>
                <w:sz w:val="24"/>
                <w:szCs w:val="24"/>
                <w:lang w:val="en-US" w:eastAsia="zh-CN"/>
              </w:rPr>
              <w:t>和《大气污染物综合排放标准》（GB16297-1996）无组织排放监控浓度限值</w:t>
            </w:r>
          </w:p>
          <w:p w14:paraId="2B64B81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snapToGrid/>
                <w:color w:val="auto"/>
                <w:spacing w:val="0"/>
                <w:kern w:val="0"/>
                <w:position w:val="0"/>
                <w:sz w:val="24"/>
                <w:szCs w:val="24"/>
                <w:lang w:val="en-US" w:eastAsia="zh-CN"/>
              </w:rPr>
            </w:pPr>
            <w:r>
              <w:rPr>
                <w:rFonts w:hint="default" w:ascii="Times New Roman" w:hAnsi="Times New Roman" w:cs="Times New Roman"/>
                <w:snapToGrid/>
                <w:color w:val="auto"/>
                <w:spacing w:val="0"/>
                <w:kern w:val="0"/>
                <w:position w:val="0"/>
                <w:sz w:val="24"/>
                <w:szCs w:val="24"/>
              </w:rPr>
              <w:t>综上</w:t>
            </w:r>
            <w:r>
              <w:rPr>
                <w:rFonts w:hint="eastAsia" w:ascii="Times New Roman" w:hAnsi="Times New Roman" w:cs="Times New Roman"/>
                <w:snapToGrid/>
                <w:color w:val="auto"/>
                <w:spacing w:val="0"/>
                <w:kern w:val="0"/>
                <w:position w:val="0"/>
                <w:sz w:val="24"/>
                <w:szCs w:val="24"/>
                <w:lang w:eastAsia="zh-CN"/>
              </w:rPr>
              <w:t>，</w:t>
            </w:r>
            <w:r>
              <w:rPr>
                <w:rFonts w:hint="default" w:ascii="Times New Roman" w:hAnsi="Times New Roman" w:cs="Times New Roman"/>
                <w:snapToGrid/>
                <w:color w:val="auto"/>
                <w:spacing w:val="0"/>
                <w:kern w:val="0"/>
                <w:position w:val="0"/>
                <w:sz w:val="24"/>
                <w:szCs w:val="24"/>
              </w:rPr>
              <w:t>该项目产生的大气污染物在落实本次评价的废气防治措施后，对区域大气环境质量影响较小。</w:t>
            </w:r>
          </w:p>
          <w:p w14:paraId="330523C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snapToGrid/>
                <w:color w:val="auto"/>
                <w:spacing w:val="0"/>
                <w:kern w:val="0"/>
                <w:position w:val="0"/>
                <w:sz w:val="24"/>
                <w:szCs w:val="24"/>
              </w:rPr>
            </w:pPr>
            <w:r>
              <w:rPr>
                <w:rFonts w:hint="eastAsia" w:ascii="Times New Roman" w:hAnsi="Times New Roman" w:eastAsia="宋体" w:cs="Times New Roman"/>
                <w:b/>
                <w:bCs/>
                <w:snapToGrid/>
                <w:color w:val="auto"/>
                <w:spacing w:val="0"/>
                <w:kern w:val="0"/>
                <w:position w:val="0"/>
                <w:sz w:val="24"/>
                <w:szCs w:val="24"/>
                <w:lang w:val="en-US" w:eastAsia="zh-CN"/>
              </w:rPr>
              <w:t>2、</w:t>
            </w:r>
            <w:r>
              <w:rPr>
                <w:rFonts w:hint="default" w:ascii="Times New Roman" w:hAnsi="Times New Roman" w:eastAsia="宋体" w:cs="Times New Roman"/>
                <w:b/>
                <w:bCs/>
                <w:snapToGrid/>
                <w:color w:val="auto"/>
                <w:spacing w:val="0"/>
                <w:kern w:val="0"/>
                <w:position w:val="0"/>
                <w:sz w:val="24"/>
                <w:szCs w:val="24"/>
              </w:rPr>
              <w:t>废水</w:t>
            </w:r>
          </w:p>
          <w:p w14:paraId="76B4C576">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jc w:val="both"/>
              <w:textAlignment w:val="auto"/>
              <w:rPr>
                <w:rFonts w:hint="eastAsia"/>
                <w:snapToGrid/>
                <w:color w:val="auto"/>
                <w:spacing w:val="0"/>
                <w:kern w:val="0"/>
                <w:position w:val="0"/>
                <w:sz w:val="24"/>
                <w:szCs w:val="24"/>
                <w:lang w:val="en-US" w:eastAsia="zh-CN"/>
              </w:rPr>
            </w:pPr>
            <w:r>
              <w:rPr>
                <w:rFonts w:hint="eastAsia" w:ascii="Times New Roman" w:hAnsi="Times New Roman" w:eastAsia="宋体" w:cs="Times New Roman"/>
                <w:color w:val="auto"/>
                <w:kern w:val="2"/>
                <w:sz w:val="24"/>
                <w:szCs w:val="24"/>
                <w:highlight w:val="none"/>
                <w:lang w:val="en-US" w:eastAsia="zh-CN" w:bidi="ar-SA"/>
              </w:rPr>
              <w:t>项目采用雨污分流制，雨水经雨水管网排入周边沟渠；项目无生产废水排放，冷却水循环使用，不外排至环境水体中，只需定期补充损耗即可，生活污水经化粪池处理，定期清掏用作厂区周围农田施肥，不外排。</w:t>
            </w:r>
            <w:r>
              <w:rPr>
                <w:rFonts w:hint="default" w:ascii="Times New Roman" w:hAnsi="Times New Roman" w:eastAsia="宋体" w:cs="Times New Roman"/>
                <w:color w:val="auto"/>
                <w:kern w:val="2"/>
                <w:sz w:val="24"/>
                <w:szCs w:val="24"/>
                <w:highlight w:val="none"/>
                <w:lang w:val="en-US" w:eastAsia="zh-CN" w:bidi="ar-SA"/>
              </w:rPr>
              <w:t>对周围水环境影响较小。</w:t>
            </w:r>
          </w:p>
          <w:p w14:paraId="6BE460F2">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482" w:firstLineChars="200"/>
              <w:jc w:val="both"/>
              <w:textAlignment w:val="auto"/>
              <w:rPr>
                <w:rFonts w:hint="eastAsia" w:cs="Times New Roman"/>
                <w:b/>
                <w:bCs/>
                <w:color w:val="auto"/>
                <w:sz w:val="24"/>
                <w:szCs w:val="24"/>
                <w:lang w:val="en-US" w:eastAsia="zh-CN"/>
              </w:rPr>
            </w:pPr>
            <w:r>
              <w:rPr>
                <w:rFonts w:hint="eastAsia"/>
                <w:b/>
                <w:bCs/>
                <w:color w:val="auto"/>
                <w:sz w:val="24"/>
                <w:szCs w:val="24"/>
                <w:lang w:val="en-US" w:eastAsia="zh-CN"/>
              </w:rPr>
              <w:t>排放口设置及监测计划</w:t>
            </w:r>
          </w:p>
          <w:p w14:paraId="7EA60CF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项目</w:t>
            </w:r>
            <w:r>
              <w:rPr>
                <w:rFonts w:hint="default" w:ascii="Times New Roman" w:hAnsi="Times New Roman" w:eastAsia="宋体" w:cs="Times New Roman"/>
                <w:color w:val="auto"/>
                <w:sz w:val="24"/>
                <w:szCs w:val="24"/>
              </w:rPr>
              <w:t>采取雨污分流制，</w:t>
            </w:r>
            <w:r>
              <w:rPr>
                <w:rFonts w:hint="eastAsia" w:ascii="Times New Roman" w:hAnsi="Times New Roman" w:eastAsia="宋体" w:cs="Times New Roman"/>
                <w:color w:val="auto"/>
                <w:sz w:val="24"/>
                <w:szCs w:val="24"/>
                <w:lang w:eastAsia="zh-CN"/>
              </w:rPr>
              <w:t>雨水经厂区雨水管网排入周边沟渠</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kern w:val="2"/>
                <w:sz w:val="24"/>
                <w:szCs w:val="24"/>
                <w:highlight w:val="none"/>
                <w:lang w:val="en-US" w:eastAsia="zh-CN" w:bidi="ar-SA"/>
              </w:rPr>
              <w:t>项目无生产废水排放，冷却水循环使用，不外排至环境水体中，只需定期补充损耗即可，生活污水经化粪池处理，定期清掏用作厂区周围农田施肥，不外排</w:t>
            </w:r>
            <w:r>
              <w:rPr>
                <w:rFonts w:hint="eastAsia" w:ascii="Times New Roman" w:hAnsi="Times New Roman" w:eastAsia="宋体"/>
                <w:color w:val="auto"/>
                <w:sz w:val="24"/>
                <w:szCs w:val="24"/>
                <w:lang w:eastAsia="zh-CN"/>
              </w:rPr>
              <w:t>。</w:t>
            </w:r>
            <w:r>
              <w:rPr>
                <w:rFonts w:hint="default" w:ascii="Times New Roman" w:hAnsi="Times New Roman" w:eastAsia="宋体" w:cs="Times New Roman"/>
                <w:color w:val="auto"/>
                <w:sz w:val="24"/>
                <w:szCs w:val="24"/>
              </w:rPr>
              <w:t>本项目</w:t>
            </w:r>
            <w:r>
              <w:rPr>
                <w:rFonts w:hint="eastAsia" w:ascii="Times New Roman" w:hAnsi="Times New Roman" w:eastAsia="宋体" w:cs="Times New Roman"/>
                <w:color w:val="auto"/>
                <w:sz w:val="24"/>
                <w:szCs w:val="24"/>
                <w:lang w:eastAsia="zh-CN"/>
              </w:rPr>
              <w:t>不设置</w:t>
            </w:r>
            <w:r>
              <w:rPr>
                <w:rFonts w:hint="default" w:ascii="Times New Roman" w:hAnsi="Times New Roman" w:eastAsia="宋体" w:cs="Times New Roman"/>
                <w:color w:val="auto"/>
                <w:sz w:val="24"/>
                <w:szCs w:val="24"/>
              </w:rPr>
              <w:t>废水排污口。</w:t>
            </w:r>
          </w:p>
          <w:p w14:paraId="149B308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b/>
                <w:bCs/>
                <w:color w:val="auto"/>
                <w:kern w:val="0"/>
                <w:sz w:val="24"/>
                <w:szCs w:val="24"/>
                <w:lang w:val="zh-CN"/>
              </w:rPr>
            </w:pPr>
            <w:r>
              <w:rPr>
                <w:b/>
                <w:bCs/>
                <w:color w:val="auto"/>
                <w:kern w:val="0"/>
                <w:sz w:val="24"/>
                <w:szCs w:val="24"/>
                <w:lang w:val="zh-CN"/>
              </w:rPr>
              <w:t>污水处理可行性分析</w:t>
            </w:r>
          </w:p>
          <w:p w14:paraId="0A6ED0D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kern w:val="0"/>
                <w:sz w:val="24"/>
                <w:szCs w:val="24"/>
              </w:rPr>
            </w:pPr>
            <w:r>
              <w:rPr>
                <w:color w:val="auto"/>
                <w:kern w:val="0"/>
                <w:sz w:val="24"/>
                <w:szCs w:val="24"/>
              </w:rPr>
              <w:t>项目地处</w:t>
            </w:r>
            <w:r>
              <w:rPr>
                <w:rFonts w:hint="eastAsia" w:cs="Times New Roman"/>
                <w:snapToGrid/>
                <w:color w:val="auto"/>
                <w:spacing w:val="0"/>
                <w:kern w:val="0"/>
                <w:position w:val="0"/>
                <w:sz w:val="24"/>
                <w:szCs w:val="24"/>
                <w:u w:val="none"/>
                <w:lang w:eastAsia="zh-CN"/>
              </w:rPr>
              <w:t>安徽省宿州市灵璧县尹集镇田路村</w:t>
            </w:r>
            <w:r>
              <w:rPr>
                <w:color w:val="auto"/>
                <w:kern w:val="0"/>
                <w:sz w:val="24"/>
                <w:szCs w:val="24"/>
              </w:rPr>
              <w:t>，周边农业用地资源丰富，且</w:t>
            </w:r>
            <w:r>
              <w:rPr>
                <w:rFonts w:hint="default" w:ascii="Times New Roman" w:hAnsi="Times New Roman" w:eastAsia="宋体" w:cs="Times New Roman"/>
                <w:color w:val="auto"/>
                <w:kern w:val="0"/>
                <w:sz w:val="24"/>
                <w:szCs w:val="24"/>
                <w:lang w:val="zh-CN"/>
              </w:rPr>
              <w:t>建设项目</w:t>
            </w:r>
            <w:r>
              <w:rPr>
                <w:rFonts w:hint="default" w:ascii="Times New Roman" w:hAnsi="Times New Roman" w:cs="Times New Roman"/>
                <w:color w:val="auto"/>
                <w:sz w:val="24"/>
                <w:szCs w:val="24"/>
                <w:lang w:val="en-US" w:eastAsia="zh-CN"/>
              </w:rPr>
              <w:t>生活污水</w:t>
            </w:r>
            <w:r>
              <w:rPr>
                <w:rFonts w:hint="default" w:ascii="Times New Roman" w:hAnsi="Times New Roman" w:eastAsia="宋体" w:cs="Times New Roman"/>
                <w:color w:val="auto"/>
                <w:kern w:val="0"/>
                <w:sz w:val="24"/>
                <w:szCs w:val="24"/>
                <w:lang w:val="zh-CN"/>
              </w:rPr>
              <w:t>产生量少，废水水质简单，结合建设项目所在区域无集中式污水处理厂集中处理，</w:t>
            </w:r>
            <w:r>
              <w:rPr>
                <w:rFonts w:hint="eastAsia" w:ascii="Times New Roman" w:hAnsi="Times New Roman" w:eastAsia="宋体" w:cs="Times New Roman"/>
                <w:color w:val="auto"/>
                <w:kern w:val="0"/>
                <w:sz w:val="24"/>
                <w:szCs w:val="24"/>
                <w:lang w:val="zh-CN"/>
              </w:rPr>
              <w:t>则</w:t>
            </w:r>
            <w:r>
              <w:rPr>
                <w:rFonts w:hint="default" w:ascii="Times New Roman" w:hAnsi="Times New Roman" w:eastAsia="宋体" w:cs="Times New Roman"/>
                <w:color w:val="auto"/>
                <w:kern w:val="0"/>
                <w:sz w:val="24"/>
                <w:szCs w:val="24"/>
                <w:lang w:val="zh-CN"/>
              </w:rPr>
              <w:t>建设项目</w:t>
            </w:r>
            <w:r>
              <w:rPr>
                <w:rFonts w:hint="default" w:ascii="Times New Roman" w:hAnsi="Times New Roman" w:eastAsia="宋体" w:cs="Times New Roman"/>
                <w:color w:val="auto"/>
                <w:sz w:val="24"/>
                <w:szCs w:val="24"/>
                <w:lang w:val="en-US" w:eastAsia="zh-CN"/>
              </w:rPr>
              <w:t>生活污水经厂区化粪池</w:t>
            </w:r>
            <w:r>
              <w:rPr>
                <w:rFonts w:hint="eastAsia" w:ascii="Times New Roman" w:hAnsi="Times New Roman" w:eastAsia="宋体" w:cs="Times New Roman"/>
                <w:color w:val="auto"/>
                <w:sz w:val="24"/>
                <w:szCs w:val="24"/>
                <w:lang w:val="en-US" w:eastAsia="zh-CN"/>
              </w:rPr>
              <w:t>预</w:t>
            </w:r>
            <w:r>
              <w:rPr>
                <w:rFonts w:hint="default" w:ascii="Times New Roman" w:hAnsi="Times New Roman" w:eastAsia="宋体" w:cs="Times New Roman"/>
                <w:color w:val="auto"/>
                <w:sz w:val="24"/>
                <w:szCs w:val="24"/>
                <w:lang w:val="en-US" w:eastAsia="zh-CN"/>
              </w:rPr>
              <w:t>处理后定期清掏</w:t>
            </w:r>
            <w:r>
              <w:rPr>
                <w:color w:val="auto"/>
                <w:kern w:val="0"/>
                <w:sz w:val="24"/>
                <w:szCs w:val="24"/>
              </w:rPr>
              <w:t>是可行的。</w:t>
            </w:r>
          </w:p>
          <w:p w14:paraId="562C501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auto"/>
                <w:sz w:val="24"/>
                <w:szCs w:val="24"/>
              </w:rPr>
            </w:pPr>
            <w:r>
              <w:rPr>
                <w:rFonts w:hint="default" w:ascii="Times New Roman" w:hAnsi="Times New Roman" w:cs="Times New Roman"/>
                <w:b/>
                <w:bCs/>
                <w:color w:val="auto"/>
                <w:sz w:val="24"/>
                <w:szCs w:val="24"/>
                <w:lang w:val="en-US" w:eastAsia="zh-CN"/>
              </w:rPr>
              <w:t>3</w:t>
            </w:r>
            <w:r>
              <w:rPr>
                <w:rFonts w:hint="default" w:ascii="Times New Roman" w:hAnsi="Times New Roman" w:eastAsia="宋体" w:cs="Times New Roman"/>
                <w:b/>
                <w:bCs/>
                <w:color w:val="auto"/>
                <w:sz w:val="24"/>
                <w:szCs w:val="24"/>
                <w:lang w:val="en-US" w:eastAsia="zh-CN"/>
              </w:rPr>
              <w:t>、</w:t>
            </w:r>
            <w:r>
              <w:rPr>
                <w:rFonts w:hint="default" w:ascii="Times New Roman" w:hAnsi="Times New Roman" w:eastAsia="宋体" w:cs="Times New Roman"/>
                <w:b/>
                <w:bCs/>
                <w:color w:val="auto"/>
                <w:sz w:val="24"/>
                <w:szCs w:val="24"/>
              </w:rPr>
              <w:t>噪声</w:t>
            </w:r>
          </w:p>
          <w:p w14:paraId="0C230AE8">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eastAsia"/>
                <w:b w:val="0"/>
                <w:bCs w:val="0"/>
                <w:color w:val="auto"/>
                <w:sz w:val="24"/>
                <w:szCs w:val="24"/>
                <w:highlight w:val="none"/>
                <w:lang w:val="en-US" w:eastAsia="zh-CN"/>
              </w:rPr>
              <w:t>本次扩建项目噪声源主要为V型混合机、</w:t>
            </w:r>
            <w:r>
              <w:rPr>
                <w:rFonts w:hint="eastAsia"/>
                <w:color w:val="auto"/>
              </w:rPr>
              <w:t>高速混料机</w:t>
            </w:r>
            <w:r>
              <w:rPr>
                <w:rFonts w:hint="eastAsia"/>
                <w:b w:val="0"/>
                <w:bCs w:val="0"/>
                <w:color w:val="auto"/>
                <w:sz w:val="24"/>
                <w:szCs w:val="24"/>
                <w:highlight w:val="none"/>
                <w:lang w:val="en-US" w:eastAsia="zh-CN"/>
              </w:rPr>
              <w:t>、</w:t>
            </w:r>
            <w:r>
              <w:rPr>
                <w:rFonts w:hint="eastAsia"/>
                <w:color w:val="auto"/>
              </w:rPr>
              <w:t>注塑机</w:t>
            </w:r>
            <w:r>
              <w:rPr>
                <w:rFonts w:hint="eastAsia"/>
                <w:b w:val="0"/>
                <w:bCs w:val="0"/>
                <w:color w:val="auto"/>
                <w:sz w:val="24"/>
                <w:szCs w:val="24"/>
                <w:highlight w:val="none"/>
                <w:lang w:val="en-US" w:eastAsia="zh-CN"/>
              </w:rPr>
              <w:t>、</w:t>
            </w:r>
            <w:r>
              <w:rPr>
                <w:rFonts w:hint="eastAsia"/>
                <w:color w:val="auto"/>
              </w:rPr>
              <w:t>微电脑钼丝炉</w:t>
            </w:r>
            <w:r>
              <w:rPr>
                <w:rFonts w:hint="eastAsia"/>
                <w:b w:val="0"/>
                <w:bCs w:val="0"/>
                <w:color w:val="auto"/>
                <w:sz w:val="24"/>
                <w:szCs w:val="24"/>
                <w:highlight w:val="none"/>
                <w:lang w:val="en-US" w:eastAsia="zh-CN"/>
              </w:rPr>
              <w:t>、</w:t>
            </w:r>
            <w:r>
              <w:rPr>
                <w:rFonts w:hint="eastAsia"/>
                <w:color w:val="auto"/>
              </w:rPr>
              <w:t>震动研磨机</w:t>
            </w:r>
            <w:r>
              <w:rPr>
                <w:rFonts w:hint="eastAsia"/>
                <w:b w:val="0"/>
                <w:bCs w:val="0"/>
                <w:color w:val="auto"/>
                <w:sz w:val="24"/>
                <w:szCs w:val="24"/>
                <w:highlight w:val="none"/>
                <w:lang w:val="en-US" w:eastAsia="zh-CN"/>
              </w:rPr>
              <w:t>及风机等设备运行时产生的噪声</w:t>
            </w:r>
            <w:r>
              <w:rPr>
                <w:rFonts w:hint="eastAsia" w:ascii="Times New Roman" w:hAnsi="Times New Roman" w:cs="Times New Roman"/>
                <w:b w:val="0"/>
                <w:bCs w:val="0"/>
                <w:color w:val="auto"/>
                <w:sz w:val="24"/>
                <w:szCs w:val="24"/>
                <w:highlight w:val="none"/>
                <w:shd w:val="clear" w:color="auto" w:fill="auto"/>
                <w:lang w:val="en-US" w:eastAsia="zh-CN"/>
              </w:rPr>
              <w:t>，噪声</w:t>
            </w:r>
            <w:r>
              <w:rPr>
                <w:rFonts w:hint="default" w:ascii="Times New Roman" w:hAnsi="Times New Roman" w:eastAsia="宋体" w:cs="Times New Roman"/>
                <w:color w:val="auto"/>
                <w:sz w:val="24"/>
                <w:szCs w:val="24"/>
                <w:highlight w:val="none"/>
              </w:rPr>
              <w:t>级在</w:t>
            </w:r>
            <w:r>
              <w:rPr>
                <w:rFonts w:hint="eastAsia" w:cs="Times New Roman"/>
                <w:color w:val="auto"/>
                <w:sz w:val="24"/>
                <w:szCs w:val="24"/>
                <w:highlight w:val="none"/>
                <w:lang w:val="en-US" w:eastAsia="zh-CN"/>
              </w:rPr>
              <w:t>70</w:t>
            </w: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9</w:t>
            </w:r>
            <w:r>
              <w:rPr>
                <w:rFonts w:hint="eastAsia" w:ascii="Times New Roman" w:hAnsi="Times New Roman" w:eastAsia="宋体" w:cs="Times New Roman"/>
                <w:color w:val="auto"/>
                <w:sz w:val="24"/>
                <w:szCs w:val="24"/>
                <w:highlight w:val="none"/>
                <w:lang w:val="en-US" w:eastAsia="zh-CN"/>
              </w:rPr>
              <w:t>0dB（A）之间</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项目的设备噪声强度见表</w:t>
            </w:r>
            <w:r>
              <w:rPr>
                <w:rFonts w:hint="eastAsia" w:ascii="Times New Roman" w:hAnsi="Times New Roman" w:eastAsia="宋体" w:cs="Times New Roman"/>
                <w:color w:val="auto"/>
                <w:sz w:val="24"/>
                <w:szCs w:val="24"/>
                <w:highlight w:val="none"/>
                <w:lang w:val="en-US" w:eastAsia="zh-CN"/>
              </w:rPr>
              <w:t>4.</w:t>
            </w:r>
            <w:r>
              <w:rPr>
                <w:rFonts w:hint="eastAsia" w:cs="Times New Roman"/>
                <w:color w:val="auto"/>
                <w:sz w:val="24"/>
                <w:szCs w:val="24"/>
                <w:highlight w:val="none"/>
                <w:lang w:val="en-US" w:eastAsia="zh-CN"/>
              </w:rPr>
              <w:t>8、表4.9</w:t>
            </w:r>
            <w:r>
              <w:rPr>
                <w:rFonts w:hint="default" w:ascii="Times New Roman" w:hAnsi="Times New Roman" w:eastAsia="宋体" w:cs="Times New Roman"/>
                <w:color w:val="auto"/>
                <w:sz w:val="24"/>
                <w:szCs w:val="24"/>
                <w:highlight w:val="none"/>
              </w:rPr>
              <w:t>。</w:t>
            </w:r>
          </w:p>
          <w:p w14:paraId="12DB810C">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p>
          <w:p w14:paraId="24D57F30">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p>
          <w:p w14:paraId="6BA4EBB0">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p>
          <w:p w14:paraId="48E35A5F">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p>
          <w:p w14:paraId="15DB8115">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p>
          <w:p w14:paraId="183F9675">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p>
          <w:p w14:paraId="6A0422AD">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p>
          <w:p w14:paraId="2260BDB5">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p>
          <w:p w14:paraId="3DF7CDDA">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p>
          <w:p w14:paraId="648F68BB">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p>
          <w:p w14:paraId="3E8184B1">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p>
          <w:p w14:paraId="083B456A">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p>
          <w:p w14:paraId="21B0E83D">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p>
          <w:p w14:paraId="3CEECE98">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p>
          <w:p w14:paraId="5ADD05FA">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p>
          <w:p w14:paraId="7803A6C0">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p>
          <w:p w14:paraId="4B7C90D7">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p>
          <w:p w14:paraId="28A7D5A4">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p>
          <w:p w14:paraId="26ED5AC9">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p>
          <w:p w14:paraId="66D5BBD5">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p>
          <w:p w14:paraId="07FA3BDE">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p>
          <w:p w14:paraId="5BEAF3F5">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p>
          <w:p w14:paraId="2BE036B9">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p>
          <w:p w14:paraId="32BD3F4D">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eastAsia" w:eastAsia="宋体"/>
                <w:snapToGrid/>
                <w:color w:val="auto"/>
                <w:spacing w:val="0"/>
                <w:kern w:val="0"/>
                <w:position w:val="0"/>
                <w:sz w:val="24"/>
                <w:szCs w:val="24"/>
                <w:lang w:val="en-US" w:eastAsia="zh-CN"/>
              </w:rPr>
            </w:pPr>
          </w:p>
        </w:tc>
      </w:tr>
    </w:tbl>
    <w:p w14:paraId="538D988C">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sectPr>
          <w:pgSz w:w="11906" w:h="16838"/>
          <w:pgMar w:top="1440" w:right="1803" w:bottom="1440" w:left="1803"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3643"/>
      </w:tblGrid>
      <w:tr w14:paraId="783D54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32" w:hRule="atLeast"/>
          <w:jc w:val="center"/>
        </w:trPr>
        <w:tc>
          <w:tcPr>
            <w:tcW w:w="508" w:type="dxa"/>
            <w:tcBorders>
              <w:tl2br w:val="nil"/>
              <w:tr2bl w:val="nil"/>
            </w:tcBorders>
            <w:noWrap w:val="0"/>
            <w:vAlign w:val="center"/>
          </w:tcPr>
          <w:p w14:paraId="74820395">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运</w:t>
            </w:r>
          </w:p>
          <w:p w14:paraId="481EC989">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营</w:t>
            </w:r>
          </w:p>
          <w:p w14:paraId="50AF29D9">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期</w:t>
            </w:r>
          </w:p>
          <w:p w14:paraId="560D76CC">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环</w:t>
            </w:r>
          </w:p>
          <w:p w14:paraId="40E07E16">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境</w:t>
            </w:r>
          </w:p>
          <w:p w14:paraId="6A034F36">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影</w:t>
            </w:r>
          </w:p>
          <w:p w14:paraId="34D5F554">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响</w:t>
            </w:r>
          </w:p>
          <w:p w14:paraId="0A77E26D">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和</w:t>
            </w:r>
          </w:p>
          <w:p w14:paraId="00366B0E">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保</w:t>
            </w:r>
          </w:p>
          <w:p w14:paraId="11F3A177">
            <w:pPr>
              <w:adjustRightInd w:val="0"/>
              <w:snapToGrid w:val="0"/>
              <w:jc w:val="center"/>
              <w:rPr>
                <w:rFonts w:hint="default" w:ascii="Times New Roman" w:hAnsi="Times New Roman" w:eastAsia="宋体" w:cs="Times New Roman"/>
                <w:snapToGrid/>
                <w:color w:val="auto"/>
                <w:spacing w:val="0"/>
                <w:kern w:val="0"/>
                <w:position w:val="0"/>
                <w:vertAlign w:val="baseline"/>
              </w:rPr>
            </w:pPr>
            <w:r>
              <w:rPr>
                <w:rFonts w:hint="default" w:ascii="Times New Roman" w:hAnsi="Times New Roman" w:eastAsia="宋体" w:cs="Times New Roman"/>
                <w:b w:val="0"/>
                <w:bCs w:val="0"/>
                <w:snapToGrid/>
                <w:color w:val="auto"/>
                <w:spacing w:val="0"/>
                <w:kern w:val="0"/>
                <w:position w:val="0"/>
                <w:sz w:val="24"/>
                <w:szCs w:val="24"/>
              </w:rPr>
              <w:t>护措施</w:t>
            </w:r>
          </w:p>
        </w:tc>
        <w:tc>
          <w:tcPr>
            <w:tcW w:w="13044" w:type="dxa"/>
            <w:tcBorders>
              <w:tl2br w:val="nil"/>
              <w:tr2bl w:val="nil"/>
            </w:tcBorders>
            <w:noWrap w:val="0"/>
            <w:vAlign w:val="top"/>
          </w:tcPr>
          <w:p w14:paraId="784CDB83">
            <w:pPr>
              <w:pStyle w:val="35"/>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jc w:val="center"/>
              <w:textAlignment w:val="auto"/>
              <w:rPr>
                <w:rFonts w:ascii="Times New Roman" w:hAnsi="Times New Roman" w:eastAsia="宋体" w:cs="Times New Roman"/>
                <w:b/>
                <w:bCs/>
                <w:snapToGrid/>
                <w:color w:val="auto"/>
                <w:spacing w:val="0"/>
                <w:kern w:val="0"/>
                <w:position w:val="0"/>
                <w:szCs w:val="24"/>
              </w:rPr>
            </w:pPr>
            <w:r>
              <w:rPr>
                <w:rFonts w:hint="eastAsia" w:ascii="Times New Roman" w:hAnsi="Times New Roman" w:eastAsia="宋体" w:cs="Times New Roman"/>
                <w:b/>
                <w:bCs/>
                <w:snapToGrid/>
                <w:color w:val="auto"/>
                <w:spacing w:val="0"/>
                <w:kern w:val="0"/>
                <w:position w:val="0"/>
                <w:szCs w:val="24"/>
                <w:lang w:eastAsia="zh-CN"/>
              </w:rPr>
              <w:t>表</w:t>
            </w:r>
            <w:r>
              <w:rPr>
                <w:rFonts w:hint="eastAsia" w:ascii="Times New Roman" w:hAnsi="Times New Roman" w:eastAsia="宋体" w:cs="Times New Roman"/>
                <w:b/>
                <w:bCs/>
                <w:snapToGrid/>
                <w:color w:val="auto"/>
                <w:spacing w:val="0"/>
                <w:kern w:val="0"/>
                <w:position w:val="0"/>
                <w:szCs w:val="24"/>
                <w:lang w:val="en-US" w:eastAsia="zh-CN"/>
              </w:rPr>
              <w:t>4.8  项目生产车间噪声源强 单位：</w:t>
            </w:r>
            <w:r>
              <w:rPr>
                <w:rFonts w:ascii="Times New Roman" w:hAnsi="Times New Roman" w:eastAsia="宋体" w:cs="Times New Roman"/>
                <w:b/>
                <w:bCs/>
                <w:snapToGrid/>
                <w:color w:val="auto"/>
                <w:spacing w:val="0"/>
                <w:kern w:val="0"/>
                <w:position w:val="0"/>
                <w:szCs w:val="24"/>
              </w:rPr>
              <w:t>dB（A）</w:t>
            </w:r>
          </w:p>
          <w:tbl>
            <w:tblPr>
              <w:tblStyle w:val="23"/>
              <w:tblW w:w="49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519"/>
              <w:gridCol w:w="757"/>
              <w:gridCol w:w="1376"/>
              <w:gridCol w:w="888"/>
              <w:gridCol w:w="765"/>
              <w:gridCol w:w="654"/>
              <w:gridCol w:w="504"/>
              <w:gridCol w:w="501"/>
              <w:gridCol w:w="544"/>
              <w:gridCol w:w="544"/>
              <w:gridCol w:w="501"/>
              <w:gridCol w:w="557"/>
              <w:gridCol w:w="432"/>
              <w:gridCol w:w="469"/>
              <w:gridCol w:w="472"/>
              <w:gridCol w:w="509"/>
              <w:gridCol w:w="605"/>
              <w:gridCol w:w="813"/>
              <w:gridCol w:w="813"/>
              <w:gridCol w:w="669"/>
            </w:tblGrid>
            <w:tr w14:paraId="18B9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 w:type="pct"/>
                  <w:vMerge w:val="restart"/>
                  <w:tcBorders>
                    <w:tl2br w:val="nil"/>
                    <w:tr2bl w:val="nil"/>
                  </w:tcBorders>
                  <w:noWrap w:val="0"/>
                  <w:vAlign w:val="center"/>
                </w:tcPr>
                <w:p w14:paraId="64F50D8F">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序号</w:t>
                  </w:r>
                </w:p>
              </w:tc>
              <w:tc>
                <w:tcPr>
                  <w:tcW w:w="195" w:type="pct"/>
                  <w:vMerge w:val="restart"/>
                  <w:tcBorders>
                    <w:tl2br w:val="nil"/>
                    <w:tr2bl w:val="nil"/>
                  </w:tcBorders>
                  <w:noWrap w:val="0"/>
                  <w:vAlign w:val="center"/>
                </w:tcPr>
                <w:p w14:paraId="2D9F3400">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建筑物名称</w:t>
                  </w:r>
                </w:p>
              </w:tc>
              <w:tc>
                <w:tcPr>
                  <w:tcW w:w="284" w:type="pct"/>
                  <w:vMerge w:val="restart"/>
                  <w:tcBorders>
                    <w:tl2br w:val="nil"/>
                    <w:tr2bl w:val="nil"/>
                  </w:tcBorders>
                  <w:noWrap w:val="0"/>
                  <w:vAlign w:val="center"/>
                </w:tcPr>
                <w:p w14:paraId="4C430389">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声源名称</w:t>
                  </w:r>
                </w:p>
              </w:tc>
              <w:tc>
                <w:tcPr>
                  <w:tcW w:w="516" w:type="pct"/>
                  <w:vMerge w:val="restart"/>
                  <w:tcBorders>
                    <w:tl2br w:val="nil"/>
                    <w:tr2bl w:val="nil"/>
                  </w:tcBorders>
                  <w:noWrap w:val="0"/>
                  <w:vAlign w:val="center"/>
                </w:tcPr>
                <w:p w14:paraId="2EE5DA9B">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型号</w:t>
                  </w:r>
                </w:p>
              </w:tc>
              <w:tc>
                <w:tcPr>
                  <w:tcW w:w="333" w:type="pct"/>
                  <w:tcBorders>
                    <w:tl2br w:val="nil"/>
                    <w:tr2bl w:val="nil"/>
                  </w:tcBorders>
                  <w:noWrap w:val="0"/>
                  <w:vAlign w:val="center"/>
                </w:tcPr>
                <w:p w14:paraId="094F1D79">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声源源强dB（A）</w:t>
                  </w:r>
                </w:p>
              </w:tc>
              <w:tc>
                <w:tcPr>
                  <w:tcW w:w="287" w:type="pct"/>
                  <w:vMerge w:val="restart"/>
                  <w:tcBorders>
                    <w:tl2br w:val="nil"/>
                    <w:tr2bl w:val="nil"/>
                  </w:tcBorders>
                  <w:noWrap w:val="0"/>
                  <w:vAlign w:val="center"/>
                </w:tcPr>
                <w:p w14:paraId="01E1A44D">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声源控制措施</w:t>
                  </w:r>
                </w:p>
              </w:tc>
              <w:tc>
                <w:tcPr>
                  <w:tcW w:w="622" w:type="pct"/>
                  <w:gridSpan w:val="3"/>
                  <w:tcBorders>
                    <w:tl2br w:val="nil"/>
                    <w:tr2bl w:val="nil"/>
                  </w:tcBorders>
                  <w:noWrap w:val="0"/>
                  <w:vAlign w:val="center"/>
                </w:tcPr>
                <w:p w14:paraId="44343CB8">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空间相对位置m</w:t>
                  </w:r>
                </w:p>
              </w:tc>
              <w:tc>
                <w:tcPr>
                  <w:tcW w:w="805" w:type="pct"/>
                  <w:gridSpan w:val="4"/>
                  <w:tcBorders>
                    <w:tl2br w:val="nil"/>
                    <w:tr2bl w:val="nil"/>
                  </w:tcBorders>
                  <w:noWrap w:val="0"/>
                  <w:vAlign w:val="center"/>
                </w:tcPr>
                <w:p w14:paraId="4CBF2BDD">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距离室内边界距离m</w:t>
                  </w:r>
                </w:p>
              </w:tc>
              <w:tc>
                <w:tcPr>
                  <w:tcW w:w="706" w:type="pct"/>
                  <w:gridSpan w:val="4"/>
                  <w:tcBorders>
                    <w:tl2br w:val="nil"/>
                    <w:tr2bl w:val="nil"/>
                  </w:tcBorders>
                  <w:noWrap w:val="0"/>
                  <w:vAlign w:val="center"/>
                </w:tcPr>
                <w:p w14:paraId="35168165">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室内边界声级dB（A）</w:t>
                  </w:r>
                </w:p>
              </w:tc>
              <w:tc>
                <w:tcPr>
                  <w:tcW w:w="227" w:type="pct"/>
                  <w:vMerge w:val="restart"/>
                  <w:tcBorders>
                    <w:tl2br w:val="nil"/>
                    <w:tr2bl w:val="nil"/>
                  </w:tcBorders>
                  <w:noWrap w:val="0"/>
                  <w:vAlign w:val="center"/>
                </w:tcPr>
                <w:p w14:paraId="2E343641">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运行时段</w:t>
                  </w:r>
                </w:p>
              </w:tc>
              <w:tc>
                <w:tcPr>
                  <w:tcW w:w="305" w:type="pct"/>
                  <w:vMerge w:val="restart"/>
                  <w:tcBorders>
                    <w:tl2br w:val="nil"/>
                    <w:tr2bl w:val="nil"/>
                  </w:tcBorders>
                  <w:noWrap w:val="0"/>
                  <w:vAlign w:val="center"/>
                </w:tcPr>
                <w:p w14:paraId="3E25A2D2">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建筑物插入损失dB（A）</w:t>
                  </w:r>
                </w:p>
              </w:tc>
              <w:tc>
                <w:tcPr>
                  <w:tcW w:w="556" w:type="pct"/>
                  <w:gridSpan w:val="2"/>
                  <w:tcBorders>
                    <w:tl2br w:val="nil"/>
                    <w:tr2bl w:val="nil"/>
                  </w:tcBorders>
                  <w:noWrap w:val="0"/>
                  <w:vAlign w:val="center"/>
                </w:tcPr>
                <w:p w14:paraId="562A7453">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建筑物外噪声</w:t>
                  </w:r>
                </w:p>
              </w:tc>
            </w:tr>
            <w:tr w14:paraId="442D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 w:type="pct"/>
                  <w:vMerge w:val="continue"/>
                  <w:tcBorders>
                    <w:tl2br w:val="nil"/>
                    <w:tr2bl w:val="nil"/>
                  </w:tcBorders>
                  <w:noWrap w:val="0"/>
                  <w:vAlign w:val="center"/>
                </w:tcPr>
                <w:p w14:paraId="7AC8F5BA">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95" w:type="pct"/>
                  <w:vMerge w:val="continue"/>
                  <w:tcBorders>
                    <w:tl2br w:val="nil"/>
                    <w:tr2bl w:val="nil"/>
                  </w:tcBorders>
                  <w:noWrap w:val="0"/>
                  <w:vAlign w:val="center"/>
                </w:tcPr>
                <w:p w14:paraId="15BB6A67">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84" w:type="pct"/>
                  <w:vMerge w:val="continue"/>
                  <w:tcBorders>
                    <w:tl2br w:val="nil"/>
                    <w:tr2bl w:val="nil"/>
                  </w:tcBorders>
                  <w:noWrap w:val="0"/>
                  <w:vAlign w:val="center"/>
                </w:tcPr>
                <w:p w14:paraId="4A7DE71C">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516" w:type="pct"/>
                  <w:vMerge w:val="continue"/>
                  <w:tcBorders>
                    <w:tl2br w:val="nil"/>
                    <w:tr2bl w:val="nil"/>
                  </w:tcBorders>
                  <w:noWrap w:val="0"/>
                  <w:vAlign w:val="center"/>
                </w:tcPr>
                <w:p w14:paraId="553431D5">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33" w:type="pct"/>
                  <w:tcBorders>
                    <w:tl2br w:val="nil"/>
                    <w:tr2bl w:val="nil"/>
                  </w:tcBorders>
                  <w:noWrap w:val="0"/>
                  <w:vAlign w:val="center"/>
                </w:tcPr>
                <w:p w14:paraId="13A83F71">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声功率级</w:t>
                  </w:r>
                </w:p>
              </w:tc>
              <w:tc>
                <w:tcPr>
                  <w:tcW w:w="287" w:type="pct"/>
                  <w:vMerge w:val="continue"/>
                  <w:tcBorders>
                    <w:tl2br w:val="nil"/>
                    <w:tr2bl w:val="nil"/>
                  </w:tcBorders>
                  <w:noWrap w:val="0"/>
                  <w:vAlign w:val="center"/>
                </w:tcPr>
                <w:p w14:paraId="1CF52F94">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45" w:type="pct"/>
                  <w:tcBorders>
                    <w:tl2br w:val="nil"/>
                    <w:tr2bl w:val="nil"/>
                  </w:tcBorders>
                  <w:noWrap w:val="0"/>
                  <w:vAlign w:val="center"/>
                </w:tcPr>
                <w:p w14:paraId="1054CD06">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X</w:t>
                  </w:r>
                </w:p>
              </w:tc>
              <w:tc>
                <w:tcPr>
                  <w:tcW w:w="189" w:type="pct"/>
                  <w:tcBorders>
                    <w:tl2br w:val="nil"/>
                    <w:tr2bl w:val="nil"/>
                  </w:tcBorders>
                  <w:noWrap w:val="0"/>
                  <w:vAlign w:val="center"/>
                </w:tcPr>
                <w:p w14:paraId="6FE4F527">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Y</w:t>
                  </w:r>
                </w:p>
              </w:tc>
              <w:tc>
                <w:tcPr>
                  <w:tcW w:w="187" w:type="pct"/>
                  <w:tcBorders>
                    <w:tl2br w:val="nil"/>
                    <w:tr2bl w:val="nil"/>
                  </w:tcBorders>
                  <w:noWrap w:val="0"/>
                  <w:vAlign w:val="center"/>
                </w:tcPr>
                <w:p w14:paraId="16E0001D">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Z</w:t>
                  </w:r>
                </w:p>
              </w:tc>
              <w:tc>
                <w:tcPr>
                  <w:tcW w:w="204" w:type="pct"/>
                  <w:tcBorders>
                    <w:tl2br w:val="nil"/>
                    <w:tr2bl w:val="nil"/>
                  </w:tcBorders>
                  <w:noWrap w:val="0"/>
                  <w:vAlign w:val="center"/>
                </w:tcPr>
                <w:p w14:paraId="6CCFF29E">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E</w:t>
                  </w:r>
                </w:p>
              </w:tc>
              <w:tc>
                <w:tcPr>
                  <w:tcW w:w="204" w:type="pct"/>
                  <w:tcBorders>
                    <w:tl2br w:val="nil"/>
                    <w:tr2bl w:val="nil"/>
                  </w:tcBorders>
                  <w:noWrap w:val="0"/>
                  <w:vAlign w:val="center"/>
                </w:tcPr>
                <w:p w14:paraId="52E1A842">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S</w:t>
                  </w:r>
                </w:p>
              </w:tc>
              <w:tc>
                <w:tcPr>
                  <w:tcW w:w="188" w:type="pct"/>
                  <w:tcBorders>
                    <w:tl2br w:val="nil"/>
                    <w:tr2bl w:val="nil"/>
                  </w:tcBorders>
                  <w:noWrap w:val="0"/>
                  <w:vAlign w:val="center"/>
                </w:tcPr>
                <w:p w14:paraId="3D9244A3">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w:t>
                  </w:r>
                </w:p>
              </w:tc>
              <w:tc>
                <w:tcPr>
                  <w:tcW w:w="208" w:type="pct"/>
                  <w:tcBorders>
                    <w:tl2br w:val="nil"/>
                    <w:tr2bl w:val="nil"/>
                  </w:tcBorders>
                  <w:noWrap w:val="0"/>
                  <w:vAlign w:val="center"/>
                </w:tcPr>
                <w:p w14:paraId="4DA13631">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N</w:t>
                  </w:r>
                </w:p>
              </w:tc>
              <w:tc>
                <w:tcPr>
                  <w:tcW w:w="162" w:type="pct"/>
                  <w:tcBorders>
                    <w:tl2br w:val="nil"/>
                    <w:tr2bl w:val="nil"/>
                  </w:tcBorders>
                  <w:noWrap w:val="0"/>
                  <w:vAlign w:val="center"/>
                </w:tcPr>
                <w:p w14:paraId="1349E322">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E</w:t>
                  </w:r>
                </w:p>
              </w:tc>
              <w:tc>
                <w:tcPr>
                  <w:tcW w:w="176" w:type="pct"/>
                  <w:tcBorders>
                    <w:tl2br w:val="nil"/>
                    <w:tr2bl w:val="nil"/>
                  </w:tcBorders>
                  <w:noWrap w:val="0"/>
                  <w:vAlign w:val="center"/>
                </w:tcPr>
                <w:p w14:paraId="65F5DE6E">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w:t>
                  </w:r>
                </w:p>
              </w:tc>
              <w:tc>
                <w:tcPr>
                  <w:tcW w:w="177" w:type="pct"/>
                  <w:tcBorders>
                    <w:tl2br w:val="nil"/>
                    <w:tr2bl w:val="nil"/>
                  </w:tcBorders>
                  <w:noWrap w:val="0"/>
                  <w:vAlign w:val="center"/>
                </w:tcPr>
                <w:p w14:paraId="0E9AD557">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w:t>
                  </w:r>
                </w:p>
              </w:tc>
              <w:tc>
                <w:tcPr>
                  <w:tcW w:w="190" w:type="pct"/>
                  <w:tcBorders>
                    <w:tl2br w:val="nil"/>
                    <w:tr2bl w:val="nil"/>
                  </w:tcBorders>
                  <w:noWrap w:val="0"/>
                  <w:vAlign w:val="center"/>
                </w:tcPr>
                <w:p w14:paraId="5A48D6A1">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N</w:t>
                  </w:r>
                </w:p>
              </w:tc>
              <w:tc>
                <w:tcPr>
                  <w:tcW w:w="227" w:type="pct"/>
                  <w:vMerge w:val="continue"/>
                  <w:tcBorders>
                    <w:tl2br w:val="nil"/>
                    <w:tr2bl w:val="nil"/>
                  </w:tcBorders>
                  <w:noWrap w:val="0"/>
                  <w:vAlign w:val="center"/>
                </w:tcPr>
                <w:p w14:paraId="25681D52">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05" w:type="pct"/>
                  <w:vMerge w:val="continue"/>
                  <w:tcBorders>
                    <w:tl2br w:val="nil"/>
                    <w:tr2bl w:val="nil"/>
                  </w:tcBorders>
                  <w:noWrap w:val="0"/>
                  <w:vAlign w:val="center"/>
                </w:tcPr>
                <w:p w14:paraId="2CAC8320">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05" w:type="pct"/>
                  <w:tcBorders>
                    <w:tl2br w:val="nil"/>
                    <w:tr2bl w:val="nil"/>
                  </w:tcBorders>
                  <w:noWrap w:val="0"/>
                  <w:vAlign w:val="center"/>
                </w:tcPr>
                <w:p w14:paraId="444C7AA6">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声压级dB（A）</w:t>
                  </w:r>
                </w:p>
              </w:tc>
              <w:tc>
                <w:tcPr>
                  <w:tcW w:w="250" w:type="pct"/>
                  <w:tcBorders>
                    <w:tl2br w:val="nil"/>
                    <w:tr2bl w:val="nil"/>
                  </w:tcBorders>
                  <w:noWrap w:val="0"/>
                  <w:vAlign w:val="center"/>
                </w:tcPr>
                <w:p w14:paraId="50BB9C25">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建筑物外距离</w:t>
                  </w:r>
                </w:p>
              </w:tc>
            </w:tr>
            <w:tr w14:paraId="5A0E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59" w:type="pct"/>
                  <w:tcBorders>
                    <w:tl2br w:val="nil"/>
                    <w:tr2bl w:val="nil"/>
                  </w:tcBorders>
                  <w:noWrap w:val="0"/>
                  <w:vAlign w:val="center"/>
                </w:tcPr>
                <w:p w14:paraId="4DE5AC77">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195" w:type="pct"/>
                  <w:vMerge w:val="restart"/>
                  <w:tcBorders>
                    <w:tl2br w:val="nil"/>
                    <w:tr2bl w:val="nil"/>
                  </w:tcBorders>
                  <w:noWrap w:val="0"/>
                  <w:vAlign w:val="center"/>
                </w:tcPr>
                <w:p w14:paraId="15314FAF">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生产车间</w:t>
                  </w:r>
                </w:p>
              </w:tc>
              <w:tc>
                <w:tcPr>
                  <w:tcW w:w="284" w:type="pct"/>
                  <w:tcBorders>
                    <w:tl2br w:val="nil"/>
                    <w:tr2bl w:val="nil"/>
                  </w:tcBorders>
                  <w:noWrap w:val="0"/>
                  <w:vAlign w:val="center"/>
                </w:tcPr>
                <w:p w14:paraId="185EF4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V型混合机</w:t>
                  </w:r>
                </w:p>
              </w:tc>
              <w:tc>
                <w:tcPr>
                  <w:tcW w:w="516" w:type="pct"/>
                  <w:tcBorders>
                    <w:tl2br w:val="nil"/>
                    <w:tr2bl w:val="nil"/>
                  </w:tcBorders>
                  <w:noWrap w:val="0"/>
                  <w:vAlign w:val="center"/>
                </w:tcPr>
                <w:p w14:paraId="4CBC96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olor w:val="auto"/>
                    </w:rPr>
                    <w:t>VH-100L</w:t>
                  </w:r>
                </w:p>
              </w:tc>
              <w:tc>
                <w:tcPr>
                  <w:tcW w:w="333" w:type="pct"/>
                  <w:tcBorders>
                    <w:tl2br w:val="nil"/>
                    <w:tr2bl w:val="nil"/>
                  </w:tcBorders>
                  <w:noWrap w:val="0"/>
                  <w:vAlign w:val="center"/>
                </w:tcPr>
                <w:p w14:paraId="65F83E63">
                  <w:pPr>
                    <w:widowControl/>
                    <w:jc w:val="center"/>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70</w:t>
                  </w:r>
                </w:p>
              </w:tc>
              <w:tc>
                <w:tcPr>
                  <w:tcW w:w="287" w:type="pct"/>
                  <w:vMerge w:val="restart"/>
                  <w:tcBorders>
                    <w:tl2br w:val="nil"/>
                    <w:tr2bl w:val="nil"/>
                  </w:tcBorders>
                  <w:noWrap w:val="0"/>
                  <w:vAlign w:val="center"/>
                </w:tcPr>
                <w:p w14:paraId="3F72671F">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选用低噪声设备、加设减振基础、厂房隔声、距离衰减</w:t>
                  </w:r>
                </w:p>
              </w:tc>
              <w:tc>
                <w:tcPr>
                  <w:tcW w:w="245" w:type="pct"/>
                  <w:tcBorders>
                    <w:tl2br w:val="nil"/>
                    <w:tr2bl w:val="nil"/>
                  </w:tcBorders>
                  <w:shd w:val="clear" w:color="auto" w:fill="auto"/>
                  <w:noWrap w:val="0"/>
                  <w:vAlign w:val="center"/>
                </w:tcPr>
                <w:p w14:paraId="3236DE5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-10.5</w:t>
                  </w:r>
                </w:p>
              </w:tc>
              <w:tc>
                <w:tcPr>
                  <w:tcW w:w="189" w:type="pct"/>
                  <w:tcBorders>
                    <w:tl2br w:val="nil"/>
                    <w:tr2bl w:val="nil"/>
                  </w:tcBorders>
                  <w:shd w:val="clear" w:color="auto" w:fill="auto"/>
                  <w:noWrap w:val="0"/>
                  <w:vAlign w:val="center"/>
                </w:tcPr>
                <w:p w14:paraId="334D23E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-3</w:t>
                  </w:r>
                </w:p>
              </w:tc>
              <w:tc>
                <w:tcPr>
                  <w:tcW w:w="187" w:type="pct"/>
                  <w:tcBorders>
                    <w:tl2br w:val="nil"/>
                    <w:tr2bl w:val="nil"/>
                  </w:tcBorders>
                  <w:shd w:val="clear" w:color="auto" w:fill="auto"/>
                  <w:noWrap w:val="0"/>
                  <w:vAlign w:val="center"/>
                </w:tcPr>
                <w:p w14:paraId="0992051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1.0</w:t>
                  </w:r>
                </w:p>
              </w:tc>
              <w:tc>
                <w:tcPr>
                  <w:tcW w:w="204" w:type="pct"/>
                  <w:tcBorders>
                    <w:tl2br w:val="nil"/>
                    <w:tr2bl w:val="nil"/>
                  </w:tcBorders>
                  <w:shd w:val="clear" w:color="auto" w:fill="auto"/>
                  <w:noWrap w:val="0"/>
                  <w:vAlign w:val="center"/>
                </w:tcPr>
                <w:p w14:paraId="2D91DD58">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23</w:t>
                  </w:r>
                </w:p>
              </w:tc>
              <w:tc>
                <w:tcPr>
                  <w:tcW w:w="204" w:type="pct"/>
                  <w:tcBorders>
                    <w:tl2br w:val="nil"/>
                    <w:tr2bl w:val="nil"/>
                  </w:tcBorders>
                  <w:shd w:val="clear" w:color="auto" w:fill="auto"/>
                  <w:noWrap w:val="0"/>
                  <w:vAlign w:val="center"/>
                </w:tcPr>
                <w:p w14:paraId="2892AA22">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22</w:t>
                  </w:r>
                </w:p>
              </w:tc>
              <w:tc>
                <w:tcPr>
                  <w:tcW w:w="188" w:type="pct"/>
                  <w:tcBorders>
                    <w:tl2br w:val="nil"/>
                    <w:tr2bl w:val="nil"/>
                  </w:tcBorders>
                  <w:shd w:val="clear" w:color="auto" w:fill="auto"/>
                  <w:noWrap w:val="0"/>
                  <w:vAlign w:val="center"/>
                </w:tcPr>
                <w:p w14:paraId="5DED90B9">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w:t>
                  </w:r>
                </w:p>
              </w:tc>
              <w:tc>
                <w:tcPr>
                  <w:tcW w:w="208" w:type="pct"/>
                  <w:tcBorders>
                    <w:tl2br w:val="nil"/>
                    <w:tr2bl w:val="nil"/>
                  </w:tcBorders>
                  <w:shd w:val="clear" w:color="auto" w:fill="auto"/>
                  <w:noWrap w:val="0"/>
                  <w:vAlign w:val="center"/>
                </w:tcPr>
                <w:p w14:paraId="3292945D">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color w:val="auto"/>
                      <w:spacing w:val="-2"/>
                      <w:kern w:val="2"/>
                      <w:sz w:val="21"/>
                      <w:szCs w:val="21"/>
                      <w:highlight w:val="none"/>
                      <w:lang w:val="en-US" w:eastAsia="zh-CN" w:bidi="ar-SA"/>
                    </w:rPr>
                  </w:pPr>
                  <w:r>
                    <w:rPr>
                      <w:rFonts w:hint="eastAsia" w:cs="Times New Roman"/>
                      <w:b w:val="0"/>
                      <w:color w:val="auto"/>
                      <w:spacing w:val="-2"/>
                      <w:kern w:val="2"/>
                      <w:sz w:val="21"/>
                      <w:szCs w:val="21"/>
                      <w:highlight w:val="none"/>
                      <w:lang w:val="en-US" w:eastAsia="zh-CN" w:bidi="ar-SA"/>
                    </w:rPr>
                    <w:t>28</w:t>
                  </w:r>
                </w:p>
              </w:tc>
              <w:tc>
                <w:tcPr>
                  <w:tcW w:w="162" w:type="pct"/>
                  <w:tcBorders>
                    <w:tl2br w:val="nil"/>
                    <w:tr2bl w:val="nil"/>
                  </w:tcBorders>
                  <w:shd w:val="clear" w:color="auto" w:fill="auto"/>
                  <w:noWrap w:val="0"/>
                  <w:vAlign w:val="center"/>
                </w:tcPr>
                <w:p w14:paraId="524EF607">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43</w:t>
                  </w:r>
                </w:p>
              </w:tc>
              <w:tc>
                <w:tcPr>
                  <w:tcW w:w="176" w:type="pct"/>
                  <w:tcBorders>
                    <w:tl2br w:val="nil"/>
                    <w:tr2bl w:val="nil"/>
                  </w:tcBorders>
                  <w:shd w:val="clear" w:color="auto" w:fill="auto"/>
                  <w:noWrap w:val="0"/>
                  <w:vAlign w:val="center"/>
                </w:tcPr>
                <w:p w14:paraId="0E14B9FA">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43</w:t>
                  </w:r>
                </w:p>
              </w:tc>
              <w:tc>
                <w:tcPr>
                  <w:tcW w:w="177" w:type="pct"/>
                  <w:tcBorders>
                    <w:tl2br w:val="nil"/>
                    <w:tr2bl w:val="nil"/>
                  </w:tcBorders>
                  <w:shd w:val="clear" w:color="auto" w:fill="auto"/>
                  <w:noWrap w:val="0"/>
                  <w:vAlign w:val="center"/>
                </w:tcPr>
                <w:p w14:paraId="540CAECB">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64</w:t>
                  </w:r>
                </w:p>
              </w:tc>
              <w:tc>
                <w:tcPr>
                  <w:tcW w:w="190" w:type="pct"/>
                  <w:tcBorders>
                    <w:tl2br w:val="nil"/>
                    <w:tr2bl w:val="nil"/>
                  </w:tcBorders>
                  <w:shd w:val="clear" w:color="auto" w:fill="auto"/>
                  <w:noWrap w:val="0"/>
                  <w:vAlign w:val="center"/>
                </w:tcPr>
                <w:p w14:paraId="175CEE61">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41</w:t>
                  </w:r>
                </w:p>
              </w:tc>
              <w:tc>
                <w:tcPr>
                  <w:tcW w:w="227" w:type="pct"/>
                  <w:tcBorders>
                    <w:tl2br w:val="nil"/>
                    <w:tr2bl w:val="nil"/>
                  </w:tcBorders>
                  <w:noWrap w:val="0"/>
                  <w:vAlign w:val="center"/>
                </w:tcPr>
                <w:p w14:paraId="3335588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snapToGrid/>
                      <w:color w:val="auto"/>
                      <w:spacing w:val="0"/>
                      <w:kern w:val="0"/>
                      <w:position w:val="0"/>
                      <w:sz w:val="21"/>
                      <w:szCs w:val="21"/>
                      <w:highlight w:val="none"/>
                      <w:lang w:val="en-US" w:eastAsia="zh-CN"/>
                    </w:rPr>
                    <w:t>16</w:t>
                  </w:r>
                  <w:r>
                    <w:rPr>
                      <w:rFonts w:hint="default" w:ascii="Times New Roman" w:hAnsi="Times New Roman" w:eastAsia="宋体" w:cs="Times New Roman"/>
                      <w:snapToGrid/>
                      <w:color w:val="auto"/>
                      <w:spacing w:val="0"/>
                      <w:kern w:val="0"/>
                      <w:position w:val="0"/>
                      <w:sz w:val="21"/>
                      <w:szCs w:val="21"/>
                      <w:highlight w:val="none"/>
                      <w:lang w:val="en-US" w:eastAsia="zh-CN"/>
                    </w:rPr>
                    <w:t>h</w:t>
                  </w:r>
                </w:p>
              </w:tc>
              <w:tc>
                <w:tcPr>
                  <w:tcW w:w="305" w:type="pct"/>
                  <w:tcBorders>
                    <w:tl2br w:val="nil"/>
                    <w:tr2bl w:val="nil"/>
                  </w:tcBorders>
                  <w:noWrap w:val="0"/>
                  <w:vAlign w:val="center"/>
                </w:tcPr>
                <w:p w14:paraId="02737552">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c>
                <w:tcPr>
                  <w:tcW w:w="305" w:type="pct"/>
                  <w:tcBorders>
                    <w:tl2br w:val="nil"/>
                    <w:tr2bl w:val="nil"/>
                  </w:tcBorders>
                  <w:shd w:val="clear" w:color="auto" w:fill="auto"/>
                  <w:noWrap w:val="0"/>
                  <w:vAlign w:val="center"/>
                </w:tcPr>
                <w:p w14:paraId="032920D0">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44</w:t>
                  </w:r>
                </w:p>
              </w:tc>
              <w:tc>
                <w:tcPr>
                  <w:tcW w:w="250" w:type="pct"/>
                  <w:tcBorders>
                    <w:tl2br w:val="nil"/>
                    <w:tr2bl w:val="nil"/>
                  </w:tcBorders>
                  <w:noWrap w:val="0"/>
                  <w:vAlign w:val="center"/>
                </w:tcPr>
                <w:p w14:paraId="719B3044">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1m</w:t>
                  </w:r>
                </w:p>
              </w:tc>
            </w:tr>
            <w:tr w14:paraId="135D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59" w:type="pct"/>
                  <w:tcBorders>
                    <w:tl2br w:val="nil"/>
                    <w:tr2bl w:val="nil"/>
                  </w:tcBorders>
                  <w:noWrap w:val="0"/>
                  <w:vAlign w:val="center"/>
                </w:tcPr>
                <w:p w14:paraId="1E247B41">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195" w:type="pct"/>
                  <w:vMerge w:val="continue"/>
                  <w:tcBorders>
                    <w:tl2br w:val="nil"/>
                    <w:tr2bl w:val="nil"/>
                  </w:tcBorders>
                  <w:noWrap w:val="0"/>
                  <w:vAlign w:val="center"/>
                </w:tcPr>
                <w:p w14:paraId="78E897A7">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84" w:type="pct"/>
                  <w:tcBorders>
                    <w:tl2br w:val="nil"/>
                    <w:tr2bl w:val="nil"/>
                  </w:tcBorders>
                  <w:noWrap w:val="0"/>
                  <w:vAlign w:val="center"/>
                </w:tcPr>
                <w:p w14:paraId="067353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olor w:val="auto"/>
                    </w:rPr>
                    <w:t>高速混料机</w:t>
                  </w:r>
                </w:p>
              </w:tc>
              <w:tc>
                <w:tcPr>
                  <w:tcW w:w="516" w:type="pct"/>
                  <w:tcBorders>
                    <w:tl2br w:val="nil"/>
                    <w:tr2bl w:val="nil"/>
                  </w:tcBorders>
                  <w:noWrap w:val="0"/>
                  <w:vAlign w:val="center"/>
                </w:tcPr>
                <w:p w14:paraId="020AFD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olor w:val="auto"/>
                    </w:rPr>
                    <w:t>SHR-500A</w:t>
                  </w:r>
                </w:p>
              </w:tc>
              <w:tc>
                <w:tcPr>
                  <w:tcW w:w="333" w:type="pct"/>
                  <w:tcBorders>
                    <w:tl2br w:val="nil"/>
                    <w:tr2bl w:val="nil"/>
                  </w:tcBorders>
                  <w:noWrap w:val="0"/>
                  <w:vAlign w:val="center"/>
                </w:tcPr>
                <w:p w14:paraId="5D2158AA">
                  <w:pPr>
                    <w:widowControl/>
                    <w:jc w:val="center"/>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75</w:t>
                  </w:r>
                </w:p>
              </w:tc>
              <w:tc>
                <w:tcPr>
                  <w:tcW w:w="287" w:type="pct"/>
                  <w:vMerge w:val="continue"/>
                  <w:tcBorders>
                    <w:tl2br w:val="nil"/>
                    <w:tr2bl w:val="nil"/>
                  </w:tcBorders>
                  <w:noWrap w:val="0"/>
                  <w:vAlign w:val="center"/>
                </w:tcPr>
                <w:p w14:paraId="1B594938">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45" w:type="pct"/>
                  <w:tcBorders>
                    <w:tl2br w:val="nil"/>
                    <w:tr2bl w:val="nil"/>
                  </w:tcBorders>
                  <w:shd w:val="clear" w:color="auto" w:fill="auto"/>
                  <w:noWrap w:val="0"/>
                  <w:vAlign w:val="center"/>
                </w:tcPr>
                <w:p w14:paraId="39B858E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-10.5</w:t>
                  </w:r>
                </w:p>
              </w:tc>
              <w:tc>
                <w:tcPr>
                  <w:tcW w:w="189" w:type="pct"/>
                  <w:tcBorders>
                    <w:tl2br w:val="nil"/>
                    <w:tr2bl w:val="nil"/>
                  </w:tcBorders>
                  <w:shd w:val="clear" w:color="auto" w:fill="auto"/>
                  <w:noWrap w:val="0"/>
                  <w:vAlign w:val="center"/>
                </w:tcPr>
                <w:p w14:paraId="512B210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-2</w:t>
                  </w:r>
                </w:p>
              </w:tc>
              <w:tc>
                <w:tcPr>
                  <w:tcW w:w="187" w:type="pct"/>
                  <w:tcBorders>
                    <w:tl2br w:val="nil"/>
                    <w:tr2bl w:val="nil"/>
                  </w:tcBorders>
                  <w:shd w:val="clear" w:color="auto" w:fill="auto"/>
                  <w:noWrap w:val="0"/>
                  <w:vAlign w:val="center"/>
                </w:tcPr>
                <w:p w14:paraId="0268072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1.0</w:t>
                  </w:r>
                </w:p>
              </w:tc>
              <w:tc>
                <w:tcPr>
                  <w:tcW w:w="204" w:type="pct"/>
                  <w:tcBorders>
                    <w:tl2br w:val="nil"/>
                    <w:tr2bl w:val="nil"/>
                  </w:tcBorders>
                  <w:shd w:val="clear" w:color="auto" w:fill="auto"/>
                  <w:noWrap w:val="0"/>
                  <w:vAlign w:val="center"/>
                </w:tcPr>
                <w:p w14:paraId="0352FD22">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23</w:t>
                  </w:r>
                </w:p>
              </w:tc>
              <w:tc>
                <w:tcPr>
                  <w:tcW w:w="204" w:type="pct"/>
                  <w:tcBorders>
                    <w:tl2br w:val="nil"/>
                    <w:tr2bl w:val="nil"/>
                  </w:tcBorders>
                  <w:shd w:val="clear" w:color="auto" w:fill="auto"/>
                  <w:noWrap w:val="0"/>
                  <w:vAlign w:val="center"/>
                </w:tcPr>
                <w:p w14:paraId="0CBB8E46">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23</w:t>
                  </w:r>
                </w:p>
              </w:tc>
              <w:tc>
                <w:tcPr>
                  <w:tcW w:w="188" w:type="pct"/>
                  <w:tcBorders>
                    <w:tl2br w:val="nil"/>
                    <w:tr2bl w:val="nil"/>
                  </w:tcBorders>
                  <w:shd w:val="clear" w:color="auto" w:fill="auto"/>
                  <w:noWrap w:val="0"/>
                  <w:vAlign w:val="center"/>
                </w:tcPr>
                <w:p w14:paraId="654177CE">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w:t>
                  </w:r>
                </w:p>
              </w:tc>
              <w:tc>
                <w:tcPr>
                  <w:tcW w:w="208" w:type="pct"/>
                  <w:tcBorders>
                    <w:tl2br w:val="nil"/>
                    <w:tr2bl w:val="nil"/>
                  </w:tcBorders>
                  <w:shd w:val="clear" w:color="auto" w:fill="auto"/>
                  <w:noWrap w:val="0"/>
                  <w:vAlign w:val="center"/>
                </w:tcPr>
                <w:p w14:paraId="68184E44">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color w:val="auto"/>
                      <w:spacing w:val="-2"/>
                      <w:kern w:val="2"/>
                      <w:sz w:val="21"/>
                      <w:szCs w:val="21"/>
                      <w:highlight w:val="none"/>
                      <w:lang w:val="en-US" w:eastAsia="zh-CN" w:bidi="ar-SA"/>
                    </w:rPr>
                  </w:pPr>
                  <w:r>
                    <w:rPr>
                      <w:rFonts w:hint="eastAsia" w:cs="Times New Roman"/>
                      <w:b w:val="0"/>
                      <w:color w:val="auto"/>
                      <w:spacing w:val="-2"/>
                      <w:kern w:val="2"/>
                      <w:sz w:val="21"/>
                      <w:szCs w:val="21"/>
                      <w:highlight w:val="none"/>
                      <w:lang w:val="en-US" w:eastAsia="zh-CN" w:bidi="ar-SA"/>
                    </w:rPr>
                    <w:t>27</w:t>
                  </w:r>
                </w:p>
              </w:tc>
              <w:tc>
                <w:tcPr>
                  <w:tcW w:w="162" w:type="pct"/>
                  <w:tcBorders>
                    <w:tl2br w:val="nil"/>
                    <w:tr2bl w:val="nil"/>
                  </w:tcBorders>
                  <w:shd w:val="clear" w:color="auto" w:fill="auto"/>
                  <w:noWrap w:val="0"/>
                  <w:vAlign w:val="center"/>
                </w:tcPr>
                <w:p w14:paraId="7FCC3D43">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48</w:t>
                  </w:r>
                </w:p>
              </w:tc>
              <w:tc>
                <w:tcPr>
                  <w:tcW w:w="176" w:type="pct"/>
                  <w:tcBorders>
                    <w:tl2br w:val="nil"/>
                    <w:tr2bl w:val="nil"/>
                  </w:tcBorders>
                  <w:shd w:val="clear" w:color="auto" w:fill="auto"/>
                  <w:noWrap w:val="0"/>
                  <w:vAlign w:val="center"/>
                </w:tcPr>
                <w:p w14:paraId="373AC58D">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48</w:t>
                  </w:r>
                </w:p>
              </w:tc>
              <w:tc>
                <w:tcPr>
                  <w:tcW w:w="177" w:type="pct"/>
                  <w:tcBorders>
                    <w:tl2br w:val="nil"/>
                    <w:tr2bl w:val="nil"/>
                  </w:tcBorders>
                  <w:shd w:val="clear" w:color="auto" w:fill="auto"/>
                  <w:noWrap w:val="0"/>
                  <w:vAlign w:val="center"/>
                </w:tcPr>
                <w:p w14:paraId="5D654D30">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69</w:t>
                  </w:r>
                </w:p>
              </w:tc>
              <w:tc>
                <w:tcPr>
                  <w:tcW w:w="190" w:type="pct"/>
                  <w:tcBorders>
                    <w:tl2br w:val="nil"/>
                    <w:tr2bl w:val="nil"/>
                  </w:tcBorders>
                  <w:shd w:val="clear" w:color="auto" w:fill="auto"/>
                  <w:noWrap w:val="0"/>
                  <w:vAlign w:val="center"/>
                </w:tcPr>
                <w:p w14:paraId="7425A55E">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46</w:t>
                  </w:r>
                </w:p>
              </w:tc>
              <w:tc>
                <w:tcPr>
                  <w:tcW w:w="227" w:type="pct"/>
                  <w:tcBorders>
                    <w:tl2br w:val="nil"/>
                    <w:tr2bl w:val="nil"/>
                  </w:tcBorders>
                  <w:noWrap w:val="0"/>
                  <w:vAlign w:val="center"/>
                </w:tcPr>
                <w:p w14:paraId="5B8CF22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snapToGrid/>
                      <w:color w:val="auto"/>
                      <w:spacing w:val="0"/>
                      <w:kern w:val="0"/>
                      <w:position w:val="0"/>
                      <w:sz w:val="21"/>
                      <w:szCs w:val="21"/>
                      <w:highlight w:val="none"/>
                      <w:lang w:val="en-US" w:eastAsia="zh-CN"/>
                    </w:rPr>
                    <w:t>16</w:t>
                  </w:r>
                  <w:r>
                    <w:rPr>
                      <w:rFonts w:hint="default" w:ascii="Times New Roman" w:hAnsi="Times New Roman" w:eastAsia="宋体" w:cs="Times New Roman"/>
                      <w:snapToGrid/>
                      <w:color w:val="auto"/>
                      <w:spacing w:val="0"/>
                      <w:kern w:val="0"/>
                      <w:position w:val="0"/>
                      <w:sz w:val="21"/>
                      <w:szCs w:val="21"/>
                      <w:highlight w:val="none"/>
                      <w:lang w:val="en-US" w:eastAsia="zh-CN"/>
                    </w:rPr>
                    <w:t>h</w:t>
                  </w:r>
                </w:p>
              </w:tc>
              <w:tc>
                <w:tcPr>
                  <w:tcW w:w="305" w:type="pct"/>
                  <w:tcBorders>
                    <w:tl2br w:val="nil"/>
                    <w:tr2bl w:val="nil"/>
                  </w:tcBorders>
                  <w:noWrap w:val="0"/>
                  <w:vAlign w:val="center"/>
                </w:tcPr>
                <w:p w14:paraId="1AA15864">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c>
                <w:tcPr>
                  <w:tcW w:w="305" w:type="pct"/>
                  <w:tcBorders>
                    <w:tl2br w:val="nil"/>
                    <w:tr2bl w:val="nil"/>
                  </w:tcBorders>
                  <w:shd w:val="clear" w:color="auto" w:fill="auto"/>
                  <w:noWrap w:val="0"/>
                  <w:vAlign w:val="center"/>
                </w:tcPr>
                <w:p w14:paraId="1833E6C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49</w:t>
                  </w:r>
                </w:p>
              </w:tc>
              <w:tc>
                <w:tcPr>
                  <w:tcW w:w="250" w:type="pct"/>
                  <w:tcBorders>
                    <w:tl2br w:val="nil"/>
                    <w:tr2bl w:val="nil"/>
                  </w:tcBorders>
                  <w:noWrap w:val="0"/>
                  <w:vAlign w:val="center"/>
                </w:tcPr>
                <w:p w14:paraId="6E119F12">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1m</w:t>
                  </w:r>
                </w:p>
              </w:tc>
            </w:tr>
            <w:tr w14:paraId="56D5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59" w:type="pct"/>
                  <w:tcBorders>
                    <w:tl2br w:val="nil"/>
                    <w:tr2bl w:val="nil"/>
                  </w:tcBorders>
                  <w:noWrap w:val="0"/>
                  <w:vAlign w:val="center"/>
                </w:tcPr>
                <w:p w14:paraId="278CD9BF">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color w:val="auto"/>
                      <w:spacing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w:t>
                  </w:r>
                </w:p>
              </w:tc>
              <w:tc>
                <w:tcPr>
                  <w:tcW w:w="195" w:type="pct"/>
                  <w:vMerge w:val="continue"/>
                  <w:tcBorders>
                    <w:tl2br w:val="nil"/>
                    <w:tr2bl w:val="nil"/>
                  </w:tcBorders>
                  <w:noWrap w:val="0"/>
                  <w:vAlign w:val="center"/>
                </w:tcPr>
                <w:p w14:paraId="635AA517">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84" w:type="pct"/>
                  <w:tcBorders>
                    <w:tl2br w:val="nil"/>
                    <w:tr2bl w:val="nil"/>
                  </w:tcBorders>
                  <w:noWrap w:val="0"/>
                  <w:vAlign w:val="center"/>
                </w:tcPr>
                <w:p w14:paraId="091040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olor w:val="auto"/>
                    </w:rPr>
                    <w:t>注塑机</w:t>
                  </w:r>
                  <w:r>
                    <w:rPr>
                      <w:rFonts w:hint="eastAsia"/>
                      <w:color w:val="auto"/>
                      <w:lang w:val="en-US" w:eastAsia="zh-CN"/>
                    </w:rPr>
                    <w:t>1-2</w:t>
                  </w:r>
                </w:p>
              </w:tc>
              <w:tc>
                <w:tcPr>
                  <w:tcW w:w="516" w:type="pct"/>
                  <w:tcBorders>
                    <w:tl2br w:val="nil"/>
                    <w:tr2bl w:val="nil"/>
                  </w:tcBorders>
                  <w:noWrap w:val="0"/>
                  <w:vAlign w:val="center"/>
                </w:tcPr>
                <w:p w14:paraId="339ECB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olor w:val="auto"/>
                    </w:rPr>
                    <w:t>LT-LT-1001</w:t>
                  </w:r>
                </w:p>
              </w:tc>
              <w:tc>
                <w:tcPr>
                  <w:tcW w:w="333" w:type="pct"/>
                  <w:tcBorders>
                    <w:tl2br w:val="nil"/>
                    <w:tr2bl w:val="nil"/>
                  </w:tcBorders>
                  <w:noWrap w:val="0"/>
                  <w:vAlign w:val="center"/>
                </w:tcPr>
                <w:p w14:paraId="5ACA4DBA">
                  <w:pPr>
                    <w:widowControl/>
                    <w:jc w:val="center"/>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80</w:t>
                  </w:r>
                </w:p>
              </w:tc>
              <w:tc>
                <w:tcPr>
                  <w:tcW w:w="287" w:type="pct"/>
                  <w:vMerge w:val="continue"/>
                  <w:tcBorders>
                    <w:tl2br w:val="nil"/>
                    <w:tr2bl w:val="nil"/>
                  </w:tcBorders>
                  <w:noWrap w:val="0"/>
                  <w:vAlign w:val="center"/>
                </w:tcPr>
                <w:p w14:paraId="330FE4D4">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45" w:type="pct"/>
                  <w:tcBorders>
                    <w:tl2br w:val="nil"/>
                    <w:tr2bl w:val="nil"/>
                  </w:tcBorders>
                  <w:shd w:val="clear" w:color="auto" w:fill="auto"/>
                  <w:noWrap w:val="0"/>
                  <w:vAlign w:val="center"/>
                </w:tcPr>
                <w:p w14:paraId="76B4CF3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10.5</w:t>
                  </w:r>
                </w:p>
              </w:tc>
              <w:tc>
                <w:tcPr>
                  <w:tcW w:w="189" w:type="pct"/>
                  <w:tcBorders>
                    <w:tl2br w:val="nil"/>
                    <w:tr2bl w:val="nil"/>
                  </w:tcBorders>
                  <w:shd w:val="clear" w:color="auto" w:fill="auto"/>
                  <w:noWrap w:val="0"/>
                  <w:vAlign w:val="center"/>
                </w:tcPr>
                <w:p w14:paraId="7ABAB1D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11</w:t>
                  </w:r>
                </w:p>
              </w:tc>
              <w:tc>
                <w:tcPr>
                  <w:tcW w:w="187" w:type="pct"/>
                  <w:tcBorders>
                    <w:tl2br w:val="nil"/>
                    <w:tr2bl w:val="nil"/>
                  </w:tcBorders>
                  <w:shd w:val="clear" w:color="auto" w:fill="auto"/>
                  <w:noWrap w:val="0"/>
                  <w:vAlign w:val="center"/>
                </w:tcPr>
                <w:p w14:paraId="647F6D2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default" w:ascii="Times New Roman" w:hAnsi="Times New Roman" w:eastAsia="宋体" w:cs="Times New Roman"/>
                      <w:snapToGrid/>
                      <w:color w:val="auto"/>
                      <w:spacing w:val="0"/>
                      <w:kern w:val="0"/>
                      <w:position w:val="0"/>
                      <w:sz w:val="21"/>
                      <w:szCs w:val="21"/>
                      <w:highlight w:val="none"/>
                      <w:lang w:val="en-US" w:eastAsia="zh-CN" w:bidi="ar-SA"/>
                    </w:rPr>
                    <w:t>1.0</w:t>
                  </w:r>
                </w:p>
              </w:tc>
              <w:tc>
                <w:tcPr>
                  <w:tcW w:w="204" w:type="pct"/>
                  <w:tcBorders>
                    <w:tl2br w:val="nil"/>
                    <w:tr2bl w:val="nil"/>
                  </w:tcBorders>
                  <w:shd w:val="clear" w:color="auto" w:fill="auto"/>
                  <w:noWrap w:val="0"/>
                  <w:vAlign w:val="center"/>
                </w:tcPr>
                <w:p w14:paraId="2A97010A">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w:t>
                  </w:r>
                </w:p>
              </w:tc>
              <w:tc>
                <w:tcPr>
                  <w:tcW w:w="204" w:type="pct"/>
                  <w:tcBorders>
                    <w:tl2br w:val="nil"/>
                    <w:tr2bl w:val="nil"/>
                  </w:tcBorders>
                  <w:shd w:val="clear" w:color="auto" w:fill="auto"/>
                  <w:noWrap w:val="0"/>
                  <w:vAlign w:val="center"/>
                </w:tcPr>
                <w:p w14:paraId="01B0A66D">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36</w:t>
                  </w:r>
                </w:p>
              </w:tc>
              <w:tc>
                <w:tcPr>
                  <w:tcW w:w="188" w:type="pct"/>
                  <w:tcBorders>
                    <w:tl2br w:val="nil"/>
                    <w:tr2bl w:val="nil"/>
                  </w:tcBorders>
                  <w:shd w:val="clear" w:color="auto" w:fill="auto"/>
                  <w:noWrap w:val="0"/>
                  <w:vAlign w:val="center"/>
                </w:tcPr>
                <w:p w14:paraId="30E43E81">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23</w:t>
                  </w:r>
                </w:p>
              </w:tc>
              <w:tc>
                <w:tcPr>
                  <w:tcW w:w="208" w:type="pct"/>
                  <w:tcBorders>
                    <w:tl2br w:val="nil"/>
                    <w:tr2bl w:val="nil"/>
                  </w:tcBorders>
                  <w:shd w:val="clear" w:color="auto" w:fill="auto"/>
                  <w:noWrap w:val="0"/>
                  <w:vAlign w:val="center"/>
                </w:tcPr>
                <w:p w14:paraId="396100BC">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color w:val="auto"/>
                      <w:spacing w:val="-2"/>
                      <w:kern w:val="2"/>
                      <w:sz w:val="21"/>
                      <w:szCs w:val="21"/>
                      <w:highlight w:val="none"/>
                      <w:lang w:val="en-US" w:eastAsia="zh-CN" w:bidi="ar-SA"/>
                    </w:rPr>
                  </w:pPr>
                  <w:r>
                    <w:rPr>
                      <w:rFonts w:hint="eastAsia" w:cs="Times New Roman"/>
                      <w:b w:val="0"/>
                      <w:color w:val="auto"/>
                      <w:spacing w:val="-2"/>
                      <w:kern w:val="2"/>
                      <w:sz w:val="21"/>
                      <w:szCs w:val="21"/>
                      <w:highlight w:val="none"/>
                      <w:lang w:val="en-US" w:eastAsia="zh-CN" w:bidi="ar-SA"/>
                    </w:rPr>
                    <w:t>14</w:t>
                  </w:r>
                </w:p>
              </w:tc>
              <w:tc>
                <w:tcPr>
                  <w:tcW w:w="162" w:type="pct"/>
                  <w:tcBorders>
                    <w:tl2br w:val="nil"/>
                    <w:tr2bl w:val="nil"/>
                  </w:tcBorders>
                  <w:shd w:val="clear" w:color="auto" w:fill="auto"/>
                  <w:noWrap w:val="0"/>
                  <w:vAlign w:val="center"/>
                </w:tcPr>
                <w:p w14:paraId="192AB7D0">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74</w:t>
                  </w:r>
                </w:p>
              </w:tc>
              <w:tc>
                <w:tcPr>
                  <w:tcW w:w="176" w:type="pct"/>
                  <w:tcBorders>
                    <w:tl2br w:val="nil"/>
                    <w:tr2bl w:val="nil"/>
                  </w:tcBorders>
                  <w:shd w:val="clear" w:color="auto" w:fill="auto"/>
                  <w:noWrap w:val="0"/>
                  <w:vAlign w:val="center"/>
                </w:tcPr>
                <w:p w14:paraId="24E10F92">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49</w:t>
                  </w:r>
                </w:p>
              </w:tc>
              <w:tc>
                <w:tcPr>
                  <w:tcW w:w="177" w:type="pct"/>
                  <w:tcBorders>
                    <w:tl2br w:val="nil"/>
                    <w:tr2bl w:val="nil"/>
                  </w:tcBorders>
                  <w:shd w:val="clear" w:color="auto" w:fill="auto"/>
                  <w:noWrap w:val="0"/>
                  <w:vAlign w:val="center"/>
                </w:tcPr>
                <w:p w14:paraId="0BF6E8D6">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53</w:t>
                  </w:r>
                </w:p>
              </w:tc>
              <w:tc>
                <w:tcPr>
                  <w:tcW w:w="190" w:type="pct"/>
                  <w:tcBorders>
                    <w:tl2br w:val="nil"/>
                    <w:tr2bl w:val="nil"/>
                  </w:tcBorders>
                  <w:shd w:val="clear" w:color="auto" w:fill="auto"/>
                  <w:noWrap w:val="0"/>
                  <w:vAlign w:val="center"/>
                </w:tcPr>
                <w:p w14:paraId="2558A2B3">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57</w:t>
                  </w:r>
                </w:p>
              </w:tc>
              <w:tc>
                <w:tcPr>
                  <w:tcW w:w="227" w:type="pct"/>
                  <w:tcBorders>
                    <w:tl2br w:val="nil"/>
                    <w:tr2bl w:val="nil"/>
                  </w:tcBorders>
                  <w:noWrap w:val="0"/>
                  <w:vAlign w:val="center"/>
                </w:tcPr>
                <w:p w14:paraId="0E6520D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snapToGrid/>
                      <w:color w:val="auto"/>
                      <w:spacing w:val="0"/>
                      <w:kern w:val="0"/>
                      <w:position w:val="0"/>
                      <w:sz w:val="21"/>
                      <w:szCs w:val="21"/>
                      <w:highlight w:val="none"/>
                      <w:lang w:val="en-US" w:eastAsia="zh-CN"/>
                    </w:rPr>
                    <w:t>24</w:t>
                  </w:r>
                  <w:r>
                    <w:rPr>
                      <w:rFonts w:hint="default" w:ascii="Times New Roman" w:hAnsi="Times New Roman" w:eastAsia="宋体" w:cs="Times New Roman"/>
                      <w:snapToGrid/>
                      <w:color w:val="auto"/>
                      <w:spacing w:val="0"/>
                      <w:kern w:val="0"/>
                      <w:position w:val="0"/>
                      <w:sz w:val="21"/>
                      <w:szCs w:val="21"/>
                      <w:highlight w:val="none"/>
                      <w:lang w:val="en-US" w:eastAsia="zh-CN"/>
                    </w:rPr>
                    <w:t>h</w:t>
                  </w:r>
                </w:p>
              </w:tc>
              <w:tc>
                <w:tcPr>
                  <w:tcW w:w="305" w:type="pct"/>
                  <w:tcBorders>
                    <w:tl2br w:val="nil"/>
                    <w:tr2bl w:val="nil"/>
                  </w:tcBorders>
                  <w:noWrap w:val="0"/>
                  <w:vAlign w:val="center"/>
                </w:tcPr>
                <w:p w14:paraId="6D2B8CD9">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c>
                <w:tcPr>
                  <w:tcW w:w="305" w:type="pct"/>
                  <w:tcBorders>
                    <w:tl2br w:val="nil"/>
                    <w:tr2bl w:val="nil"/>
                  </w:tcBorders>
                  <w:shd w:val="clear" w:color="auto" w:fill="auto"/>
                  <w:noWrap w:val="0"/>
                  <w:vAlign w:val="center"/>
                </w:tcPr>
                <w:p w14:paraId="17C02977">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54</w:t>
                  </w:r>
                </w:p>
              </w:tc>
              <w:tc>
                <w:tcPr>
                  <w:tcW w:w="250" w:type="pct"/>
                  <w:tcBorders>
                    <w:tl2br w:val="nil"/>
                    <w:tr2bl w:val="nil"/>
                  </w:tcBorders>
                  <w:noWrap w:val="0"/>
                  <w:vAlign w:val="center"/>
                </w:tcPr>
                <w:p w14:paraId="0A03FD42">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1m</w:t>
                  </w:r>
                </w:p>
              </w:tc>
            </w:tr>
            <w:tr w14:paraId="2FFC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 w:type="pct"/>
                  <w:tcBorders>
                    <w:tl2br w:val="nil"/>
                    <w:tr2bl w:val="nil"/>
                  </w:tcBorders>
                  <w:noWrap w:val="0"/>
                  <w:vAlign w:val="center"/>
                </w:tcPr>
                <w:p w14:paraId="56F31B11">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195" w:type="pct"/>
                  <w:vMerge w:val="continue"/>
                  <w:tcBorders>
                    <w:tl2br w:val="nil"/>
                    <w:tr2bl w:val="nil"/>
                  </w:tcBorders>
                  <w:noWrap w:val="0"/>
                  <w:vAlign w:val="center"/>
                </w:tcPr>
                <w:p w14:paraId="0715BFF4">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84" w:type="pct"/>
                  <w:tcBorders>
                    <w:tl2br w:val="nil"/>
                    <w:tr2bl w:val="nil"/>
                  </w:tcBorders>
                  <w:noWrap w:val="0"/>
                  <w:vAlign w:val="center"/>
                </w:tcPr>
                <w:p w14:paraId="361C53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olor w:val="auto"/>
                    </w:rPr>
                    <w:t>微电脑钼丝炉</w:t>
                  </w:r>
                  <w:r>
                    <w:rPr>
                      <w:rFonts w:hint="eastAsia"/>
                      <w:color w:val="auto"/>
                      <w:lang w:val="en-US" w:eastAsia="zh-CN"/>
                    </w:rPr>
                    <w:t>1-2</w:t>
                  </w:r>
                </w:p>
              </w:tc>
              <w:tc>
                <w:tcPr>
                  <w:tcW w:w="516" w:type="pct"/>
                  <w:tcBorders>
                    <w:tl2br w:val="nil"/>
                    <w:tr2bl w:val="nil"/>
                  </w:tcBorders>
                  <w:noWrap w:val="0"/>
                  <w:vAlign w:val="center"/>
                </w:tcPr>
                <w:p w14:paraId="69FA3D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olor w:val="auto"/>
                    </w:rPr>
                    <w:t>ZZY-40</w:t>
                  </w:r>
                </w:p>
              </w:tc>
              <w:tc>
                <w:tcPr>
                  <w:tcW w:w="333" w:type="pct"/>
                  <w:tcBorders>
                    <w:tl2br w:val="nil"/>
                    <w:tr2bl w:val="nil"/>
                  </w:tcBorders>
                  <w:noWrap w:val="0"/>
                  <w:vAlign w:val="center"/>
                </w:tcPr>
                <w:p w14:paraId="10F542BD">
                  <w:pPr>
                    <w:widowControl/>
                    <w:jc w:val="center"/>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85</w:t>
                  </w:r>
                </w:p>
              </w:tc>
              <w:tc>
                <w:tcPr>
                  <w:tcW w:w="287" w:type="pct"/>
                  <w:vMerge w:val="continue"/>
                  <w:tcBorders>
                    <w:tl2br w:val="nil"/>
                    <w:tr2bl w:val="nil"/>
                  </w:tcBorders>
                  <w:noWrap w:val="0"/>
                  <w:vAlign w:val="center"/>
                </w:tcPr>
                <w:p w14:paraId="169514BF">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45" w:type="pct"/>
                  <w:tcBorders>
                    <w:tl2br w:val="nil"/>
                    <w:tr2bl w:val="nil"/>
                  </w:tcBorders>
                  <w:shd w:val="clear" w:color="auto" w:fill="auto"/>
                  <w:noWrap w:val="0"/>
                  <w:vAlign w:val="center"/>
                </w:tcPr>
                <w:p w14:paraId="758ABA0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-9.5</w:t>
                  </w:r>
                </w:p>
              </w:tc>
              <w:tc>
                <w:tcPr>
                  <w:tcW w:w="189" w:type="pct"/>
                  <w:tcBorders>
                    <w:tl2br w:val="nil"/>
                    <w:tr2bl w:val="nil"/>
                  </w:tcBorders>
                  <w:shd w:val="clear" w:color="auto" w:fill="auto"/>
                  <w:noWrap w:val="0"/>
                  <w:vAlign w:val="center"/>
                </w:tcPr>
                <w:p w14:paraId="6416E6A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0</w:t>
                  </w:r>
                </w:p>
              </w:tc>
              <w:tc>
                <w:tcPr>
                  <w:tcW w:w="187" w:type="pct"/>
                  <w:tcBorders>
                    <w:tl2br w:val="nil"/>
                    <w:tr2bl w:val="nil"/>
                  </w:tcBorders>
                  <w:shd w:val="clear" w:color="auto" w:fill="auto"/>
                  <w:noWrap w:val="0"/>
                  <w:vAlign w:val="center"/>
                </w:tcPr>
                <w:p w14:paraId="41904B1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default" w:ascii="Times New Roman" w:hAnsi="Times New Roman" w:eastAsia="宋体" w:cs="Times New Roman"/>
                      <w:snapToGrid/>
                      <w:color w:val="auto"/>
                      <w:spacing w:val="0"/>
                      <w:kern w:val="0"/>
                      <w:position w:val="0"/>
                      <w:sz w:val="21"/>
                      <w:szCs w:val="21"/>
                      <w:highlight w:val="none"/>
                      <w:lang w:val="en-US" w:eastAsia="zh-CN" w:bidi="ar-SA"/>
                    </w:rPr>
                    <w:t>0.5</w:t>
                  </w:r>
                </w:p>
              </w:tc>
              <w:tc>
                <w:tcPr>
                  <w:tcW w:w="204" w:type="pct"/>
                  <w:tcBorders>
                    <w:tl2br w:val="nil"/>
                    <w:tr2bl w:val="nil"/>
                  </w:tcBorders>
                  <w:shd w:val="clear" w:color="auto" w:fill="auto"/>
                  <w:noWrap w:val="0"/>
                  <w:vAlign w:val="center"/>
                </w:tcPr>
                <w:p w14:paraId="5C386A7F">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22</w:t>
                  </w:r>
                </w:p>
              </w:tc>
              <w:tc>
                <w:tcPr>
                  <w:tcW w:w="204" w:type="pct"/>
                  <w:tcBorders>
                    <w:tl2br w:val="nil"/>
                    <w:tr2bl w:val="nil"/>
                  </w:tcBorders>
                  <w:shd w:val="clear" w:color="auto" w:fill="auto"/>
                  <w:noWrap w:val="0"/>
                  <w:vAlign w:val="center"/>
                </w:tcPr>
                <w:p w14:paraId="5C3333B6">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25</w:t>
                  </w:r>
                </w:p>
              </w:tc>
              <w:tc>
                <w:tcPr>
                  <w:tcW w:w="188" w:type="pct"/>
                  <w:tcBorders>
                    <w:tl2br w:val="nil"/>
                    <w:tr2bl w:val="nil"/>
                  </w:tcBorders>
                  <w:shd w:val="clear" w:color="auto" w:fill="auto"/>
                  <w:noWrap w:val="0"/>
                  <w:vAlign w:val="center"/>
                </w:tcPr>
                <w:p w14:paraId="13D6E7D5">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w:t>
                  </w:r>
                </w:p>
              </w:tc>
              <w:tc>
                <w:tcPr>
                  <w:tcW w:w="208" w:type="pct"/>
                  <w:tcBorders>
                    <w:tl2br w:val="nil"/>
                    <w:tr2bl w:val="nil"/>
                  </w:tcBorders>
                  <w:shd w:val="clear" w:color="auto" w:fill="auto"/>
                  <w:noWrap w:val="0"/>
                  <w:vAlign w:val="center"/>
                </w:tcPr>
                <w:p w14:paraId="4D86CB24">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color w:val="auto"/>
                      <w:spacing w:val="-2"/>
                      <w:kern w:val="2"/>
                      <w:sz w:val="21"/>
                      <w:szCs w:val="21"/>
                      <w:highlight w:val="none"/>
                      <w:lang w:val="en-US" w:eastAsia="zh-CN" w:bidi="ar-SA"/>
                    </w:rPr>
                  </w:pPr>
                  <w:r>
                    <w:rPr>
                      <w:rFonts w:hint="eastAsia" w:cs="Times New Roman"/>
                      <w:b w:val="0"/>
                      <w:color w:val="auto"/>
                      <w:spacing w:val="-2"/>
                      <w:kern w:val="2"/>
                      <w:sz w:val="21"/>
                      <w:szCs w:val="21"/>
                      <w:highlight w:val="none"/>
                      <w:lang w:val="en-US" w:eastAsia="zh-CN" w:bidi="ar-SA"/>
                    </w:rPr>
                    <w:t>25</w:t>
                  </w:r>
                </w:p>
              </w:tc>
              <w:tc>
                <w:tcPr>
                  <w:tcW w:w="162" w:type="pct"/>
                  <w:tcBorders>
                    <w:tl2br w:val="nil"/>
                    <w:tr2bl w:val="nil"/>
                  </w:tcBorders>
                  <w:shd w:val="clear" w:color="auto" w:fill="auto"/>
                  <w:noWrap w:val="0"/>
                  <w:vAlign w:val="center"/>
                </w:tcPr>
                <w:p w14:paraId="511DAFA9">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58</w:t>
                  </w:r>
                </w:p>
              </w:tc>
              <w:tc>
                <w:tcPr>
                  <w:tcW w:w="176" w:type="pct"/>
                  <w:tcBorders>
                    <w:tl2br w:val="nil"/>
                    <w:tr2bl w:val="nil"/>
                  </w:tcBorders>
                  <w:shd w:val="clear" w:color="auto" w:fill="auto"/>
                  <w:noWrap w:val="0"/>
                  <w:vAlign w:val="center"/>
                </w:tcPr>
                <w:p w14:paraId="7C651A8A">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57</w:t>
                  </w:r>
                </w:p>
              </w:tc>
              <w:tc>
                <w:tcPr>
                  <w:tcW w:w="177" w:type="pct"/>
                  <w:tcBorders>
                    <w:tl2br w:val="nil"/>
                    <w:tr2bl w:val="nil"/>
                  </w:tcBorders>
                  <w:shd w:val="clear" w:color="auto" w:fill="auto"/>
                  <w:noWrap w:val="0"/>
                  <w:vAlign w:val="center"/>
                </w:tcPr>
                <w:p w14:paraId="706D18E7">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75</w:t>
                  </w:r>
                </w:p>
              </w:tc>
              <w:tc>
                <w:tcPr>
                  <w:tcW w:w="190" w:type="pct"/>
                  <w:tcBorders>
                    <w:tl2br w:val="nil"/>
                    <w:tr2bl w:val="nil"/>
                  </w:tcBorders>
                  <w:shd w:val="clear" w:color="auto" w:fill="auto"/>
                  <w:noWrap w:val="0"/>
                  <w:vAlign w:val="center"/>
                </w:tcPr>
                <w:p w14:paraId="3B3095ED">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57</w:t>
                  </w:r>
                </w:p>
              </w:tc>
              <w:tc>
                <w:tcPr>
                  <w:tcW w:w="227" w:type="pct"/>
                  <w:tcBorders>
                    <w:tl2br w:val="nil"/>
                    <w:tr2bl w:val="nil"/>
                  </w:tcBorders>
                  <w:noWrap w:val="0"/>
                  <w:vAlign w:val="center"/>
                </w:tcPr>
                <w:p w14:paraId="1B801EC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eastAsia" w:cs="Times New Roman"/>
                      <w:snapToGrid/>
                      <w:color w:val="auto"/>
                      <w:spacing w:val="0"/>
                      <w:kern w:val="0"/>
                      <w:position w:val="0"/>
                      <w:sz w:val="21"/>
                      <w:szCs w:val="21"/>
                      <w:highlight w:val="none"/>
                      <w:lang w:val="en-US" w:eastAsia="zh-CN"/>
                    </w:rPr>
                    <w:t>24</w:t>
                  </w:r>
                  <w:r>
                    <w:rPr>
                      <w:rFonts w:hint="default" w:ascii="Times New Roman" w:hAnsi="Times New Roman" w:eastAsia="宋体" w:cs="Times New Roman"/>
                      <w:snapToGrid/>
                      <w:color w:val="auto"/>
                      <w:spacing w:val="0"/>
                      <w:kern w:val="0"/>
                      <w:position w:val="0"/>
                      <w:sz w:val="21"/>
                      <w:szCs w:val="21"/>
                      <w:highlight w:val="none"/>
                      <w:lang w:val="en-US" w:eastAsia="zh-CN"/>
                    </w:rPr>
                    <w:t>h</w:t>
                  </w:r>
                </w:p>
              </w:tc>
              <w:tc>
                <w:tcPr>
                  <w:tcW w:w="305" w:type="pct"/>
                  <w:tcBorders>
                    <w:tl2br w:val="nil"/>
                    <w:tr2bl w:val="nil"/>
                  </w:tcBorders>
                  <w:noWrap w:val="0"/>
                  <w:vAlign w:val="center"/>
                </w:tcPr>
                <w:p w14:paraId="566CCAAD">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c>
                <w:tcPr>
                  <w:tcW w:w="305" w:type="pct"/>
                  <w:tcBorders>
                    <w:tl2br w:val="nil"/>
                    <w:tr2bl w:val="nil"/>
                  </w:tcBorders>
                  <w:shd w:val="clear" w:color="auto" w:fill="auto"/>
                  <w:noWrap w:val="0"/>
                  <w:vAlign w:val="center"/>
                </w:tcPr>
                <w:p w14:paraId="76AC97E8">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55</w:t>
                  </w:r>
                </w:p>
              </w:tc>
              <w:tc>
                <w:tcPr>
                  <w:tcW w:w="250" w:type="pct"/>
                  <w:tcBorders>
                    <w:tl2br w:val="nil"/>
                    <w:tr2bl w:val="nil"/>
                  </w:tcBorders>
                  <w:noWrap w:val="0"/>
                  <w:vAlign w:val="center"/>
                </w:tcPr>
                <w:p w14:paraId="43D5AF6F">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1m</w:t>
                  </w:r>
                </w:p>
              </w:tc>
            </w:tr>
            <w:tr w14:paraId="61D8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 w:type="pct"/>
                  <w:tcBorders>
                    <w:tl2br w:val="nil"/>
                    <w:tr2bl w:val="nil"/>
                  </w:tcBorders>
                  <w:noWrap w:val="0"/>
                  <w:vAlign w:val="center"/>
                </w:tcPr>
                <w:p w14:paraId="36D385CC">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w:t>
                  </w:r>
                </w:p>
              </w:tc>
              <w:tc>
                <w:tcPr>
                  <w:tcW w:w="195" w:type="pct"/>
                  <w:vMerge w:val="continue"/>
                  <w:tcBorders>
                    <w:tl2br w:val="nil"/>
                    <w:tr2bl w:val="nil"/>
                  </w:tcBorders>
                  <w:noWrap w:val="0"/>
                  <w:vAlign w:val="center"/>
                </w:tcPr>
                <w:p w14:paraId="7CD781FD">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84" w:type="pct"/>
                  <w:tcBorders>
                    <w:tl2br w:val="nil"/>
                    <w:tr2bl w:val="nil"/>
                  </w:tcBorders>
                  <w:noWrap w:val="0"/>
                  <w:vAlign w:val="center"/>
                </w:tcPr>
                <w:p w14:paraId="5111D0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rPr>
                  </w:pPr>
                  <w:r>
                    <w:rPr>
                      <w:rFonts w:hint="eastAsia"/>
                      <w:color w:val="auto"/>
                    </w:rPr>
                    <w:t>微电脑钼丝炉</w:t>
                  </w:r>
                  <w:r>
                    <w:rPr>
                      <w:rFonts w:hint="eastAsia"/>
                      <w:color w:val="auto"/>
                      <w:lang w:val="en-US" w:eastAsia="zh-CN"/>
                    </w:rPr>
                    <w:t>3-5</w:t>
                  </w:r>
                </w:p>
              </w:tc>
              <w:tc>
                <w:tcPr>
                  <w:tcW w:w="516" w:type="pct"/>
                  <w:tcBorders>
                    <w:tl2br w:val="nil"/>
                    <w:tr2bl w:val="nil"/>
                  </w:tcBorders>
                  <w:noWrap w:val="0"/>
                  <w:vAlign w:val="center"/>
                </w:tcPr>
                <w:p w14:paraId="531A80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olor w:val="auto"/>
                    </w:rPr>
                    <w:t>ZZY-40</w:t>
                  </w:r>
                </w:p>
              </w:tc>
              <w:tc>
                <w:tcPr>
                  <w:tcW w:w="333" w:type="pct"/>
                  <w:tcBorders>
                    <w:tl2br w:val="nil"/>
                    <w:tr2bl w:val="nil"/>
                  </w:tcBorders>
                  <w:noWrap w:val="0"/>
                  <w:vAlign w:val="center"/>
                </w:tcPr>
                <w:p w14:paraId="02E4452C">
                  <w:pPr>
                    <w:widowControl/>
                    <w:jc w:val="center"/>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85</w:t>
                  </w:r>
                </w:p>
              </w:tc>
              <w:tc>
                <w:tcPr>
                  <w:tcW w:w="287" w:type="pct"/>
                  <w:vMerge w:val="continue"/>
                  <w:tcBorders>
                    <w:tl2br w:val="nil"/>
                    <w:tr2bl w:val="nil"/>
                  </w:tcBorders>
                  <w:noWrap w:val="0"/>
                  <w:vAlign w:val="center"/>
                </w:tcPr>
                <w:p w14:paraId="46D5FE31">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45" w:type="pct"/>
                  <w:tcBorders>
                    <w:tl2br w:val="nil"/>
                    <w:tr2bl w:val="nil"/>
                  </w:tcBorders>
                  <w:shd w:val="clear" w:color="auto" w:fill="auto"/>
                  <w:noWrap w:val="0"/>
                  <w:vAlign w:val="center"/>
                </w:tcPr>
                <w:p w14:paraId="78029DA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9.5</w:t>
                  </w:r>
                </w:p>
              </w:tc>
              <w:tc>
                <w:tcPr>
                  <w:tcW w:w="189" w:type="pct"/>
                  <w:tcBorders>
                    <w:tl2br w:val="nil"/>
                    <w:tr2bl w:val="nil"/>
                  </w:tcBorders>
                  <w:shd w:val="clear" w:color="auto" w:fill="auto"/>
                  <w:noWrap w:val="0"/>
                  <w:vAlign w:val="center"/>
                </w:tcPr>
                <w:p w14:paraId="6FC9816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-10</w:t>
                  </w:r>
                </w:p>
              </w:tc>
              <w:tc>
                <w:tcPr>
                  <w:tcW w:w="187" w:type="pct"/>
                  <w:tcBorders>
                    <w:tl2br w:val="nil"/>
                    <w:tr2bl w:val="nil"/>
                  </w:tcBorders>
                  <w:shd w:val="clear" w:color="auto" w:fill="auto"/>
                  <w:noWrap w:val="0"/>
                  <w:vAlign w:val="center"/>
                </w:tcPr>
                <w:p w14:paraId="2848340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default" w:ascii="Times New Roman" w:hAnsi="Times New Roman" w:eastAsia="宋体" w:cs="Times New Roman"/>
                      <w:snapToGrid/>
                      <w:color w:val="auto"/>
                      <w:spacing w:val="0"/>
                      <w:kern w:val="0"/>
                      <w:position w:val="0"/>
                      <w:sz w:val="21"/>
                      <w:szCs w:val="21"/>
                      <w:highlight w:val="none"/>
                      <w:lang w:val="en-US" w:eastAsia="zh-CN" w:bidi="ar-SA"/>
                    </w:rPr>
                    <w:t>1.0</w:t>
                  </w:r>
                </w:p>
              </w:tc>
              <w:tc>
                <w:tcPr>
                  <w:tcW w:w="204" w:type="pct"/>
                  <w:tcBorders>
                    <w:tl2br w:val="nil"/>
                    <w:tr2bl w:val="nil"/>
                  </w:tcBorders>
                  <w:shd w:val="clear" w:color="auto" w:fill="auto"/>
                  <w:noWrap w:val="0"/>
                  <w:vAlign w:val="center"/>
                </w:tcPr>
                <w:p w14:paraId="0772E5CE">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w:t>
                  </w:r>
                </w:p>
              </w:tc>
              <w:tc>
                <w:tcPr>
                  <w:tcW w:w="204" w:type="pct"/>
                  <w:tcBorders>
                    <w:tl2br w:val="nil"/>
                    <w:tr2bl w:val="nil"/>
                  </w:tcBorders>
                  <w:shd w:val="clear" w:color="auto" w:fill="auto"/>
                  <w:noWrap w:val="0"/>
                  <w:vAlign w:val="center"/>
                </w:tcPr>
                <w:p w14:paraId="4123AFEA">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15</w:t>
                  </w:r>
                </w:p>
              </w:tc>
              <w:tc>
                <w:tcPr>
                  <w:tcW w:w="188" w:type="pct"/>
                  <w:tcBorders>
                    <w:tl2br w:val="nil"/>
                    <w:tr2bl w:val="nil"/>
                  </w:tcBorders>
                  <w:shd w:val="clear" w:color="auto" w:fill="auto"/>
                  <w:noWrap w:val="0"/>
                  <w:vAlign w:val="center"/>
                </w:tcPr>
                <w:p w14:paraId="1939B017">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22</w:t>
                  </w:r>
                </w:p>
              </w:tc>
              <w:tc>
                <w:tcPr>
                  <w:tcW w:w="208" w:type="pct"/>
                  <w:tcBorders>
                    <w:tl2br w:val="nil"/>
                    <w:tr2bl w:val="nil"/>
                  </w:tcBorders>
                  <w:shd w:val="clear" w:color="auto" w:fill="auto"/>
                  <w:noWrap w:val="0"/>
                  <w:vAlign w:val="center"/>
                </w:tcPr>
                <w:p w14:paraId="7EAA28F3">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color w:val="auto"/>
                      <w:spacing w:val="-2"/>
                      <w:kern w:val="2"/>
                      <w:sz w:val="21"/>
                      <w:szCs w:val="21"/>
                      <w:highlight w:val="none"/>
                      <w:lang w:val="en-US" w:eastAsia="zh-CN" w:bidi="ar-SA"/>
                    </w:rPr>
                  </w:pPr>
                  <w:r>
                    <w:rPr>
                      <w:rFonts w:hint="eastAsia" w:cs="Times New Roman"/>
                      <w:b w:val="0"/>
                      <w:color w:val="auto"/>
                      <w:spacing w:val="-2"/>
                      <w:kern w:val="2"/>
                      <w:sz w:val="21"/>
                      <w:szCs w:val="21"/>
                      <w:highlight w:val="none"/>
                      <w:lang w:val="en-US" w:eastAsia="zh-CN" w:bidi="ar-SA"/>
                    </w:rPr>
                    <w:t>35</w:t>
                  </w:r>
                </w:p>
              </w:tc>
              <w:tc>
                <w:tcPr>
                  <w:tcW w:w="162" w:type="pct"/>
                  <w:tcBorders>
                    <w:tl2br w:val="nil"/>
                    <w:tr2bl w:val="nil"/>
                  </w:tcBorders>
                  <w:shd w:val="clear" w:color="auto" w:fill="auto"/>
                  <w:noWrap w:val="0"/>
                  <w:vAlign w:val="center"/>
                </w:tcPr>
                <w:p w14:paraId="36FAD5F9">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75</w:t>
                  </w:r>
                </w:p>
              </w:tc>
              <w:tc>
                <w:tcPr>
                  <w:tcW w:w="176" w:type="pct"/>
                  <w:tcBorders>
                    <w:tl2br w:val="nil"/>
                    <w:tr2bl w:val="nil"/>
                  </w:tcBorders>
                  <w:shd w:val="clear" w:color="auto" w:fill="auto"/>
                  <w:noWrap w:val="0"/>
                  <w:vAlign w:val="center"/>
                </w:tcPr>
                <w:p w14:paraId="057B7FC6">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61</w:t>
                  </w:r>
                </w:p>
              </w:tc>
              <w:tc>
                <w:tcPr>
                  <w:tcW w:w="177" w:type="pct"/>
                  <w:tcBorders>
                    <w:tl2br w:val="nil"/>
                    <w:tr2bl w:val="nil"/>
                  </w:tcBorders>
                  <w:shd w:val="clear" w:color="auto" w:fill="auto"/>
                  <w:noWrap w:val="0"/>
                  <w:vAlign w:val="center"/>
                </w:tcPr>
                <w:p w14:paraId="420E6F27">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58</w:t>
                  </w:r>
                </w:p>
              </w:tc>
              <w:tc>
                <w:tcPr>
                  <w:tcW w:w="190" w:type="pct"/>
                  <w:tcBorders>
                    <w:tl2br w:val="nil"/>
                    <w:tr2bl w:val="nil"/>
                  </w:tcBorders>
                  <w:shd w:val="clear" w:color="auto" w:fill="auto"/>
                  <w:noWrap w:val="0"/>
                  <w:vAlign w:val="center"/>
                </w:tcPr>
                <w:p w14:paraId="349A90F7">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54</w:t>
                  </w:r>
                </w:p>
              </w:tc>
              <w:tc>
                <w:tcPr>
                  <w:tcW w:w="227" w:type="pct"/>
                  <w:tcBorders>
                    <w:tl2br w:val="nil"/>
                    <w:tr2bl w:val="nil"/>
                  </w:tcBorders>
                  <w:noWrap w:val="0"/>
                  <w:vAlign w:val="center"/>
                </w:tcPr>
                <w:p w14:paraId="0DB2B42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eastAsia" w:cs="Times New Roman"/>
                      <w:snapToGrid/>
                      <w:color w:val="auto"/>
                      <w:spacing w:val="0"/>
                      <w:kern w:val="0"/>
                      <w:position w:val="0"/>
                      <w:sz w:val="21"/>
                      <w:szCs w:val="21"/>
                      <w:highlight w:val="none"/>
                      <w:lang w:val="en-US" w:eastAsia="zh-CN"/>
                    </w:rPr>
                    <w:t>24</w:t>
                  </w:r>
                  <w:r>
                    <w:rPr>
                      <w:rFonts w:hint="default" w:ascii="Times New Roman" w:hAnsi="Times New Roman" w:eastAsia="宋体" w:cs="Times New Roman"/>
                      <w:snapToGrid/>
                      <w:color w:val="auto"/>
                      <w:spacing w:val="0"/>
                      <w:kern w:val="0"/>
                      <w:position w:val="0"/>
                      <w:sz w:val="21"/>
                      <w:szCs w:val="21"/>
                      <w:highlight w:val="none"/>
                      <w:lang w:val="en-US" w:eastAsia="zh-CN"/>
                    </w:rPr>
                    <w:t>h</w:t>
                  </w:r>
                </w:p>
              </w:tc>
              <w:tc>
                <w:tcPr>
                  <w:tcW w:w="305" w:type="pct"/>
                  <w:tcBorders>
                    <w:tl2br w:val="nil"/>
                    <w:tr2bl w:val="nil"/>
                  </w:tcBorders>
                  <w:noWrap w:val="0"/>
                  <w:vAlign w:val="center"/>
                </w:tcPr>
                <w:p w14:paraId="0A1AB5A2">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w:t>
                  </w:r>
                </w:p>
              </w:tc>
              <w:tc>
                <w:tcPr>
                  <w:tcW w:w="305" w:type="pct"/>
                  <w:tcBorders>
                    <w:tl2br w:val="nil"/>
                    <w:tr2bl w:val="nil"/>
                  </w:tcBorders>
                  <w:shd w:val="clear" w:color="auto" w:fill="auto"/>
                  <w:noWrap w:val="0"/>
                  <w:vAlign w:val="center"/>
                </w:tcPr>
                <w:p w14:paraId="05C889B7">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55</w:t>
                  </w:r>
                </w:p>
              </w:tc>
              <w:tc>
                <w:tcPr>
                  <w:tcW w:w="250" w:type="pct"/>
                  <w:tcBorders>
                    <w:tl2br w:val="nil"/>
                    <w:tr2bl w:val="nil"/>
                  </w:tcBorders>
                  <w:noWrap w:val="0"/>
                  <w:vAlign w:val="center"/>
                </w:tcPr>
                <w:p w14:paraId="0E65E456">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1m</w:t>
                  </w:r>
                </w:p>
              </w:tc>
            </w:tr>
            <w:tr w14:paraId="41F8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 w:type="pct"/>
                  <w:tcBorders>
                    <w:tl2br w:val="nil"/>
                    <w:tr2bl w:val="nil"/>
                  </w:tcBorders>
                  <w:noWrap w:val="0"/>
                  <w:vAlign w:val="center"/>
                </w:tcPr>
                <w:p w14:paraId="4D24E340">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w:t>
                  </w:r>
                </w:p>
              </w:tc>
              <w:tc>
                <w:tcPr>
                  <w:tcW w:w="195" w:type="pct"/>
                  <w:vMerge w:val="continue"/>
                  <w:tcBorders>
                    <w:tl2br w:val="nil"/>
                    <w:tr2bl w:val="nil"/>
                  </w:tcBorders>
                  <w:noWrap w:val="0"/>
                  <w:vAlign w:val="center"/>
                </w:tcPr>
                <w:p w14:paraId="4C54D985">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84" w:type="pct"/>
                  <w:tcBorders>
                    <w:tl2br w:val="nil"/>
                    <w:tr2bl w:val="nil"/>
                  </w:tcBorders>
                  <w:noWrap w:val="0"/>
                  <w:vAlign w:val="center"/>
                </w:tcPr>
                <w:p w14:paraId="33B54E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olor w:val="auto"/>
                    </w:rPr>
                    <w:t>微电脑钼丝炉</w:t>
                  </w:r>
                  <w:r>
                    <w:rPr>
                      <w:rFonts w:hint="eastAsia"/>
                      <w:color w:val="auto"/>
                      <w:lang w:val="en-US" w:eastAsia="zh-CN"/>
                    </w:rPr>
                    <w:t>6-9</w:t>
                  </w:r>
                </w:p>
              </w:tc>
              <w:tc>
                <w:tcPr>
                  <w:tcW w:w="516" w:type="pct"/>
                  <w:tcBorders>
                    <w:tl2br w:val="nil"/>
                    <w:tr2bl w:val="nil"/>
                  </w:tcBorders>
                  <w:noWrap w:val="0"/>
                  <w:vAlign w:val="center"/>
                </w:tcPr>
                <w:p w14:paraId="49FB64EA">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olor w:val="auto"/>
                    </w:rPr>
                    <w:t>ZZY-40</w:t>
                  </w:r>
                </w:p>
              </w:tc>
              <w:tc>
                <w:tcPr>
                  <w:tcW w:w="333" w:type="pct"/>
                  <w:tcBorders>
                    <w:tl2br w:val="nil"/>
                    <w:tr2bl w:val="nil"/>
                  </w:tcBorders>
                  <w:noWrap w:val="0"/>
                  <w:vAlign w:val="center"/>
                </w:tcPr>
                <w:p w14:paraId="3AF63048">
                  <w:pPr>
                    <w:widowControl/>
                    <w:jc w:val="center"/>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85</w:t>
                  </w:r>
                </w:p>
              </w:tc>
              <w:tc>
                <w:tcPr>
                  <w:tcW w:w="287" w:type="pct"/>
                  <w:vMerge w:val="continue"/>
                  <w:tcBorders>
                    <w:tl2br w:val="nil"/>
                    <w:tr2bl w:val="nil"/>
                  </w:tcBorders>
                  <w:noWrap w:val="0"/>
                  <w:vAlign w:val="center"/>
                </w:tcPr>
                <w:p w14:paraId="4F26BB31">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45" w:type="pct"/>
                  <w:tcBorders>
                    <w:tl2br w:val="nil"/>
                    <w:tr2bl w:val="nil"/>
                  </w:tcBorders>
                  <w:shd w:val="clear" w:color="auto" w:fill="auto"/>
                  <w:noWrap w:val="0"/>
                  <w:vAlign w:val="center"/>
                </w:tcPr>
                <w:p w14:paraId="322BD82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0.5</w:t>
                  </w:r>
                </w:p>
              </w:tc>
              <w:tc>
                <w:tcPr>
                  <w:tcW w:w="189" w:type="pct"/>
                  <w:tcBorders>
                    <w:tl2br w:val="nil"/>
                    <w:tr2bl w:val="nil"/>
                  </w:tcBorders>
                  <w:shd w:val="clear" w:color="auto" w:fill="auto"/>
                  <w:noWrap w:val="0"/>
                  <w:vAlign w:val="center"/>
                </w:tcPr>
                <w:p w14:paraId="783F94D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-22</w:t>
                  </w:r>
                </w:p>
              </w:tc>
              <w:tc>
                <w:tcPr>
                  <w:tcW w:w="187" w:type="pct"/>
                  <w:tcBorders>
                    <w:tl2br w:val="nil"/>
                    <w:tr2bl w:val="nil"/>
                  </w:tcBorders>
                  <w:shd w:val="clear" w:color="auto" w:fill="auto"/>
                  <w:noWrap w:val="0"/>
                  <w:vAlign w:val="center"/>
                </w:tcPr>
                <w:p w14:paraId="524AD9B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1.</w:t>
                  </w:r>
                  <w:r>
                    <w:rPr>
                      <w:rFonts w:hint="default" w:ascii="Times New Roman" w:hAnsi="Times New Roman" w:eastAsia="宋体" w:cs="Times New Roman"/>
                      <w:snapToGrid/>
                      <w:color w:val="auto"/>
                      <w:spacing w:val="0"/>
                      <w:kern w:val="0"/>
                      <w:position w:val="0"/>
                      <w:sz w:val="21"/>
                      <w:szCs w:val="21"/>
                      <w:highlight w:val="none"/>
                      <w:lang w:val="en-US" w:eastAsia="zh-CN" w:bidi="ar-SA"/>
                    </w:rPr>
                    <w:t>0</w:t>
                  </w:r>
                </w:p>
              </w:tc>
              <w:tc>
                <w:tcPr>
                  <w:tcW w:w="204" w:type="pct"/>
                  <w:tcBorders>
                    <w:tl2br w:val="nil"/>
                    <w:tr2bl w:val="nil"/>
                  </w:tcBorders>
                  <w:shd w:val="clear" w:color="auto" w:fill="auto"/>
                  <w:noWrap w:val="0"/>
                  <w:vAlign w:val="center"/>
                </w:tcPr>
                <w:p w14:paraId="4F606691">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c>
                <w:tcPr>
                  <w:tcW w:w="204" w:type="pct"/>
                  <w:tcBorders>
                    <w:tl2br w:val="nil"/>
                    <w:tr2bl w:val="nil"/>
                  </w:tcBorders>
                  <w:shd w:val="clear" w:color="auto" w:fill="auto"/>
                  <w:noWrap w:val="0"/>
                  <w:vAlign w:val="center"/>
                </w:tcPr>
                <w:p w14:paraId="5F4B50DB">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w:t>
                  </w:r>
                </w:p>
              </w:tc>
              <w:tc>
                <w:tcPr>
                  <w:tcW w:w="188" w:type="pct"/>
                  <w:tcBorders>
                    <w:tl2br w:val="nil"/>
                    <w:tr2bl w:val="nil"/>
                  </w:tcBorders>
                  <w:shd w:val="clear" w:color="auto" w:fill="auto"/>
                  <w:noWrap w:val="0"/>
                  <w:vAlign w:val="center"/>
                </w:tcPr>
                <w:p w14:paraId="3AAA0DF1">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13</w:t>
                  </w:r>
                </w:p>
              </w:tc>
              <w:tc>
                <w:tcPr>
                  <w:tcW w:w="208" w:type="pct"/>
                  <w:tcBorders>
                    <w:tl2br w:val="nil"/>
                    <w:tr2bl w:val="nil"/>
                  </w:tcBorders>
                  <w:shd w:val="clear" w:color="auto" w:fill="auto"/>
                  <w:noWrap w:val="0"/>
                  <w:vAlign w:val="center"/>
                </w:tcPr>
                <w:p w14:paraId="17106658">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color w:val="auto"/>
                      <w:spacing w:val="-2"/>
                      <w:kern w:val="2"/>
                      <w:sz w:val="21"/>
                      <w:szCs w:val="21"/>
                      <w:highlight w:val="none"/>
                      <w:lang w:val="en-US" w:eastAsia="zh-CN" w:bidi="ar-SA"/>
                    </w:rPr>
                  </w:pPr>
                  <w:r>
                    <w:rPr>
                      <w:rFonts w:hint="eastAsia" w:cs="Times New Roman"/>
                      <w:b w:val="0"/>
                      <w:color w:val="auto"/>
                      <w:spacing w:val="-2"/>
                      <w:kern w:val="2"/>
                      <w:sz w:val="21"/>
                      <w:szCs w:val="21"/>
                      <w:highlight w:val="none"/>
                      <w:lang w:val="en-US" w:eastAsia="zh-CN" w:bidi="ar-SA"/>
                    </w:rPr>
                    <w:t>47</w:t>
                  </w:r>
                </w:p>
              </w:tc>
              <w:tc>
                <w:tcPr>
                  <w:tcW w:w="162" w:type="pct"/>
                  <w:tcBorders>
                    <w:tl2br w:val="nil"/>
                    <w:tr2bl w:val="nil"/>
                  </w:tcBorders>
                  <w:shd w:val="clear" w:color="auto" w:fill="auto"/>
                  <w:noWrap w:val="0"/>
                  <w:vAlign w:val="center"/>
                </w:tcPr>
                <w:p w14:paraId="04A0CB64">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63</w:t>
                  </w:r>
                </w:p>
              </w:tc>
              <w:tc>
                <w:tcPr>
                  <w:tcW w:w="176" w:type="pct"/>
                  <w:tcBorders>
                    <w:tl2br w:val="nil"/>
                    <w:tr2bl w:val="nil"/>
                  </w:tcBorders>
                  <w:shd w:val="clear" w:color="auto" w:fill="auto"/>
                  <w:noWrap w:val="0"/>
                  <w:vAlign w:val="center"/>
                </w:tcPr>
                <w:p w14:paraId="65713451">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75</w:t>
                  </w:r>
                </w:p>
              </w:tc>
              <w:tc>
                <w:tcPr>
                  <w:tcW w:w="177" w:type="pct"/>
                  <w:tcBorders>
                    <w:tl2br w:val="nil"/>
                    <w:tr2bl w:val="nil"/>
                  </w:tcBorders>
                  <w:shd w:val="clear" w:color="auto" w:fill="auto"/>
                  <w:noWrap w:val="0"/>
                  <w:vAlign w:val="center"/>
                </w:tcPr>
                <w:p w14:paraId="139D2DB2">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63</w:t>
                  </w:r>
                </w:p>
              </w:tc>
              <w:tc>
                <w:tcPr>
                  <w:tcW w:w="190" w:type="pct"/>
                  <w:tcBorders>
                    <w:tl2br w:val="nil"/>
                    <w:tr2bl w:val="nil"/>
                  </w:tcBorders>
                  <w:shd w:val="clear" w:color="auto" w:fill="auto"/>
                  <w:noWrap w:val="0"/>
                  <w:vAlign w:val="center"/>
                </w:tcPr>
                <w:p w14:paraId="4E06E8B0">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52</w:t>
                  </w:r>
                </w:p>
              </w:tc>
              <w:tc>
                <w:tcPr>
                  <w:tcW w:w="227" w:type="pct"/>
                  <w:tcBorders>
                    <w:tl2br w:val="nil"/>
                    <w:tr2bl w:val="nil"/>
                  </w:tcBorders>
                  <w:noWrap w:val="0"/>
                  <w:vAlign w:val="center"/>
                </w:tcPr>
                <w:p w14:paraId="1B6E009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eastAsia" w:cs="Times New Roman"/>
                      <w:snapToGrid/>
                      <w:color w:val="auto"/>
                      <w:spacing w:val="0"/>
                      <w:kern w:val="0"/>
                      <w:position w:val="0"/>
                      <w:sz w:val="21"/>
                      <w:szCs w:val="21"/>
                      <w:highlight w:val="none"/>
                      <w:lang w:val="en-US" w:eastAsia="zh-CN"/>
                    </w:rPr>
                    <w:t>24</w:t>
                  </w:r>
                  <w:r>
                    <w:rPr>
                      <w:rFonts w:hint="default" w:ascii="Times New Roman" w:hAnsi="Times New Roman" w:eastAsia="宋体" w:cs="Times New Roman"/>
                      <w:snapToGrid/>
                      <w:color w:val="auto"/>
                      <w:spacing w:val="0"/>
                      <w:kern w:val="0"/>
                      <w:position w:val="0"/>
                      <w:sz w:val="21"/>
                      <w:szCs w:val="21"/>
                      <w:highlight w:val="none"/>
                      <w:lang w:val="en-US" w:eastAsia="zh-CN"/>
                    </w:rPr>
                    <w:t>h</w:t>
                  </w:r>
                </w:p>
              </w:tc>
              <w:tc>
                <w:tcPr>
                  <w:tcW w:w="305" w:type="pct"/>
                  <w:tcBorders>
                    <w:tl2br w:val="nil"/>
                    <w:tr2bl w:val="nil"/>
                  </w:tcBorders>
                  <w:noWrap w:val="0"/>
                  <w:vAlign w:val="center"/>
                </w:tcPr>
                <w:p w14:paraId="2807C44D">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c>
                <w:tcPr>
                  <w:tcW w:w="305" w:type="pct"/>
                  <w:tcBorders>
                    <w:tl2br w:val="nil"/>
                    <w:tr2bl w:val="nil"/>
                  </w:tcBorders>
                  <w:noWrap w:val="0"/>
                  <w:vAlign w:val="center"/>
                </w:tcPr>
                <w:p w14:paraId="679D995D">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56</w:t>
                  </w:r>
                </w:p>
              </w:tc>
              <w:tc>
                <w:tcPr>
                  <w:tcW w:w="250" w:type="pct"/>
                  <w:tcBorders>
                    <w:tl2br w:val="nil"/>
                    <w:tr2bl w:val="nil"/>
                  </w:tcBorders>
                  <w:noWrap w:val="0"/>
                  <w:vAlign w:val="center"/>
                </w:tcPr>
                <w:p w14:paraId="0517190F">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1m</w:t>
                  </w:r>
                </w:p>
              </w:tc>
            </w:tr>
            <w:tr w14:paraId="54D0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 w:type="pct"/>
                  <w:tcBorders>
                    <w:tl2br w:val="nil"/>
                    <w:tr2bl w:val="nil"/>
                  </w:tcBorders>
                  <w:noWrap w:val="0"/>
                  <w:vAlign w:val="center"/>
                </w:tcPr>
                <w:p w14:paraId="576079AE">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w:t>
                  </w:r>
                </w:p>
              </w:tc>
              <w:tc>
                <w:tcPr>
                  <w:tcW w:w="195" w:type="pct"/>
                  <w:vMerge w:val="restart"/>
                  <w:tcBorders>
                    <w:tl2br w:val="nil"/>
                    <w:tr2bl w:val="nil"/>
                  </w:tcBorders>
                  <w:noWrap w:val="0"/>
                  <w:vAlign w:val="center"/>
                </w:tcPr>
                <w:p w14:paraId="0513D8DB">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eastAsia="zh-CN"/>
                    </w:rPr>
                    <w:t>生产车间</w:t>
                  </w:r>
                </w:p>
              </w:tc>
              <w:tc>
                <w:tcPr>
                  <w:tcW w:w="284" w:type="pct"/>
                  <w:tcBorders>
                    <w:tl2br w:val="nil"/>
                    <w:tr2bl w:val="nil"/>
                  </w:tcBorders>
                  <w:noWrap w:val="0"/>
                  <w:vAlign w:val="center"/>
                </w:tcPr>
                <w:p w14:paraId="7FAE86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olor w:val="auto"/>
                      <w:lang w:val="en-US" w:eastAsia="zh-CN"/>
                    </w:rPr>
                  </w:pPr>
                  <w:r>
                    <w:rPr>
                      <w:rFonts w:hint="eastAsia"/>
                      <w:color w:val="auto"/>
                    </w:rPr>
                    <w:t>注塑机</w:t>
                  </w:r>
                  <w:r>
                    <w:rPr>
                      <w:rFonts w:hint="eastAsia"/>
                      <w:color w:val="auto"/>
                      <w:lang w:val="en-US" w:eastAsia="zh-CN"/>
                    </w:rPr>
                    <w:t>3</w:t>
                  </w:r>
                </w:p>
              </w:tc>
              <w:tc>
                <w:tcPr>
                  <w:tcW w:w="516" w:type="pct"/>
                  <w:tcBorders>
                    <w:tl2br w:val="nil"/>
                    <w:tr2bl w:val="nil"/>
                  </w:tcBorders>
                  <w:noWrap w:val="0"/>
                  <w:vAlign w:val="center"/>
                </w:tcPr>
                <w:p w14:paraId="5AB764C5">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eastAsia"/>
                      <w:color w:val="auto"/>
                    </w:rPr>
                  </w:pPr>
                  <w:r>
                    <w:rPr>
                      <w:rFonts w:hint="eastAsia"/>
                      <w:color w:val="auto"/>
                    </w:rPr>
                    <w:t>LT-LT-1001</w:t>
                  </w:r>
                </w:p>
              </w:tc>
              <w:tc>
                <w:tcPr>
                  <w:tcW w:w="333" w:type="pct"/>
                  <w:tcBorders>
                    <w:tl2br w:val="nil"/>
                    <w:tr2bl w:val="nil"/>
                  </w:tcBorders>
                  <w:noWrap w:val="0"/>
                  <w:vAlign w:val="center"/>
                </w:tcPr>
                <w:p w14:paraId="53557AEF">
                  <w:pPr>
                    <w:widowControl/>
                    <w:jc w:val="center"/>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80</w:t>
                  </w:r>
                </w:p>
              </w:tc>
              <w:tc>
                <w:tcPr>
                  <w:tcW w:w="287" w:type="pct"/>
                  <w:vMerge w:val="continue"/>
                  <w:tcBorders>
                    <w:tl2br w:val="nil"/>
                    <w:tr2bl w:val="nil"/>
                  </w:tcBorders>
                  <w:noWrap w:val="0"/>
                  <w:vAlign w:val="center"/>
                </w:tcPr>
                <w:p w14:paraId="7559F05B">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45" w:type="pct"/>
                  <w:tcBorders>
                    <w:tl2br w:val="nil"/>
                    <w:tr2bl w:val="nil"/>
                  </w:tcBorders>
                  <w:shd w:val="clear" w:color="auto" w:fill="auto"/>
                  <w:noWrap w:val="0"/>
                  <w:vAlign w:val="center"/>
                </w:tcPr>
                <w:p w14:paraId="7C947BC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9.5</w:t>
                  </w:r>
                </w:p>
              </w:tc>
              <w:tc>
                <w:tcPr>
                  <w:tcW w:w="189" w:type="pct"/>
                  <w:tcBorders>
                    <w:tl2br w:val="nil"/>
                    <w:tr2bl w:val="nil"/>
                  </w:tcBorders>
                  <w:shd w:val="clear" w:color="auto" w:fill="auto"/>
                  <w:noWrap w:val="0"/>
                  <w:vAlign w:val="center"/>
                </w:tcPr>
                <w:p w14:paraId="21EC59A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3</w:t>
                  </w:r>
                </w:p>
              </w:tc>
              <w:tc>
                <w:tcPr>
                  <w:tcW w:w="187" w:type="pct"/>
                  <w:tcBorders>
                    <w:tl2br w:val="nil"/>
                    <w:tr2bl w:val="nil"/>
                  </w:tcBorders>
                  <w:shd w:val="clear" w:color="auto" w:fill="auto"/>
                  <w:noWrap w:val="0"/>
                  <w:vAlign w:val="center"/>
                </w:tcPr>
                <w:p w14:paraId="4D6C9AD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1.0</w:t>
                  </w:r>
                </w:p>
              </w:tc>
              <w:tc>
                <w:tcPr>
                  <w:tcW w:w="204" w:type="pct"/>
                  <w:tcBorders>
                    <w:tl2br w:val="nil"/>
                    <w:tr2bl w:val="nil"/>
                  </w:tcBorders>
                  <w:shd w:val="clear" w:color="auto" w:fill="auto"/>
                  <w:noWrap w:val="0"/>
                  <w:vAlign w:val="center"/>
                </w:tcPr>
                <w:p w14:paraId="65276B63">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w:t>
                  </w:r>
                </w:p>
              </w:tc>
              <w:tc>
                <w:tcPr>
                  <w:tcW w:w="204" w:type="pct"/>
                  <w:tcBorders>
                    <w:tl2br w:val="nil"/>
                    <w:tr2bl w:val="nil"/>
                  </w:tcBorders>
                  <w:shd w:val="clear" w:color="auto" w:fill="auto"/>
                  <w:noWrap w:val="0"/>
                  <w:vAlign w:val="center"/>
                </w:tcPr>
                <w:p w14:paraId="0F71F251">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28</w:t>
                  </w:r>
                </w:p>
              </w:tc>
              <w:tc>
                <w:tcPr>
                  <w:tcW w:w="188" w:type="pct"/>
                  <w:tcBorders>
                    <w:tl2br w:val="nil"/>
                    <w:tr2bl w:val="nil"/>
                  </w:tcBorders>
                  <w:shd w:val="clear" w:color="auto" w:fill="auto"/>
                  <w:noWrap w:val="0"/>
                  <w:vAlign w:val="center"/>
                </w:tcPr>
                <w:p w14:paraId="296BD501">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22</w:t>
                  </w:r>
                </w:p>
              </w:tc>
              <w:tc>
                <w:tcPr>
                  <w:tcW w:w="208" w:type="pct"/>
                  <w:tcBorders>
                    <w:tl2br w:val="nil"/>
                    <w:tr2bl w:val="nil"/>
                  </w:tcBorders>
                  <w:shd w:val="clear" w:color="auto" w:fill="auto"/>
                  <w:noWrap w:val="0"/>
                  <w:vAlign w:val="center"/>
                </w:tcPr>
                <w:p w14:paraId="1CFA8009">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color w:val="auto"/>
                      <w:spacing w:val="-2"/>
                      <w:kern w:val="2"/>
                      <w:sz w:val="21"/>
                      <w:szCs w:val="21"/>
                      <w:highlight w:val="none"/>
                      <w:lang w:val="en-US" w:eastAsia="zh-CN" w:bidi="ar-SA"/>
                    </w:rPr>
                  </w:pPr>
                  <w:r>
                    <w:rPr>
                      <w:rFonts w:hint="eastAsia" w:cs="Times New Roman"/>
                      <w:b w:val="0"/>
                      <w:color w:val="auto"/>
                      <w:spacing w:val="-2"/>
                      <w:kern w:val="2"/>
                      <w:sz w:val="21"/>
                      <w:szCs w:val="21"/>
                      <w:highlight w:val="none"/>
                      <w:lang w:val="en-US" w:eastAsia="zh-CN" w:bidi="ar-SA"/>
                    </w:rPr>
                    <w:t>22</w:t>
                  </w:r>
                </w:p>
              </w:tc>
              <w:tc>
                <w:tcPr>
                  <w:tcW w:w="162" w:type="pct"/>
                  <w:tcBorders>
                    <w:tl2br w:val="nil"/>
                    <w:tr2bl w:val="nil"/>
                  </w:tcBorders>
                  <w:shd w:val="clear" w:color="auto" w:fill="auto"/>
                  <w:noWrap w:val="0"/>
                  <w:vAlign w:val="center"/>
                </w:tcPr>
                <w:p w14:paraId="502E8F41">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70</w:t>
                  </w:r>
                </w:p>
              </w:tc>
              <w:tc>
                <w:tcPr>
                  <w:tcW w:w="176" w:type="pct"/>
                  <w:tcBorders>
                    <w:tl2br w:val="nil"/>
                    <w:tr2bl w:val="nil"/>
                  </w:tcBorders>
                  <w:shd w:val="clear" w:color="auto" w:fill="auto"/>
                  <w:noWrap w:val="0"/>
                  <w:vAlign w:val="center"/>
                </w:tcPr>
                <w:p w14:paraId="53A97702">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51</w:t>
                  </w:r>
                </w:p>
              </w:tc>
              <w:tc>
                <w:tcPr>
                  <w:tcW w:w="177" w:type="pct"/>
                  <w:tcBorders>
                    <w:tl2br w:val="nil"/>
                    <w:tr2bl w:val="nil"/>
                  </w:tcBorders>
                  <w:shd w:val="clear" w:color="auto" w:fill="auto"/>
                  <w:noWrap w:val="0"/>
                  <w:vAlign w:val="center"/>
                </w:tcPr>
                <w:p w14:paraId="4E2EA2DA">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53</w:t>
                  </w:r>
                </w:p>
              </w:tc>
              <w:tc>
                <w:tcPr>
                  <w:tcW w:w="190" w:type="pct"/>
                  <w:tcBorders>
                    <w:tl2br w:val="nil"/>
                    <w:tr2bl w:val="nil"/>
                  </w:tcBorders>
                  <w:shd w:val="clear" w:color="auto" w:fill="auto"/>
                  <w:noWrap w:val="0"/>
                  <w:vAlign w:val="center"/>
                </w:tcPr>
                <w:p w14:paraId="682C9341">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53</w:t>
                  </w:r>
                </w:p>
              </w:tc>
              <w:tc>
                <w:tcPr>
                  <w:tcW w:w="227" w:type="pct"/>
                  <w:tcBorders>
                    <w:tl2br w:val="nil"/>
                    <w:tr2bl w:val="nil"/>
                  </w:tcBorders>
                  <w:noWrap w:val="0"/>
                  <w:vAlign w:val="center"/>
                </w:tcPr>
                <w:p w14:paraId="2A319C2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eastAsia" w:cs="Times New Roman"/>
                      <w:snapToGrid/>
                      <w:color w:val="auto"/>
                      <w:spacing w:val="0"/>
                      <w:kern w:val="0"/>
                      <w:position w:val="0"/>
                      <w:sz w:val="21"/>
                      <w:szCs w:val="21"/>
                      <w:highlight w:val="none"/>
                      <w:lang w:val="en-US" w:eastAsia="zh-CN"/>
                    </w:rPr>
                    <w:t>24</w:t>
                  </w:r>
                  <w:r>
                    <w:rPr>
                      <w:rFonts w:hint="default" w:ascii="Times New Roman" w:hAnsi="Times New Roman" w:eastAsia="宋体" w:cs="Times New Roman"/>
                      <w:snapToGrid/>
                      <w:color w:val="auto"/>
                      <w:spacing w:val="0"/>
                      <w:kern w:val="0"/>
                      <w:position w:val="0"/>
                      <w:sz w:val="21"/>
                      <w:szCs w:val="21"/>
                      <w:highlight w:val="none"/>
                      <w:lang w:val="en-US" w:eastAsia="zh-CN"/>
                    </w:rPr>
                    <w:t>h</w:t>
                  </w:r>
                </w:p>
              </w:tc>
              <w:tc>
                <w:tcPr>
                  <w:tcW w:w="305" w:type="pct"/>
                  <w:tcBorders>
                    <w:tl2br w:val="nil"/>
                    <w:tr2bl w:val="nil"/>
                  </w:tcBorders>
                  <w:noWrap w:val="0"/>
                  <w:vAlign w:val="center"/>
                </w:tcPr>
                <w:p w14:paraId="764D4F9C">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w:t>
                  </w:r>
                </w:p>
              </w:tc>
              <w:tc>
                <w:tcPr>
                  <w:tcW w:w="305" w:type="pct"/>
                  <w:tcBorders>
                    <w:tl2br w:val="nil"/>
                    <w:tr2bl w:val="nil"/>
                  </w:tcBorders>
                  <w:noWrap w:val="0"/>
                  <w:vAlign w:val="center"/>
                </w:tcPr>
                <w:p w14:paraId="0FC203D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50</w:t>
                  </w:r>
                </w:p>
              </w:tc>
              <w:tc>
                <w:tcPr>
                  <w:tcW w:w="250" w:type="pct"/>
                  <w:tcBorders>
                    <w:tl2br w:val="nil"/>
                    <w:tr2bl w:val="nil"/>
                  </w:tcBorders>
                  <w:noWrap w:val="0"/>
                  <w:vAlign w:val="center"/>
                </w:tcPr>
                <w:p w14:paraId="14F1A4D9">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1m</w:t>
                  </w:r>
                </w:p>
              </w:tc>
            </w:tr>
            <w:tr w14:paraId="3E98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 w:type="pct"/>
                  <w:tcBorders>
                    <w:tl2br w:val="nil"/>
                    <w:tr2bl w:val="nil"/>
                  </w:tcBorders>
                  <w:noWrap w:val="0"/>
                  <w:vAlign w:val="center"/>
                </w:tcPr>
                <w:p w14:paraId="25A23DD4">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8</w:t>
                  </w:r>
                </w:p>
              </w:tc>
              <w:tc>
                <w:tcPr>
                  <w:tcW w:w="195" w:type="pct"/>
                  <w:vMerge w:val="continue"/>
                  <w:tcBorders>
                    <w:tl2br w:val="nil"/>
                    <w:tr2bl w:val="nil"/>
                  </w:tcBorders>
                  <w:noWrap w:val="0"/>
                  <w:vAlign w:val="center"/>
                </w:tcPr>
                <w:p w14:paraId="31B68266">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eastAsia" w:cs="Times New Roman"/>
                      <w:color w:val="auto"/>
                      <w:sz w:val="21"/>
                      <w:szCs w:val="21"/>
                      <w:highlight w:val="none"/>
                      <w:lang w:val="en-US" w:eastAsia="zh-CN"/>
                    </w:rPr>
                  </w:pPr>
                </w:p>
              </w:tc>
              <w:tc>
                <w:tcPr>
                  <w:tcW w:w="284" w:type="pct"/>
                  <w:tcBorders>
                    <w:tl2br w:val="nil"/>
                    <w:tr2bl w:val="nil"/>
                  </w:tcBorders>
                  <w:shd w:val="clear" w:color="auto" w:fill="auto"/>
                  <w:noWrap w:val="0"/>
                  <w:vAlign w:val="center"/>
                </w:tcPr>
                <w:p w14:paraId="67FAD0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4"/>
                      <w:lang w:val="en-US" w:eastAsia="zh-CN" w:bidi="ar-SA"/>
                    </w:rPr>
                  </w:pPr>
                  <w:r>
                    <w:rPr>
                      <w:rFonts w:hint="eastAsia"/>
                      <w:color w:val="auto"/>
                    </w:rPr>
                    <w:t>注塑机</w:t>
                  </w:r>
                  <w:r>
                    <w:rPr>
                      <w:rFonts w:hint="eastAsia"/>
                      <w:color w:val="auto"/>
                      <w:lang w:val="en-US" w:eastAsia="zh-CN"/>
                    </w:rPr>
                    <w:t>4</w:t>
                  </w:r>
                </w:p>
              </w:tc>
              <w:tc>
                <w:tcPr>
                  <w:tcW w:w="516" w:type="pct"/>
                  <w:tcBorders>
                    <w:tl2br w:val="nil"/>
                    <w:tr2bl w:val="nil"/>
                  </w:tcBorders>
                  <w:shd w:val="clear" w:color="auto" w:fill="auto"/>
                  <w:noWrap w:val="0"/>
                  <w:vAlign w:val="center"/>
                </w:tcPr>
                <w:p w14:paraId="24823760">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eastAsia" w:ascii="Times New Roman" w:hAnsi="Times New Roman" w:eastAsia="宋体" w:cs="Times New Roman"/>
                      <w:color w:val="auto"/>
                      <w:kern w:val="2"/>
                      <w:sz w:val="21"/>
                      <w:szCs w:val="24"/>
                      <w:lang w:val="en-US" w:eastAsia="zh-CN" w:bidi="ar-SA"/>
                    </w:rPr>
                  </w:pPr>
                  <w:r>
                    <w:rPr>
                      <w:rFonts w:hint="eastAsia"/>
                      <w:color w:val="auto"/>
                    </w:rPr>
                    <w:t>LT-LT-1001</w:t>
                  </w:r>
                </w:p>
              </w:tc>
              <w:tc>
                <w:tcPr>
                  <w:tcW w:w="333" w:type="pct"/>
                  <w:tcBorders>
                    <w:tl2br w:val="nil"/>
                    <w:tr2bl w:val="nil"/>
                  </w:tcBorders>
                  <w:noWrap w:val="0"/>
                  <w:vAlign w:val="center"/>
                </w:tcPr>
                <w:p w14:paraId="61A13E0F">
                  <w:pPr>
                    <w:widowControl/>
                    <w:jc w:val="center"/>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80</w:t>
                  </w:r>
                </w:p>
              </w:tc>
              <w:tc>
                <w:tcPr>
                  <w:tcW w:w="287" w:type="pct"/>
                  <w:vMerge w:val="continue"/>
                  <w:tcBorders>
                    <w:tl2br w:val="nil"/>
                    <w:tr2bl w:val="nil"/>
                  </w:tcBorders>
                  <w:noWrap w:val="0"/>
                  <w:vAlign w:val="center"/>
                </w:tcPr>
                <w:p w14:paraId="4C19D3D4">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45" w:type="pct"/>
                  <w:tcBorders>
                    <w:tl2br w:val="nil"/>
                    <w:tr2bl w:val="nil"/>
                  </w:tcBorders>
                  <w:shd w:val="clear" w:color="auto" w:fill="auto"/>
                  <w:noWrap w:val="0"/>
                  <w:vAlign w:val="center"/>
                </w:tcPr>
                <w:p w14:paraId="75171FB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9.5</w:t>
                  </w:r>
                </w:p>
              </w:tc>
              <w:tc>
                <w:tcPr>
                  <w:tcW w:w="189" w:type="pct"/>
                  <w:tcBorders>
                    <w:tl2br w:val="nil"/>
                    <w:tr2bl w:val="nil"/>
                  </w:tcBorders>
                  <w:shd w:val="clear" w:color="auto" w:fill="auto"/>
                  <w:noWrap w:val="0"/>
                  <w:vAlign w:val="center"/>
                </w:tcPr>
                <w:p w14:paraId="4FCC3FD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-3</w:t>
                  </w:r>
                </w:p>
              </w:tc>
              <w:tc>
                <w:tcPr>
                  <w:tcW w:w="187" w:type="pct"/>
                  <w:tcBorders>
                    <w:tl2br w:val="nil"/>
                    <w:tr2bl w:val="nil"/>
                  </w:tcBorders>
                  <w:shd w:val="clear" w:color="auto" w:fill="auto"/>
                  <w:noWrap w:val="0"/>
                  <w:vAlign w:val="center"/>
                </w:tcPr>
                <w:p w14:paraId="50046A7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1.0</w:t>
                  </w:r>
                </w:p>
              </w:tc>
              <w:tc>
                <w:tcPr>
                  <w:tcW w:w="204" w:type="pct"/>
                  <w:tcBorders>
                    <w:tl2br w:val="nil"/>
                    <w:tr2bl w:val="nil"/>
                  </w:tcBorders>
                  <w:shd w:val="clear" w:color="auto" w:fill="auto"/>
                  <w:noWrap w:val="0"/>
                  <w:vAlign w:val="center"/>
                </w:tcPr>
                <w:p w14:paraId="1CF5B9A2">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w:t>
                  </w:r>
                </w:p>
              </w:tc>
              <w:tc>
                <w:tcPr>
                  <w:tcW w:w="204" w:type="pct"/>
                  <w:tcBorders>
                    <w:tl2br w:val="nil"/>
                    <w:tr2bl w:val="nil"/>
                  </w:tcBorders>
                  <w:shd w:val="clear" w:color="auto" w:fill="auto"/>
                  <w:noWrap w:val="0"/>
                  <w:vAlign w:val="center"/>
                </w:tcPr>
                <w:p w14:paraId="119D53E6">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22</w:t>
                  </w:r>
                </w:p>
              </w:tc>
              <w:tc>
                <w:tcPr>
                  <w:tcW w:w="188" w:type="pct"/>
                  <w:tcBorders>
                    <w:tl2br w:val="nil"/>
                    <w:tr2bl w:val="nil"/>
                  </w:tcBorders>
                  <w:shd w:val="clear" w:color="auto" w:fill="auto"/>
                  <w:noWrap w:val="0"/>
                  <w:vAlign w:val="center"/>
                </w:tcPr>
                <w:p w14:paraId="6247A6EE">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22</w:t>
                  </w:r>
                </w:p>
              </w:tc>
              <w:tc>
                <w:tcPr>
                  <w:tcW w:w="208" w:type="pct"/>
                  <w:tcBorders>
                    <w:tl2br w:val="nil"/>
                    <w:tr2bl w:val="nil"/>
                  </w:tcBorders>
                  <w:shd w:val="clear" w:color="auto" w:fill="auto"/>
                  <w:noWrap w:val="0"/>
                  <w:vAlign w:val="center"/>
                </w:tcPr>
                <w:p w14:paraId="41592E62">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color w:val="auto"/>
                      <w:spacing w:val="-2"/>
                      <w:kern w:val="2"/>
                      <w:sz w:val="21"/>
                      <w:szCs w:val="21"/>
                      <w:highlight w:val="none"/>
                      <w:lang w:val="en-US" w:eastAsia="zh-CN" w:bidi="ar-SA"/>
                    </w:rPr>
                  </w:pPr>
                  <w:r>
                    <w:rPr>
                      <w:rFonts w:hint="eastAsia" w:cs="Times New Roman"/>
                      <w:b w:val="0"/>
                      <w:color w:val="auto"/>
                      <w:spacing w:val="-2"/>
                      <w:kern w:val="2"/>
                      <w:sz w:val="21"/>
                      <w:szCs w:val="21"/>
                      <w:highlight w:val="none"/>
                      <w:lang w:val="en-US" w:eastAsia="zh-CN" w:bidi="ar-SA"/>
                    </w:rPr>
                    <w:t>28</w:t>
                  </w:r>
                </w:p>
              </w:tc>
              <w:tc>
                <w:tcPr>
                  <w:tcW w:w="162" w:type="pct"/>
                  <w:tcBorders>
                    <w:tl2br w:val="nil"/>
                    <w:tr2bl w:val="nil"/>
                  </w:tcBorders>
                  <w:shd w:val="clear" w:color="auto" w:fill="auto"/>
                  <w:noWrap w:val="0"/>
                  <w:vAlign w:val="center"/>
                </w:tcPr>
                <w:p w14:paraId="3B3D42A5">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70</w:t>
                  </w:r>
                </w:p>
              </w:tc>
              <w:tc>
                <w:tcPr>
                  <w:tcW w:w="176" w:type="pct"/>
                  <w:tcBorders>
                    <w:tl2br w:val="nil"/>
                    <w:tr2bl w:val="nil"/>
                  </w:tcBorders>
                  <w:shd w:val="clear" w:color="auto" w:fill="auto"/>
                  <w:noWrap w:val="0"/>
                  <w:vAlign w:val="center"/>
                </w:tcPr>
                <w:p w14:paraId="7F45E93E">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53</w:t>
                  </w:r>
                </w:p>
              </w:tc>
              <w:tc>
                <w:tcPr>
                  <w:tcW w:w="177" w:type="pct"/>
                  <w:tcBorders>
                    <w:tl2br w:val="nil"/>
                    <w:tr2bl w:val="nil"/>
                  </w:tcBorders>
                  <w:shd w:val="clear" w:color="auto" w:fill="auto"/>
                  <w:noWrap w:val="0"/>
                  <w:vAlign w:val="center"/>
                </w:tcPr>
                <w:p w14:paraId="4DF96D47">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53</w:t>
                  </w:r>
                </w:p>
              </w:tc>
              <w:tc>
                <w:tcPr>
                  <w:tcW w:w="190" w:type="pct"/>
                  <w:tcBorders>
                    <w:tl2br w:val="nil"/>
                    <w:tr2bl w:val="nil"/>
                  </w:tcBorders>
                  <w:shd w:val="clear" w:color="auto" w:fill="auto"/>
                  <w:noWrap w:val="0"/>
                  <w:vAlign w:val="center"/>
                </w:tcPr>
                <w:p w14:paraId="5F932DC1">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51</w:t>
                  </w:r>
                </w:p>
              </w:tc>
              <w:tc>
                <w:tcPr>
                  <w:tcW w:w="227" w:type="pct"/>
                  <w:tcBorders>
                    <w:tl2br w:val="nil"/>
                    <w:tr2bl w:val="nil"/>
                  </w:tcBorders>
                  <w:noWrap w:val="0"/>
                  <w:vAlign w:val="center"/>
                </w:tcPr>
                <w:p w14:paraId="5516336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snapToGrid/>
                      <w:color w:val="auto"/>
                      <w:spacing w:val="0"/>
                      <w:kern w:val="0"/>
                      <w:position w:val="0"/>
                      <w:sz w:val="21"/>
                      <w:szCs w:val="21"/>
                      <w:highlight w:val="none"/>
                      <w:lang w:val="en-US" w:eastAsia="zh-CN"/>
                    </w:rPr>
                  </w:pPr>
                  <w:r>
                    <w:rPr>
                      <w:rFonts w:hint="eastAsia" w:cs="Times New Roman"/>
                      <w:snapToGrid/>
                      <w:color w:val="auto"/>
                      <w:spacing w:val="0"/>
                      <w:kern w:val="0"/>
                      <w:position w:val="0"/>
                      <w:sz w:val="21"/>
                      <w:szCs w:val="21"/>
                      <w:highlight w:val="none"/>
                      <w:lang w:val="en-US" w:eastAsia="zh-CN"/>
                    </w:rPr>
                    <w:t>24</w:t>
                  </w:r>
                  <w:r>
                    <w:rPr>
                      <w:rFonts w:hint="default" w:ascii="Times New Roman" w:hAnsi="Times New Roman" w:eastAsia="宋体" w:cs="Times New Roman"/>
                      <w:snapToGrid/>
                      <w:color w:val="auto"/>
                      <w:spacing w:val="0"/>
                      <w:kern w:val="0"/>
                      <w:position w:val="0"/>
                      <w:sz w:val="21"/>
                      <w:szCs w:val="21"/>
                      <w:highlight w:val="none"/>
                      <w:lang w:val="en-US" w:eastAsia="zh-CN"/>
                    </w:rPr>
                    <w:t>h</w:t>
                  </w:r>
                </w:p>
              </w:tc>
              <w:tc>
                <w:tcPr>
                  <w:tcW w:w="305" w:type="pct"/>
                  <w:tcBorders>
                    <w:tl2br w:val="nil"/>
                    <w:tr2bl w:val="nil"/>
                  </w:tcBorders>
                  <w:noWrap w:val="0"/>
                  <w:vAlign w:val="center"/>
                </w:tcPr>
                <w:p w14:paraId="0305E01A">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w:t>
                  </w:r>
                </w:p>
              </w:tc>
              <w:tc>
                <w:tcPr>
                  <w:tcW w:w="305" w:type="pct"/>
                  <w:tcBorders>
                    <w:tl2br w:val="nil"/>
                    <w:tr2bl w:val="nil"/>
                  </w:tcBorders>
                  <w:noWrap w:val="0"/>
                  <w:vAlign w:val="center"/>
                </w:tcPr>
                <w:p w14:paraId="05EA4346">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50</w:t>
                  </w:r>
                </w:p>
              </w:tc>
              <w:tc>
                <w:tcPr>
                  <w:tcW w:w="250" w:type="pct"/>
                  <w:tcBorders>
                    <w:tl2br w:val="nil"/>
                    <w:tr2bl w:val="nil"/>
                  </w:tcBorders>
                  <w:noWrap w:val="0"/>
                  <w:vAlign w:val="center"/>
                </w:tcPr>
                <w:p w14:paraId="0D0074EB">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1m</w:t>
                  </w:r>
                </w:p>
              </w:tc>
            </w:tr>
            <w:tr w14:paraId="0376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 w:type="pct"/>
                  <w:tcBorders>
                    <w:tl2br w:val="nil"/>
                    <w:tr2bl w:val="nil"/>
                  </w:tcBorders>
                  <w:noWrap w:val="0"/>
                  <w:vAlign w:val="center"/>
                </w:tcPr>
                <w:p w14:paraId="20AB44CD">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9</w:t>
                  </w:r>
                </w:p>
              </w:tc>
              <w:tc>
                <w:tcPr>
                  <w:tcW w:w="195" w:type="pct"/>
                  <w:vMerge w:val="continue"/>
                  <w:tcBorders>
                    <w:tl2br w:val="nil"/>
                    <w:tr2bl w:val="nil"/>
                  </w:tcBorders>
                  <w:noWrap w:val="0"/>
                  <w:vAlign w:val="center"/>
                </w:tcPr>
                <w:p w14:paraId="7A3AC9C9">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eastAsia" w:cs="Times New Roman"/>
                      <w:color w:val="auto"/>
                      <w:sz w:val="21"/>
                      <w:szCs w:val="21"/>
                      <w:highlight w:val="none"/>
                      <w:lang w:val="en-US" w:eastAsia="zh-CN"/>
                    </w:rPr>
                  </w:pPr>
                </w:p>
              </w:tc>
              <w:tc>
                <w:tcPr>
                  <w:tcW w:w="284" w:type="pct"/>
                  <w:tcBorders>
                    <w:tl2br w:val="nil"/>
                    <w:tr2bl w:val="nil"/>
                  </w:tcBorders>
                  <w:noWrap w:val="0"/>
                  <w:vAlign w:val="center"/>
                </w:tcPr>
                <w:p w14:paraId="0577DE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lang w:val="en-US" w:eastAsia="zh-CN"/>
                    </w:rPr>
                  </w:pPr>
                  <w:r>
                    <w:rPr>
                      <w:rFonts w:hint="eastAsia"/>
                      <w:color w:val="auto"/>
                    </w:rPr>
                    <w:t>震动研磨机</w:t>
                  </w:r>
                  <w:r>
                    <w:rPr>
                      <w:rFonts w:hint="eastAsia"/>
                      <w:color w:val="auto"/>
                      <w:lang w:val="en-US" w:eastAsia="zh-CN"/>
                    </w:rPr>
                    <w:t>1-3</w:t>
                  </w:r>
                </w:p>
              </w:tc>
              <w:tc>
                <w:tcPr>
                  <w:tcW w:w="516" w:type="pct"/>
                  <w:tcBorders>
                    <w:tl2br w:val="nil"/>
                    <w:tr2bl w:val="nil"/>
                  </w:tcBorders>
                  <w:noWrap w:val="0"/>
                  <w:vAlign w:val="center"/>
                </w:tcPr>
                <w:p w14:paraId="09AD08A7">
                  <w:pPr>
                    <w:keepNext w:val="0"/>
                    <w:keepLines w:val="0"/>
                    <w:pageBreakBefore w:val="0"/>
                    <w:tabs>
                      <w:tab w:val="left" w:pos="337"/>
                    </w:tabs>
                    <w:kinsoku/>
                    <w:wordWrap/>
                    <w:overflowPunct/>
                    <w:topLinePunct w:val="0"/>
                    <w:bidi w:val="0"/>
                    <w:adjustRightInd w:val="0"/>
                    <w:snapToGrid w:val="0"/>
                    <w:spacing w:line="240" w:lineRule="auto"/>
                    <w:ind w:right="0" w:rightChars="0"/>
                    <w:jc w:val="center"/>
                    <w:rPr>
                      <w:rFonts w:hint="eastAsia"/>
                      <w:color w:val="auto"/>
                    </w:rPr>
                  </w:pPr>
                  <w:r>
                    <w:rPr>
                      <w:rFonts w:hint="eastAsia"/>
                      <w:color w:val="auto"/>
                    </w:rPr>
                    <w:t>HZ-50L</w:t>
                  </w:r>
                </w:p>
              </w:tc>
              <w:tc>
                <w:tcPr>
                  <w:tcW w:w="333" w:type="pct"/>
                  <w:tcBorders>
                    <w:tl2br w:val="nil"/>
                    <w:tr2bl w:val="nil"/>
                  </w:tcBorders>
                  <w:noWrap w:val="0"/>
                  <w:vAlign w:val="center"/>
                </w:tcPr>
                <w:p w14:paraId="3E0D32E5">
                  <w:pPr>
                    <w:widowControl/>
                    <w:jc w:val="center"/>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70</w:t>
                  </w:r>
                </w:p>
              </w:tc>
              <w:tc>
                <w:tcPr>
                  <w:tcW w:w="287" w:type="pct"/>
                  <w:vMerge w:val="continue"/>
                  <w:tcBorders>
                    <w:tl2br w:val="nil"/>
                    <w:tr2bl w:val="nil"/>
                  </w:tcBorders>
                  <w:noWrap w:val="0"/>
                  <w:vAlign w:val="center"/>
                </w:tcPr>
                <w:p w14:paraId="72D340AD">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45" w:type="pct"/>
                  <w:tcBorders>
                    <w:tl2br w:val="nil"/>
                    <w:tr2bl w:val="nil"/>
                  </w:tcBorders>
                  <w:shd w:val="clear" w:color="auto" w:fill="auto"/>
                  <w:noWrap w:val="0"/>
                  <w:vAlign w:val="center"/>
                </w:tcPr>
                <w:p w14:paraId="1074DCC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-9.5</w:t>
                  </w:r>
                </w:p>
              </w:tc>
              <w:tc>
                <w:tcPr>
                  <w:tcW w:w="189" w:type="pct"/>
                  <w:tcBorders>
                    <w:tl2br w:val="nil"/>
                    <w:tr2bl w:val="nil"/>
                  </w:tcBorders>
                  <w:shd w:val="clear" w:color="auto" w:fill="auto"/>
                  <w:noWrap w:val="0"/>
                  <w:vAlign w:val="center"/>
                </w:tcPr>
                <w:p w14:paraId="2E94D2D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5</w:t>
                  </w:r>
                </w:p>
              </w:tc>
              <w:tc>
                <w:tcPr>
                  <w:tcW w:w="187" w:type="pct"/>
                  <w:tcBorders>
                    <w:tl2br w:val="nil"/>
                    <w:tr2bl w:val="nil"/>
                  </w:tcBorders>
                  <w:shd w:val="clear" w:color="auto" w:fill="auto"/>
                  <w:noWrap w:val="0"/>
                  <w:vAlign w:val="center"/>
                </w:tcPr>
                <w:p w14:paraId="352AB47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0.5</w:t>
                  </w:r>
                </w:p>
              </w:tc>
              <w:tc>
                <w:tcPr>
                  <w:tcW w:w="204" w:type="pct"/>
                  <w:tcBorders>
                    <w:tl2br w:val="nil"/>
                    <w:tr2bl w:val="nil"/>
                  </w:tcBorders>
                  <w:shd w:val="clear" w:color="auto" w:fill="auto"/>
                  <w:noWrap w:val="0"/>
                  <w:vAlign w:val="center"/>
                </w:tcPr>
                <w:p w14:paraId="191DD57C">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c>
                <w:tcPr>
                  <w:tcW w:w="204" w:type="pct"/>
                  <w:tcBorders>
                    <w:tl2br w:val="nil"/>
                    <w:tr2bl w:val="nil"/>
                  </w:tcBorders>
                  <w:shd w:val="clear" w:color="auto" w:fill="auto"/>
                  <w:noWrap w:val="0"/>
                  <w:vAlign w:val="center"/>
                </w:tcPr>
                <w:p w14:paraId="32BFDD90">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30</w:t>
                  </w:r>
                </w:p>
              </w:tc>
              <w:tc>
                <w:tcPr>
                  <w:tcW w:w="188" w:type="pct"/>
                  <w:tcBorders>
                    <w:tl2br w:val="nil"/>
                    <w:tr2bl w:val="nil"/>
                  </w:tcBorders>
                  <w:shd w:val="clear" w:color="auto" w:fill="auto"/>
                  <w:noWrap w:val="0"/>
                  <w:vAlign w:val="center"/>
                </w:tcPr>
                <w:p w14:paraId="343BEC29">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13</w:t>
                  </w:r>
                </w:p>
              </w:tc>
              <w:tc>
                <w:tcPr>
                  <w:tcW w:w="208" w:type="pct"/>
                  <w:tcBorders>
                    <w:tl2br w:val="nil"/>
                    <w:tr2bl w:val="nil"/>
                  </w:tcBorders>
                  <w:shd w:val="clear" w:color="auto" w:fill="auto"/>
                  <w:noWrap w:val="0"/>
                  <w:vAlign w:val="center"/>
                </w:tcPr>
                <w:p w14:paraId="49E91F6D">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color w:val="auto"/>
                      <w:spacing w:val="-2"/>
                      <w:kern w:val="2"/>
                      <w:sz w:val="21"/>
                      <w:szCs w:val="21"/>
                      <w:highlight w:val="none"/>
                      <w:lang w:val="en-US" w:eastAsia="zh-CN" w:bidi="ar-SA"/>
                    </w:rPr>
                  </w:pPr>
                  <w:r>
                    <w:rPr>
                      <w:rFonts w:hint="eastAsia" w:cs="Times New Roman"/>
                      <w:b w:val="0"/>
                      <w:color w:val="auto"/>
                      <w:spacing w:val="-2"/>
                      <w:kern w:val="2"/>
                      <w:sz w:val="21"/>
                      <w:szCs w:val="21"/>
                      <w:highlight w:val="none"/>
                      <w:lang w:val="en-US" w:eastAsia="zh-CN" w:bidi="ar-SA"/>
                    </w:rPr>
                    <w:t>20</w:t>
                  </w:r>
                </w:p>
              </w:tc>
              <w:tc>
                <w:tcPr>
                  <w:tcW w:w="162" w:type="pct"/>
                  <w:tcBorders>
                    <w:tl2br w:val="nil"/>
                    <w:tr2bl w:val="nil"/>
                  </w:tcBorders>
                  <w:shd w:val="clear" w:color="auto" w:fill="auto"/>
                  <w:noWrap w:val="0"/>
                  <w:vAlign w:val="center"/>
                </w:tcPr>
                <w:p w14:paraId="5A3BF5CE">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48</w:t>
                  </w:r>
                </w:p>
              </w:tc>
              <w:tc>
                <w:tcPr>
                  <w:tcW w:w="176" w:type="pct"/>
                  <w:tcBorders>
                    <w:tl2br w:val="nil"/>
                    <w:tr2bl w:val="nil"/>
                  </w:tcBorders>
                  <w:shd w:val="clear" w:color="auto" w:fill="auto"/>
                  <w:noWrap w:val="0"/>
                  <w:vAlign w:val="center"/>
                </w:tcPr>
                <w:p w14:paraId="4CACBD10">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40</w:t>
                  </w:r>
                </w:p>
              </w:tc>
              <w:tc>
                <w:tcPr>
                  <w:tcW w:w="177" w:type="pct"/>
                  <w:tcBorders>
                    <w:tl2br w:val="nil"/>
                    <w:tr2bl w:val="nil"/>
                  </w:tcBorders>
                  <w:shd w:val="clear" w:color="auto" w:fill="auto"/>
                  <w:noWrap w:val="0"/>
                  <w:vAlign w:val="center"/>
                </w:tcPr>
                <w:p w14:paraId="2574467C">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47</w:t>
                  </w:r>
                </w:p>
              </w:tc>
              <w:tc>
                <w:tcPr>
                  <w:tcW w:w="190" w:type="pct"/>
                  <w:tcBorders>
                    <w:tl2br w:val="nil"/>
                    <w:tr2bl w:val="nil"/>
                  </w:tcBorders>
                  <w:shd w:val="clear" w:color="auto" w:fill="auto"/>
                  <w:noWrap w:val="0"/>
                  <w:vAlign w:val="center"/>
                </w:tcPr>
                <w:p w14:paraId="3CF8AA3C">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44</w:t>
                  </w:r>
                </w:p>
              </w:tc>
              <w:tc>
                <w:tcPr>
                  <w:tcW w:w="227" w:type="pct"/>
                  <w:tcBorders>
                    <w:tl2br w:val="nil"/>
                    <w:tr2bl w:val="nil"/>
                  </w:tcBorders>
                  <w:noWrap w:val="0"/>
                  <w:vAlign w:val="center"/>
                </w:tcPr>
                <w:p w14:paraId="2924F7E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eastAsia" w:cs="Times New Roman"/>
                      <w:snapToGrid/>
                      <w:color w:val="auto"/>
                      <w:spacing w:val="0"/>
                      <w:kern w:val="0"/>
                      <w:position w:val="0"/>
                      <w:sz w:val="21"/>
                      <w:szCs w:val="21"/>
                      <w:highlight w:val="none"/>
                      <w:lang w:val="en-US" w:eastAsia="zh-CN"/>
                    </w:rPr>
                    <w:t>16h</w:t>
                  </w:r>
                </w:p>
              </w:tc>
              <w:tc>
                <w:tcPr>
                  <w:tcW w:w="305" w:type="pct"/>
                  <w:tcBorders>
                    <w:tl2br w:val="nil"/>
                    <w:tr2bl w:val="nil"/>
                  </w:tcBorders>
                  <w:noWrap w:val="0"/>
                  <w:vAlign w:val="center"/>
                </w:tcPr>
                <w:p w14:paraId="308B500E">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w:t>
                  </w:r>
                </w:p>
              </w:tc>
              <w:tc>
                <w:tcPr>
                  <w:tcW w:w="305" w:type="pct"/>
                  <w:tcBorders>
                    <w:tl2br w:val="nil"/>
                    <w:tr2bl w:val="nil"/>
                  </w:tcBorders>
                  <w:noWrap w:val="0"/>
                  <w:vAlign w:val="center"/>
                </w:tcPr>
                <w:p w14:paraId="72510AD1">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32</w:t>
                  </w:r>
                </w:p>
              </w:tc>
              <w:tc>
                <w:tcPr>
                  <w:tcW w:w="250" w:type="pct"/>
                  <w:tcBorders>
                    <w:tl2br w:val="nil"/>
                    <w:tr2bl w:val="nil"/>
                  </w:tcBorders>
                  <w:noWrap w:val="0"/>
                  <w:vAlign w:val="center"/>
                </w:tcPr>
                <w:p w14:paraId="261F8A1C">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1m</w:t>
                  </w:r>
                </w:p>
              </w:tc>
            </w:tr>
          </w:tbl>
          <w:p w14:paraId="5890E639">
            <w:pPr>
              <w:pStyle w:val="3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default" w:ascii="宋体" w:hAnsi="宋体" w:eastAsia="宋体" w:cs="宋体"/>
                <w:b/>
                <w:bCs/>
                <w:snapToGrid/>
                <w:color w:val="auto"/>
                <w:spacing w:val="0"/>
                <w:kern w:val="0"/>
                <w:position w:val="0"/>
                <w:szCs w:val="24"/>
                <w:lang w:val="en-US"/>
              </w:rPr>
            </w:pPr>
            <w:r>
              <w:rPr>
                <w:rFonts w:hint="eastAsia" w:ascii="宋体" w:hAnsi="宋体" w:eastAsia="宋体" w:cs="宋体"/>
                <w:b/>
                <w:bCs/>
                <w:color w:val="auto"/>
                <w:sz w:val="24"/>
                <w:szCs w:val="24"/>
                <w:lang w:val="en-US" w:eastAsia="zh-CN"/>
              </w:rPr>
              <w:t>注：室内声源分别以各建筑物中心为原点。</w:t>
            </w:r>
          </w:p>
          <w:p w14:paraId="4090F4E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eastAsia="宋体"/>
                <w:snapToGrid/>
                <w:color w:val="auto"/>
                <w:spacing w:val="0"/>
                <w:kern w:val="0"/>
                <w:position w:val="0"/>
                <w:sz w:val="24"/>
                <w:szCs w:val="24"/>
                <w:lang w:val="en-US" w:eastAsia="zh-CN"/>
              </w:rPr>
            </w:pPr>
            <w:r>
              <w:rPr>
                <w:rFonts w:hint="eastAsia"/>
                <w:b/>
                <w:bCs/>
                <w:snapToGrid/>
                <w:color w:val="auto"/>
                <w:spacing w:val="0"/>
                <w:kern w:val="0"/>
                <w:position w:val="0"/>
                <w:sz w:val="24"/>
                <w:szCs w:val="24"/>
                <w:lang w:val="en-US" w:eastAsia="zh-CN"/>
              </w:rPr>
              <w:t>表4.9  项目噪声源强一览表（室外声源） 单位：dB（A）</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1674"/>
              <w:gridCol w:w="1674"/>
              <w:gridCol w:w="1559"/>
              <w:gridCol w:w="1653"/>
              <w:gridCol w:w="1650"/>
              <w:gridCol w:w="1850"/>
              <w:gridCol w:w="1678"/>
            </w:tblGrid>
            <w:tr w14:paraId="67A6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24" w:type="pct"/>
                  <w:vMerge w:val="restart"/>
                  <w:tcBorders>
                    <w:tl2br w:val="nil"/>
                    <w:tr2bl w:val="nil"/>
                  </w:tcBorders>
                  <w:noWrap w:val="0"/>
                  <w:vAlign w:val="center"/>
                </w:tcPr>
                <w:p w14:paraId="76517349">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序号</w:t>
                  </w:r>
                </w:p>
              </w:tc>
              <w:tc>
                <w:tcPr>
                  <w:tcW w:w="624" w:type="pct"/>
                  <w:vMerge w:val="restart"/>
                  <w:tcBorders>
                    <w:tl2br w:val="nil"/>
                    <w:tr2bl w:val="nil"/>
                  </w:tcBorders>
                  <w:noWrap w:val="0"/>
                  <w:vAlign w:val="center"/>
                </w:tcPr>
                <w:p w14:paraId="5DBD00C4">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声源名称</w:t>
                  </w:r>
                </w:p>
              </w:tc>
              <w:tc>
                <w:tcPr>
                  <w:tcW w:w="624" w:type="pct"/>
                  <w:vMerge w:val="restart"/>
                  <w:tcBorders>
                    <w:tl2br w:val="nil"/>
                    <w:tr2bl w:val="nil"/>
                  </w:tcBorders>
                  <w:noWrap w:val="0"/>
                  <w:vAlign w:val="center"/>
                </w:tcPr>
                <w:p w14:paraId="18EBCDED">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型号</w:t>
                  </w:r>
                </w:p>
              </w:tc>
              <w:tc>
                <w:tcPr>
                  <w:tcW w:w="1812" w:type="pct"/>
                  <w:gridSpan w:val="3"/>
                  <w:tcBorders>
                    <w:tl2br w:val="nil"/>
                    <w:tr2bl w:val="nil"/>
                  </w:tcBorders>
                  <w:noWrap w:val="0"/>
                  <w:vAlign w:val="center"/>
                </w:tcPr>
                <w:p w14:paraId="15B4D964">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空间相对位置m</w:t>
                  </w:r>
                </w:p>
              </w:tc>
              <w:tc>
                <w:tcPr>
                  <w:tcW w:w="689" w:type="pct"/>
                  <w:tcBorders>
                    <w:tl2br w:val="nil"/>
                    <w:tr2bl w:val="nil"/>
                  </w:tcBorders>
                  <w:noWrap w:val="0"/>
                  <w:vAlign w:val="center"/>
                </w:tcPr>
                <w:p w14:paraId="66D65AEE">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声源源强dB（A）</w:t>
                  </w:r>
                </w:p>
              </w:tc>
              <w:tc>
                <w:tcPr>
                  <w:tcW w:w="625" w:type="pct"/>
                  <w:vMerge w:val="restart"/>
                  <w:tcBorders>
                    <w:tl2br w:val="nil"/>
                    <w:tr2bl w:val="nil"/>
                  </w:tcBorders>
                  <w:noWrap w:val="0"/>
                  <w:vAlign w:val="center"/>
                </w:tcPr>
                <w:p w14:paraId="57AFC444">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声源控制措施</w:t>
                  </w:r>
                </w:p>
              </w:tc>
            </w:tr>
            <w:tr w14:paraId="2462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24" w:type="pct"/>
                  <w:vMerge w:val="continue"/>
                  <w:tcBorders>
                    <w:tl2br w:val="nil"/>
                    <w:tr2bl w:val="nil"/>
                  </w:tcBorders>
                  <w:noWrap w:val="0"/>
                  <w:vAlign w:val="center"/>
                </w:tcPr>
                <w:p w14:paraId="4223F885">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jc w:val="center"/>
                    <w:textAlignment w:val="auto"/>
                    <w:rPr>
                      <w:rFonts w:hint="default" w:ascii="Times New Roman" w:hAnsi="Times New Roman" w:eastAsia="宋体" w:cs="Times New Roman"/>
                      <w:b w:val="0"/>
                      <w:bCs w:val="0"/>
                      <w:color w:val="auto"/>
                      <w:sz w:val="21"/>
                      <w:szCs w:val="21"/>
                      <w:lang w:val="en-US" w:eastAsia="zh-CN"/>
                    </w:rPr>
                  </w:pPr>
                </w:p>
              </w:tc>
              <w:tc>
                <w:tcPr>
                  <w:tcW w:w="624" w:type="pct"/>
                  <w:vMerge w:val="continue"/>
                  <w:tcBorders>
                    <w:tl2br w:val="nil"/>
                    <w:tr2bl w:val="nil"/>
                  </w:tcBorders>
                  <w:noWrap w:val="0"/>
                  <w:vAlign w:val="center"/>
                </w:tcPr>
                <w:p w14:paraId="79BB01A3">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jc w:val="center"/>
                    <w:textAlignment w:val="auto"/>
                    <w:rPr>
                      <w:rFonts w:hint="default" w:ascii="Times New Roman" w:hAnsi="Times New Roman" w:eastAsia="宋体" w:cs="Times New Roman"/>
                      <w:b w:val="0"/>
                      <w:bCs w:val="0"/>
                      <w:color w:val="auto"/>
                      <w:sz w:val="21"/>
                      <w:szCs w:val="21"/>
                      <w:lang w:val="en-US" w:eastAsia="zh-CN"/>
                    </w:rPr>
                  </w:pPr>
                </w:p>
              </w:tc>
              <w:tc>
                <w:tcPr>
                  <w:tcW w:w="624" w:type="pct"/>
                  <w:vMerge w:val="continue"/>
                  <w:tcBorders>
                    <w:tl2br w:val="nil"/>
                    <w:tr2bl w:val="nil"/>
                  </w:tcBorders>
                  <w:noWrap w:val="0"/>
                  <w:vAlign w:val="center"/>
                </w:tcPr>
                <w:p w14:paraId="4FADC84C">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jc w:val="center"/>
                    <w:textAlignment w:val="auto"/>
                    <w:rPr>
                      <w:rFonts w:hint="default" w:ascii="Times New Roman" w:hAnsi="Times New Roman" w:eastAsia="宋体" w:cs="Times New Roman"/>
                      <w:b w:val="0"/>
                      <w:bCs w:val="0"/>
                      <w:color w:val="auto"/>
                      <w:sz w:val="21"/>
                      <w:szCs w:val="21"/>
                      <w:lang w:val="en-US" w:eastAsia="zh-CN"/>
                    </w:rPr>
                  </w:pPr>
                </w:p>
              </w:tc>
              <w:tc>
                <w:tcPr>
                  <w:tcW w:w="581" w:type="pct"/>
                  <w:tcBorders>
                    <w:tl2br w:val="nil"/>
                    <w:tr2bl w:val="nil"/>
                  </w:tcBorders>
                  <w:noWrap w:val="0"/>
                  <w:vAlign w:val="center"/>
                </w:tcPr>
                <w:p w14:paraId="54959634">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X</w:t>
                  </w:r>
                </w:p>
              </w:tc>
              <w:tc>
                <w:tcPr>
                  <w:tcW w:w="616" w:type="pct"/>
                  <w:tcBorders>
                    <w:tl2br w:val="nil"/>
                    <w:tr2bl w:val="nil"/>
                  </w:tcBorders>
                  <w:noWrap w:val="0"/>
                  <w:vAlign w:val="center"/>
                </w:tcPr>
                <w:p w14:paraId="0ABC922C">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Y</w:t>
                  </w:r>
                </w:p>
              </w:tc>
              <w:tc>
                <w:tcPr>
                  <w:tcW w:w="615" w:type="pct"/>
                  <w:tcBorders>
                    <w:tl2br w:val="nil"/>
                    <w:tr2bl w:val="nil"/>
                  </w:tcBorders>
                  <w:noWrap w:val="0"/>
                  <w:vAlign w:val="center"/>
                </w:tcPr>
                <w:p w14:paraId="09581540">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Z</w:t>
                  </w:r>
                </w:p>
              </w:tc>
              <w:tc>
                <w:tcPr>
                  <w:tcW w:w="689" w:type="pct"/>
                  <w:tcBorders>
                    <w:tl2br w:val="nil"/>
                    <w:tr2bl w:val="nil"/>
                  </w:tcBorders>
                  <w:noWrap w:val="0"/>
                  <w:vAlign w:val="center"/>
                </w:tcPr>
                <w:p w14:paraId="1D1B768E">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声功率级</w:t>
                  </w:r>
                </w:p>
              </w:tc>
              <w:tc>
                <w:tcPr>
                  <w:tcW w:w="625" w:type="pct"/>
                  <w:vMerge w:val="continue"/>
                  <w:tcBorders>
                    <w:tl2br w:val="nil"/>
                    <w:tr2bl w:val="nil"/>
                  </w:tcBorders>
                  <w:noWrap w:val="0"/>
                  <w:vAlign w:val="center"/>
                </w:tcPr>
                <w:p w14:paraId="4E0325B2">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jc w:val="center"/>
                    <w:textAlignment w:val="auto"/>
                    <w:rPr>
                      <w:rFonts w:hint="default" w:ascii="Times New Roman" w:hAnsi="Times New Roman" w:eastAsia="宋体" w:cs="Times New Roman"/>
                      <w:b w:val="0"/>
                      <w:bCs w:val="0"/>
                      <w:color w:val="auto"/>
                      <w:sz w:val="21"/>
                      <w:szCs w:val="21"/>
                      <w:lang w:val="en-US" w:eastAsia="zh-CN"/>
                    </w:rPr>
                  </w:pPr>
                </w:p>
              </w:tc>
            </w:tr>
            <w:tr w14:paraId="5498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4" w:type="pct"/>
                  <w:tcBorders>
                    <w:tl2br w:val="nil"/>
                    <w:tr2bl w:val="nil"/>
                  </w:tcBorders>
                  <w:noWrap w:val="0"/>
                  <w:vAlign w:val="center"/>
                </w:tcPr>
                <w:p w14:paraId="73972395">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w:t>
                  </w:r>
                </w:p>
              </w:tc>
              <w:tc>
                <w:tcPr>
                  <w:tcW w:w="624" w:type="pct"/>
                  <w:tcBorders>
                    <w:tl2br w:val="nil"/>
                    <w:tr2bl w:val="nil"/>
                  </w:tcBorders>
                  <w:noWrap w:val="0"/>
                  <w:vAlign w:val="center"/>
                </w:tcPr>
                <w:p w14:paraId="1D13CB40">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1#风机</w:t>
                  </w:r>
                </w:p>
              </w:tc>
              <w:tc>
                <w:tcPr>
                  <w:tcW w:w="624" w:type="pct"/>
                  <w:tcBorders>
                    <w:tl2br w:val="nil"/>
                    <w:tr2bl w:val="nil"/>
                  </w:tcBorders>
                  <w:noWrap w:val="0"/>
                  <w:vAlign w:val="center"/>
                </w:tcPr>
                <w:p w14:paraId="0D405A83">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w:t>
                  </w:r>
                </w:p>
              </w:tc>
              <w:tc>
                <w:tcPr>
                  <w:tcW w:w="581" w:type="pct"/>
                  <w:tcBorders>
                    <w:tl2br w:val="nil"/>
                    <w:tr2bl w:val="nil"/>
                  </w:tcBorders>
                  <w:shd w:val="clear" w:color="auto" w:fill="auto"/>
                  <w:noWrap w:val="0"/>
                  <w:vAlign w:val="center"/>
                </w:tcPr>
                <w:p w14:paraId="78E1A192">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420" w:leftChars="0" w:hanging="420" w:hangingChars="20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-27</w:t>
                  </w:r>
                </w:p>
              </w:tc>
              <w:tc>
                <w:tcPr>
                  <w:tcW w:w="616" w:type="pct"/>
                  <w:tcBorders>
                    <w:tl2br w:val="nil"/>
                    <w:tr2bl w:val="nil"/>
                  </w:tcBorders>
                  <w:shd w:val="clear" w:color="auto" w:fill="auto"/>
                  <w:noWrap w:val="0"/>
                  <w:vAlign w:val="center"/>
                </w:tcPr>
                <w:p w14:paraId="42FFB281">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420" w:leftChars="0" w:hanging="420" w:hangingChars="20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-23</w:t>
                  </w:r>
                </w:p>
              </w:tc>
              <w:tc>
                <w:tcPr>
                  <w:tcW w:w="615" w:type="pct"/>
                  <w:tcBorders>
                    <w:tl2br w:val="nil"/>
                    <w:tr2bl w:val="nil"/>
                  </w:tcBorders>
                  <w:shd w:val="clear" w:color="auto" w:fill="auto"/>
                  <w:noWrap w:val="0"/>
                  <w:vAlign w:val="center"/>
                </w:tcPr>
                <w:p w14:paraId="30998753">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420" w:leftChars="0" w:hanging="420" w:hangingChars="20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0.5</w:t>
                  </w:r>
                </w:p>
              </w:tc>
              <w:tc>
                <w:tcPr>
                  <w:tcW w:w="689" w:type="pct"/>
                  <w:tcBorders>
                    <w:tl2br w:val="nil"/>
                    <w:tr2bl w:val="nil"/>
                  </w:tcBorders>
                  <w:noWrap w:val="0"/>
                  <w:vAlign w:val="center"/>
                </w:tcPr>
                <w:p w14:paraId="672E4098">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90</w:t>
                  </w:r>
                </w:p>
              </w:tc>
              <w:tc>
                <w:tcPr>
                  <w:tcW w:w="625" w:type="pct"/>
                  <w:vMerge w:val="restart"/>
                  <w:tcBorders>
                    <w:tl2br w:val="nil"/>
                    <w:tr2bl w:val="nil"/>
                  </w:tcBorders>
                  <w:noWrap w:val="0"/>
                  <w:vAlign w:val="center"/>
                </w:tcPr>
                <w:p w14:paraId="0A5314BC">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减振、消声器</w:t>
                  </w:r>
                </w:p>
              </w:tc>
            </w:tr>
            <w:tr w14:paraId="09C56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4" w:type="pct"/>
                  <w:tcBorders>
                    <w:tl2br w:val="nil"/>
                    <w:tr2bl w:val="nil"/>
                  </w:tcBorders>
                  <w:noWrap w:val="0"/>
                  <w:vAlign w:val="center"/>
                </w:tcPr>
                <w:p w14:paraId="143F23A3">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2</w:t>
                  </w:r>
                </w:p>
              </w:tc>
              <w:tc>
                <w:tcPr>
                  <w:tcW w:w="624" w:type="pct"/>
                  <w:tcBorders>
                    <w:tl2br w:val="nil"/>
                    <w:tr2bl w:val="nil"/>
                  </w:tcBorders>
                  <w:noWrap w:val="0"/>
                  <w:vAlign w:val="center"/>
                </w:tcPr>
                <w:p w14:paraId="03788817">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w:t>
                  </w:r>
                  <w:r>
                    <w:rPr>
                      <w:rFonts w:hint="default" w:ascii="Times New Roman" w:hAnsi="Times New Roman" w:eastAsia="宋体" w:cs="Times New Roman"/>
                      <w:b w:val="0"/>
                      <w:bCs w:val="0"/>
                      <w:color w:val="auto"/>
                      <w:sz w:val="21"/>
                      <w:szCs w:val="21"/>
                      <w:lang w:val="en-US" w:eastAsia="zh-CN"/>
                    </w:rPr>
                    <w:t>#风机</w:t>
                  </w:r>
                </w:p>
              </w:tc>
              <w:tc>
                <w:tcPr>
                  <w:tcW w:w="624" w:type="pct"/>
                  <w:tcBorders>
                    <w:tl2br w:val="nil"/>
                    <w:tr2bl w:val="nil"/>
                  </w:tcBorders>
                  <w:noWrap w:val="0"/>
                  <w:vAlign w:val="center"/>
                </w:tcPr>
                <w:p w14:paraId="67E89D77">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w:t>
                  </w:r>
                </w:p>
              </w:tc>
              <w:tc>
                <w:tcPr>
                  <w:tcW w:w="581" w:type="pct"/>
                  <w:tcBorders>
                    <w:tl2br w:val="nil"/>
                    <w:tr2bl w:val="nil"/>
                  </w:tcBorders>
                  <w:shd w:val="clear" w:color="auto" w:fill="auto"/>
                  <w:noWrap w:val="0"/>
                  <w:vAlign w:val="center"/>
                </w:tcPr>
                <w:p w14:paraId="2F173B0B">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420" w:leftChars="0" w:hanging="420" w:hangingChars="20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-27</w:t>
                  </w:r>
                </w:p>
              </w:tc>
              <w:tc>
                <w:tcPr>
                  <w:tcW w:w="616" w:type="pct"/>
                  <w:tcBorders>
                    <w:tl2br w:val="nil"/>
                    <w:tr2bl w:val="nil"/>
                  </w:tcBorders>
                  <w:shd w:val="clear" w:color="auto" w:fill="auto"/>
                  <w:noWrap w:val="0"/>
                  <w:vAlign w:val="center"/>
                </w:tcPr>
                <w:p w14:paraId="3EA9A4C3">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420" w:leftChars="0" w:hanging="420" w:hangingChars="20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--22</w:t>
                  </w:r>
                </w:p>
              </w:tc>
              <w:tc>
                <w:tcPr>
                  <w:tcW w:w="615" w:type="pct"/>
                  <w:tcBorders>
                    <w:tl2br w:val="nil"/>
                    <w:tr2bl w:val="nil"/>
                  </w:tcBorders>
                  <w:shd w:val="clear" w:color="auto" w:fill="auto"/>
                  <w:noWrap w:val="0"/>
                  <w:vAlign w:val="center"/>
                </w:tcPr>
                <w:p w14:paraId="5DF4CD39">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420" w:leftChars="0" w:hanging="420" w:hangingChars="20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0.5</w:t>
                  </w:r>
                </w:p>
              </w:tc>
              <w:tc>
                <w:tcPr>
                  <w:tcW w:w="689" w:type="pct"/>
                  <w:tcBorders>
                    <w:tl2br w:val="nil"/>
                    <w:tr2bl w:val="nil"/>
                  </w:tcBorders>
                  <w:noWrap w:val="0"/>
                  <w:vAlign w:val="center"/>
                </w:tcPr>
                <w:p w14:paraId="1F4A2747">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420" w:leftChars="0" w:hanging="420" w:hangingChars="20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sz w:val="21"/>
                      <w:szCs w:val="21"/>
                      <w:lang w:val="en-US" w:eastAsia="zh-CN"/>
                    </w:rPr>
                    <w:t>85</w:t>
                  </w:r>
                </w:p>
              </w:tc>
              <w:tc>
                <w:tcPr>
                  <w:tcW w:w="625" w:type="pct"/>
                  <w:vMerge w:val="continue"/>
                  <w:tcBorders>
                    <w:tl2br w:val="nil"/>
                    <w:tr2bl w:val="nil"/>
                  </w:tcBorders>
                  <w:noWrap w:val="0"/>
                  <w:vAlign w:val="center"/>
                </w:tcPr>
                <w:p w14:paraId="618D7C38">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420" w:leftChars="0" w:hanging="420" w:hangingChars="200"/>
                    <w:jc w:val="center"/>
                    <w:textAlignment w:val="auto"/>
                    <w:rPr>
                      <w:rFonts w:hint="default" w:ascii="Times New Roman" w:hAnsi="Times New Roman" w:eastAsia="宋体" w:cs="Times New Roman"/>
                      <w:b w:val="0"/>
                      <w:bCs w:val="0"/>
                      <w:color w:val="auto"/>
                      <w:kern w:val="2"/>
                      <w:sz w:val="21"/>
                      <w:szCs w:val="21"/>
                      <w:lang w:val="en-US" w:eastAsia="zh-CN" w:bidi="ar-SA"/>
                    </w:rPr>
                  </w:pPr>
                </w:p>
              </w:tc>
            </w:tr>
            <w:tr w14:paraId="663A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4" w:type="pct"/>
                  <w:tcBorders>
                    <w:tl2br w:val="nil"/>
                    <w:tr2bl w:val="nil"/>
                  </w:tcBorders>
                  <w:noWrap w:val="0"/>
                  <w:vAlign w:val="center"/>
                </w:tcPr>
                <w:p w14:paraId="096B604C">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3</w:t>
                  </w:r>
                </w:p>
              </w:tc>
              <w:tc>
                <w:tcPr>
                  <w:tcW w:w="624" w:type="pct"/>
                  <w:tcBorders>
                    <w:tl2br w:val="nil"/>
                    <w:tr2bl w:val="nil"/>
                  </w:tcBorders>
                  <w:noWrap w:val="0"/>
                  <w:vAlign w:val="center"/>
                </w:tcPr>
                <w:p w14:paraId="7BD1311A">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w:t>
                  </w:r>
                  <w:r>
                    <w:rPr>
                      <w:rFonts w:hint="default" w:ascii="Times New Roman" w:hAnsi="Times New Roman" w:eastAsia="宋体" w:cs="Times New Roman"/>
                      <w:b w:val="0"/>
                      <w:bCs w:val="0"/>
                      <w:color w:val="auto"/>
                      <w:sz w:val="21"/>
                      <w:szCs w:val="21"/>
                      <w:lang w:val="en-US" w:eastAsia="zh-CN"/>
                    </w:rPr>
                    <w:t>#风机</w:t>
                  </w:r>
                </w:p>
              </w:tc>
              <w:tc>
                <w:tcPr>
                  <w:tcW w:w="624" w:type="pct"/>
                  <w:tcBorders>
                    <w:tl2br w:val="nil"/>
                    <w:tr2bl w:val="nil"/>
                  </w:tcBorders>
                  <w:noWrap w:val="0"/>
                  <w:vAlign w:val="center"/>
                </w:tcPr>
                <w:p w14:paraId="5FC2EE50">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w:t>
                  </w:r>
                </w:p>
              </w:tc>
              <w:tc>
                <w:tcPr>
                  <w:tcW w:w="581" w:type="pct"/>
                  <w:tcBorders>
                    <w:tl2br w:val="nil"/>
                    <w:tr2bl w:val="nil"/>
                  </w:tcBorders>
                  <w:shd w:val="clear" w:color="auto" w:fill="auto"/>
                  <w:noWrap w:val="0"/>
                  <w:vAlign w:val="center"/>
                </w:tcPr>
                <w:p w14:paraId="5806CA2C">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420" w:leftChars="0" w:hanging="420" w:hangingChars="20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13</w:t>
                  </w:r>
                </w:p>
              </w:tc>
              <w:tc>
                <w:tcPr>
                  <w:tcW w:w="616" w:type="pct"/>
                  <w:tcBorders>
                    <w:tl2br w:val="nil"/>
                    <w:tr2bl w:val="nil"/>
                  </w:tcBorders>
                  <w:shd w:val="clear" w:color="auto" w:fill="auto"/>
                  <w:noWrap w:val="0"/>
                  <w:vAlign w:val="center"/>
                </w:tcPr>
                <w:p w14:paraId="0DA171F9">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420" w:leftChars="0" w:hanging="420" w:hangingChars="20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-19</w:t>
                  </w:r>
                </w:p>
              </w:tc>
              <w:tc>
                <w:tcPr>
                  <w:tcW w:w="615" w:type="pct"/>
                  <w:tcBorders>
                    <w:tl2br w:val="nil"/>
                    <w:tr2bl w:val="nil"/>
                  </w:tcBorders>
                  <w:shd w:val="clear" w:color="auto" w:fill="auto"/>
                  <w:noWrap w:val="0"/>
                  <w:vAlign w:val="center"/>
                </w:tcPr>
                <w:p w14:paraId="4AA43788">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420" w:leftChars="0" w:hanging="420" w:hangingChars="20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0.5</w:t>
                  </w:r>
                </w:p>
              </w:tc>
              <w:tc>
                <w:tcPr>
                  <w:tcW w:w="689" w:type="pct"/>
                  <w:tcBorders>
                    <w:tl2br w:val="nil"/>
                    <w:tr2bl w:val="nil"/>
                  </w:tcBorders>
                  <w:noWrap w:val="0"/>
                  <w:vAlign w:val="center"/>
                </w:tcPr>
                <w:p w14:paraId="723E16B1">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90</w:t>
                  </w:r>
                </w:p>
              </w:tc>
              <w:tc>
                <w:tcPr>
                  <w:tcW w:w="625" w:type="pct"/>
                  <w:vMerge w:val="continue"/>
                  <w:tcBorders>
                    <w:tl2br w:val="nil"/>
                    <w:tr2bl w:val="nil"/>
                  </w:tcBorders>
                  <w:noWrap w:val="0"/>
                  <w:vAlign w:val="center"/>
                </w:tcPr>
                <w:p w14:paraId="6F7C0BA5">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jc w:val="center"/>
                    <w:textAlignment w:val="auto"/>
                    <w:rPr>
                      <w:rFonts w:hint="default" w:ascii="Times New Roman" w:hAnsi="Times New Roman" w:eastAsia="宋体" w:cs="Times New Roman"/>
                      <w:b w:val="0"/>
                      <w:bCs w:val="0"/>
                      <w:color w:val="auto"/>
                      <w:sz w:val="21"/>
                      <w:szCs w:val="21"/>
                      <w:lang w:val="en-US" w:eastAsia="zh-CN"/>
                    </w:rPr>
                  </w:pPr>
                </w:p>
              </w:tc>
            </w:tr>
            <w:tr w14:paraId="1EE81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4" w:type="pct"/>
                  <w:tcBorders>
                    <w:tl2br w:val="nil"/>
                    <w:tr2bl w:val="nil"/>
                  </w:tcBorders>
                  <w:noWrap w:val="0"/>
                  <w:vAlign w:val="center"/>
                </w:tcPr>
                <w:p w14:paraId="32F40180">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jc w:val="center"/>
                    <w:textAlignment w:val="auto"/>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4</w:t>
                  </w:r>
                </w:p>
              </w:tc>
              <w:tc>
                <w:tcPr>
                  <w:tcW w:w="624" w:type="pct"/>
                  <w:tcBorders>
                    <w:tl2br w:val="nil"/>
                    <w:tr2bl w:val="nil"/>
                  </w:tcBorders>
                  <w:noWrap w:val="0"/>
                  <w:vAlign w:val="center"/>
                </w:tcPr>
                <w:p w14:paraId="760E1FFA">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420" w:leftChars="0" w:hanging="420" w:hangingChars="20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4</w:t>
                  </w:r>
                  <w:r>
                    <w:rPr>
                      <w:rFonts w:hint="default" w:ascii="Times New Roman" w:hAnsi="Times New Roman" w:eastAsia="宋体" w:cs="Times New Roman"/>
                      <w:b w:val="0"/>
                      <w:bCs w:val="0"/>
                      <w:color w:val="auto"/>
                      <w:sz w:val="21"/>
                      <w:szCs w:val="21"/>
                      <w:lang w:val="en-US" w:eastAsia="zh-CN"/>
                    </w:rPr>
                    <w:t>#风机</w:t>
                  </w:r>
                </w:p>
              </w:tc>
              <w:tc>
                <w:tcPr>
                  <w:tcW w:w="624" w:type="pct"/>
                  <w:tcBorders>
                    <w:tl2br w:val="nil"/>
                    <w:tr2bl w:val="nil"/>
                  </w:tcBorders>
                  <w:noWrap w:val="0"/>
                  <w:vAlign w:val="center"/>
                </w:tcPr>
                <w:p w14:paraId="4CC12E81">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420" w:leftChars="0" w:hanging="420" w:hangingChars="20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w:t>
                  </w:r>
                </w:p>
              </w:tc>
              <w:tc>
                <w:tcPr>
                  <w:tcW w:w="581" w:type="pct"/>
                  <w:tcBorders>
                    <w:tl2br w:val="nil"/>
                    <w:tr2bl w:val="nil"/>
                  </w:tcBorders>
                  <w:shd w:val="clear" w:color="auto" w:fill="auto"/>
                  <w:noWrap w:val="0"/>
                  <w:vAlign w:val="center"/>
                </w:tcPr>
                <w:p w14:paraId="1AB06FE0">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420" w:leftChars="0" w:hanging="420" w:hangingChars="20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-14</w:t>
                  </w:r>
                </w:p>
              </w:tc>
              <w:tc>
                <w:tcPr>
                  <w:tcW w:w="616" w:type="pct"/>
                  <w:tcBorders>
                    <w:tl2br w:val="nil"/>
                    <w:tr2bl w:val="nil"/>
                  </w:tcBorders>
                  <w:shd w:val="clear" w:color="auto" w:fill="auto"/>
                  <w:noWrap w:val="0"/>
                  <w:vAlign w:val="center"/>
                </w:tcPr>
                <w:p w14:paraId="36A736BD">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420" w:leftChars="0" w:hanging="420" w:hangingChars="20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-19</w:t>
                  </w:r>
                </w:p>
              </w:tc>
              <w:tc>
                <w:tcPr>
                  <w:tcW w:w="615" w:type="pct"/>
                  <w:tcBorders>
                    <w:tl2br w:val="nil"/>
                    <w:tr2bl w:val="nil"/>
                  </w:tcBorders>
                  <w:shd w:val="clear" w:color="auto" w:fill="auto"/>
                  <w:noWrap w:val="0"/>
                  <w:vAlign w:val="center"/>
                </w:tcPr>
                <w:p w14:paraId="0D46F3FD">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420" w:leftChars="0" w:hanging="420" w:hangingChars="20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0.5</w:t>
                  </w:r>
                </w:p>
              </w:tc>
              <w:tc>
                <w:tcPr>
                  <w:tcW w:w="689" w:type="pct"/>
                  <w:tcBorders>
                    <w:tl2br w:val="nil"/>
                    <w:tr2bl w:val="nil"/>
                  </w:tcBorders>
                  <w:noWrap w:val="0"/>
                  <w:vAlign w:val="center"/>
                </w:tcPr>
                <w:p w14:paraId="244EBB07">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420" w:leftChars="0" w:hanging="420" w:hangingChars="20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90</w:t>
                  </w:r>
                </w:p>
              </w:tc>
              <w:tc>
                <w:tcPr>
                  <w:tcW w:w="625" w:type="pct"/>
                  <w:vMerge w:val="continue"/>
                  <w:tcBorders>
                    <w:tl2br w:val="nil"/>
                    <w:tr2bl w:val="nil"/>
                  </w:tcBorders>
                  <w:noWrap w:val="0"/>
                  <w:vAlign w:val="center"/>
                </w:tcPr>
                <w:p w14:paraId="388C72AD">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jc w:val="center"/>
                    <w:textAlignment w:val="auto"/>
                    <w:rPr>
                      <w:rFonts w:hint="default" w:ascii="Times New Roman" w:hAnsi="Times New Roman" w:eastAsia="宋体" w:cs="Times New Roman"/>
                      <w:b w:val="0"/>
                      <w:bCs w:val="0"/>
                      <w:color w:val="auto"/>
                      <w:sz w:val="21"/>
                      <w:szCs w:val="21"/>
                      <w:lang w:val="en-US" w:eastAsia="zh-CN"/>
                    </w:rPr>
                  </w:pPr>
                </w:p>
              </w:tc>
            </w:tr>
            <w:tr w14:paraId="17C7E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4" w:type="pct"/>
                  <w:tcBorders>
                    <w:tl2br w:val="nil"/>
                    <w:tr2bl w:val="nil"/>
                  </w:tcBorders>
                  <w:noWrap w:val="0"/>
                  <w:vAlign w:val="center"/>
                </w:tcPr>
                <w:p w14:paraId="12F41452">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jc w:val="center"/>
                    <w:textAlignment w:val="auto"/>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5</w:t>
                  </w:r>
                </w:p>
              </w:tc>
              <w:tc>
                <w:tcPr>
                  <w:tcW w:w="624" w:type="pct"/>
                  <w:tcBorders>
                    <w:tl2br w:val="nil"/>
                    <w:tr2bl w:val="nil"/>
                  </w:tcBorders>
                  <w:noWrap w:val="0"/>
                  <w:vAlign w:val="center"/>
                </w:tcPr>
                <w:p w14:paraId="5B8BCD4F">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420" w:leftChars="0" w:hanging="420" w:hangingChars="20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5</w:t>
                  </w:r>
                  <w:r>
                    <w:rPr>
                      <w:rFonts w:hint="default" w:ascii="Times New Roman" w:hAnsi="Times New Roman" w:eastAsia="宋体" w:cs="Times New Roman"/>
                      <w:b w:val="0"/>
                      <w:bCs w:val="0"/>
                      <w:color w:val="auto"/>
                      <w:sz w:val="21"/>
                      <w:szCs w:val="21"/>
                      <w:lang w:val="en-US" w:eastAsia="zh-CN"/>
                    </w:rPr>
                    <w:t>#风机</w:t>
                  </w:r>
                </w:p>
              </w:tc>
              <w:tc>
                <w:tcPr>
                  <w:tcW w:w="624" w:type="pct"/>
                  <w:tcBorders>
                    <w:tl2br w:val="nil"/>
                    <w:tr2bl w:val="nil"/>
                  </w:tcBorders>
                  <w:noWrap w:val="0"/>
                  <w:vAlign w:val="center"/>
                </w:tcPr>
                <w:p w14:paraId="1FA8B5EA">
                  <w:pPr>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w:t>
                  </w:r>
                </w:p>
              </w:tc>
              <w:tc>
                <w:tcPr>
                  <w:tcW w:w="581" w:type="pct"/>
                  <w:tcBorders>
                    <w:tl2br w:val="nil"/>
                    <w:tr2bl w:val="nil"/>
                  </w:tcBorders>
                  <w:shd w:val="clear" w:color="auto" w:fill="auto"/>
                  <w:noWrap w:val="0"/>
                  <w:vAlign w:val="center"/>
                </w:tcPr>
                <w:p w14:paraId="0504F181">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420" w:leftChars="0" w:hanging="420" w:hangingChars="20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44</w:t>
                  </w:r>
                </w:p>
              </w:tc>
              <w:tc>
                <w:tcPr>
                  <w:tcW w:w="616" w:type="pct"/>
                  <w:tcBorders>
                    <w:tl2br w:val="nil"/>
                    <w:tr2bl w:val="nil"/>
                  </w:tcBorders>
                  <w:shd w:val="clear" w:color="auto" w:fill="auto"/>
                  <w:noWrap w:val="0"/>
                  <w:vAlign w:val="center"/>
                </w:tcPr>
                <w:p w14:paraId="7187DACC">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420" w:leftChars="0" w:hanging="420" w:hangingChars="20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0</w:t>
                  </w:r>
                </w:p>
              </w:tc>
              <w:tc>
                <w:tcPr>
                  <w:tcW w:w="615" w:type="pct"/>
                  <w:tcBorders>
                    <w:tl2br w:val="nil"/>
                    <w:tr2bl w:val="nil"/>
                  </w:tcBorders>
                  <w:shd w:val="clear" w:color="auto" w:fill="auto"/>
                  <w:noWrap w:val="0"/>
                  <w:vAlign w:val="center"/>
                </w:tcPr>
                <w:p w14:paraId="497FF302">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420" w:leftChars="0" w:hanging="420" w:hangingChars="20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0.5</w:t>
                  </w:r>
                </w:p>
              </w:tc>
              <w:tc>
                <w:tcPr>
                  <w:tcW w:w="689" w:type="pct"/>
                  <w:tcBorders>
                    <w:tl2br w:val="nil"/>
                    <w:tr2bl w:val="nil"/>
                  </w:tcBorders>
                  <w:noWrap w:val="0"/>
                  <w:vAlign w:val="center"/>
                </w:tcPr>
                <w:p w14:paraId="7623EADF">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420" w:leftChars="0" w:hanging="420" w:hangingChars="20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90</w:t>
                  </w:r>
                </w:p>
              </w:tc>
              <w:tc>
                <w:tcPr>
                  <w:tcW w:w="625" w:type="pct"/>
                  <w:vMerge w:val="continue"/>
                  <w:tcBorders>
                    <w:tl2br w:val="nil"/>
                    <w:tr2bl w:val="nil"/>
                  </w:tcBorders>
                  <w:noWrap w:val="0"/>
                  <w:vAlign w:val="center"/>
                </w:tcPr>
                <w:p w14:paraId="763AED30">
                  <w:pPr>
                    <w:pStyle w:val="33"/>
                    <w:keepNext w:val="0"/>
                    <w:keepLines w:val="0"/>
                    <w:pageBreakBefore w:val="0"/>
                    <w:widowControl w:val="0"/>
                    <w:kinsoku/>
                    <w:wordWrap/>
                    <w:overflowPunct/>
                    <w:topLinePunct w:val="0"/>
                    <w:autoSpaceDE/>
                    <w:autoSpaceDN/>
                    <w:bidi w:val="0"/>
                    <w:adjustRightInd w:val="0"/>
                    <w:snapToGrid w:val="0"/>
                    <w:spacing w:before="0" w:beforeLines="0" w:line="240" w:lineRule="auto"/>
                    <w:ind w:left="0" w:firstLine="0"/>
                    <w:jc w:val="center"/>
                    <w:textAlignment w:val="auto"/>
                    <w:rPr>
                      <w:rFonts w:hint="default" w:ascii="Times New Roman" w:hAnsi="Times New Roman" w:eastAsia="宋体" w:cs="Times New Roman"/>
                      <w:b w:val="0"/>
                      <w:bCs w:val="0"/>
                      <w:color w:val="auto"/>
                      <w:sz w:val="21"/>
                      <w:szCs w:val="21"/>
                      <w:lang w:val="en-US" w:eastAsia="zh-CN"/>
                    </w:rPr>
                  </w:pPr>
                </w:p>
              </w:tc>
            </w:tr>
          </w:tbl>
          <w:p w14:paraId="59551BE9">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eastAsia="宋体"/>
                <w:snapToGrid/>
                <w:color w:val="auto"/>
                <w:spacing w:val="0"/>
                <w:kern w:val="0"/>
                <w:position w:val="0"/>
                <w:sz w:val="24"/>
                <w:szCs w:val="24"/>
                <w:lang w:val="en-US" w:eastAsia="zh-CN"/>
              </w:rPr>
            </w:pPr>
            <w:r>
              <w:rPr>
                <w:rFonts w:hint="default" w:ascii="Times New Roman" w:hAnsi="Times New Roman" w:eastAsia="宋体" w:cs="Times New Roman"/>
                <w:b/>
                <w:bCs/>
                <w:color w:val="auto"/>
                <w:sz w:val="24"/>
                <w:szCs w:val="24"/>
                <w:lang w:val="en-US" w:eastAsia="zh-CN"/>
              </w:rPr>
              <w:t>注：室外声源以厂区中心为原点。</w:t>
            </w:r>
          </w:p>
        </w:tc>
      </w:tr>
    </w:tbl>
    <w:p w14:paraId="45F231C6">
      <w:pPr>
        <w:rPr>
          <w:rFonts w:hint="eastAsia" w:eastAsia="宋体"/>
          <w:snapToGrid/>
          <w:color w:val="auto"/>
          <w:spacing w:val="0"/>
          <w:kern w:val="0"/>
          <w:position w:val="0"/>
          <w:lang w:eastAsia="zh-CN"/>
        </w:rPr>
        <w:sectPr>
          <w:pgSz w:w="16838" w:h="11906" w:orient="landscape"/>
          <w:pgMar w:top="1803" w:right="1440" w:bottom="1803" w:left="1440"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3"/>
        <w:tblW w:w="89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3"/>
        <w:gridCol w:w="8438"/>
      </w:tblGrid>
      <w:tr w14:paraId="722578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59" w:hRule="atLeast"/>
          <w:jc w:val="center"/>
        </w:trPr>
        <w:tc>
          <w:tcPr>
            <w:tcW w:w="553" w:type="dxa"/>
            <w:tcBorders>
              <w:tl2br w:val="nil"/>
              <w:tr2bl w:val="nil"/>
            </w:tcBorders>
            <w:noWrap w:val="0"/>
            <w:vAlign w:val="center"/>
          </w:tcPr>
          <w:p w14:paraId="6C3500FB">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运</w:t>
            </w:r>
          </w:p>
          <w:p w14:paraId="5B2A700B">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营</w:t>
            </w:r>
          </w:p>
          <w:p w14:paraId="7D320AE7">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期</w:t>
            </w:r>
          </w:p>
          <w:p w14:paraId="0F8B147D">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环</w:t>
            </w:r>
          </w:p>
          <w:p w14:paraId="048ED755">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境</w:t>
            </w:r>
          </w:p>
          <w:p w14:paraId="5356A8EE">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影</w:t>
            </w:r>
          </w:p>
          <w:p w14:paraId="43404235">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响</w:t>
            </w:r>
          </w:p>
          <w:p w14:paraId="3903E135">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和</w:t>
            </w:r>
          </w:p>
          <w:p w14:paraId="116B8522">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保</w:t>
            </w:r>
          </w:p>
          <w:p w14:paraId="3120D54A">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护</w:t>
            </w:r>
          </w:p>
          <w:p w14:paraId="57484BEA">
            <w:pPr>
              <w:pStyle w:val="27"/>
              <w:numPr>
                <w:ilvl w:val="1"/>
                <w:numId w:val="0"/>
              </w:numPr>
              <w:spacing w:line="240" w:lineRule="auto"/>
              <w:ind w:leftChars="0"/>
              <w:jc w:val="both"/>
              <w:rPr>
                <w:rFonts w:hint="default" w:ascii="Times New Roman" w:hAnsi="Times New Roman" w:eastAsia="宋体" w:cs="Times New Roman"/>
                <w:snapToGrid/>
                <w:color w:val="auto"/>
                <w:spacing w:val="0"/>
                <w:kern w:val="0"/>
                <w:position w:val="0"/>
                <w:vertAlign w:val="baseline"/>
              </w:rPr>
            </w:pPr>
            <w:r>
              <w:rPr>
                <w:rFonts w:hint="default" w:ascii="Times New Roman" w:hAnsi="Times New Roman" w:eastAsia="宋体" w:cs="Times New Roman"/>
                <w:b w:val="0"/>
                <w:bCs w:val="0"/>
                <w:snapToGrid/>
                <w:color w:val="auto"/>
                <w:spacing w:val="0"/>
                <w:kern w:val="0"/>
                <w:position w:val="0"/>
                <w:sz w:val="24"/>
                <w:szCs w:val="24"/>
              </w:rPr>
              <w:t>措施</w:t>
            </w:r>
          </w:p>
        </w:tc>
        <w:tc>
          <w:tcPr>
            <w:tcW w:w="8438" w:type="dxa"/>
            <w:tcBorders>
              <w:tl2br w:val="nil"/>
              <w:tr2bl w:val="nil"/>
            </w:tcBorders>
            <w:noWrap w:val="0"/>
            <w:vAlign w:val="center"/>
          </w:tcPr>
          <w:p w14:paraId="52340E4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厂界和环境保护目标达标情况分析：</w:t>
            </w:r>
          </w:p>
          <w:p w14:paraId="7D4E4DC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根据设备噪声强度，采用距离衰减模式分析该项目对声环境的影响。预测模式采用《环境影响评价技术导则</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声环境》</w:t>
            </w:r>
            <w:r>
              <w:rPr>
                <w:rFonts w:hint="eastAsia"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lang w:val="zh-CN"/>
              </w:rPr>
              <w:t>HJ2.4-2021</w:t>
            </w:r>
            <w:r>
              <w:rPr>
                <w:rFonts w:hint="eastAsia"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lang w:val="zh-CN"/>
              </w:rPr>
              <w:t>中推荐的噪声预测模式，噪声衰减公式：</w:t>
            </w:r>
          </w:p>
          <w:p w14:paraId="1E7B2EE8">
            <w:pPr>
              <w:pStyle w:val="21"/>
              <w:keepNext w:val="0"/>
              <w:keepLines w:val="0"/>
              <w:pageBreakBefore w:val="0"/>
              <w:widowControl/>
              <w:kinsoku/>
              <w:wordWrap/>
              <w:overflowPunct/>
              <w:topLinePunct w:val="0"/>
              <w:autoSpaceDE/>
              <w:autoSpaceDN/>
              <w:bidi w:val="0"/>
              <w:adjustRightInd w:val="0"/>
              <w:snapToGrid w:val="0"/>
              <w:spacing w:before="0" w:after="0" w:line="360" w:lineRule="auto"/>
              <w:ind w:right="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①如图B.1所示，声源位于室内，室内声源可采用等效室外声源声功率级法进行计算。设靠近开口处（或窗户）室内、室外某倍频带的声压级或A声级分别为L</w:t>
            </w:r>
            <w:r>
              <w:rPr>
                <w:rFonts w:hint="default" w:ascii="Times New Roman" w:hAnsi="Times New Roman" w:eastAsia="宋体" w:cs="Times New Roman"/>
                <w:color w:val="auto"/>
                <w:sz w:val="24"/>
                <w:szCs w:val="24"/>
                <w:vertAlign w:val="subscript"/>
              </w:rPr>
              <w:t>p1</w:t>
            </w:r>
            <w:r>
              <w:rPr>
                <w:rFonts w:hint="default" w:ascii="Times New Roman" w:hAnsi="Times New Roman" w:eastAsia="宋体" w:cs="Times New Roman"/>
                <w:color w:val="auto"/>
                <w:sz w:val="24"/>
                <w:szCs w:val="24"/>
              </w:rPr>
              <w:t>和L</w:t>
            </w:r>
            <w:r>
              <w:rPr>
                <w:rFonts w:hint="default" w:ascii="Times New Roman" w:hAnsi="Times New Roman" w:eastAsia="宋体" w:cs="Times New Roman"/>
                <w:color w:val="auto"/>
                <w:sz w:val="24"/>
                <w:szCs w:val="24"/>
                <w:vertAlign w:val="subscript"/>
              </w:rPr>
              <w:t>p2</w:t>
            </w:r>
            <w:r>
              <w:rPr>
                <w:rFonts w:hint="default" w:ascii="Times New Roman" w:hAnsi="Times New Roman" w:eastAsia="宋体" w:cs="Times New Roman"/>
                <w:color w:val="auto"/>
                <w:sz w:val="24"/>
                <w:szCs w:val="24"/>
              </w:rPr>
              <w:t>。若声源所在室内声场为近似扩散声场，则室外的倍频带声压级可按式（B.1）近似求出：</w:t>
            </w:r>
          </w:p>
          <w:p w14:paraId="568B1234">
            <w:pPr>
              <w:pStyle w:val="21"/>
              <w:keepNext w:val="0"/>
              <w:keepLines w:val="0"/>
              <w:pageBreakBefore w:val="0"/>
              <w:kinsoku/>
              <w:wordWrap/>
              <w:overflowPunct/>
              <w:topLinePunct w:val="0"/>
              <w:autoSpaceDE/>
              <w:autoSpaceDN/>
              <w:bidi w:val="0"/>
              <w:adjustRightInd w:val="0"/>
              <w:snapToGrid w:val="0"/>
              <w:spacing w:before="0" w:after="0" w:line="360" w:lineRule="auto"/>
              <w:ind w:right="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rPr>
              <w:drawing>
                <wp:inline distT="0" distB="0" distL="114300" distR="114300">
                  <wp:extent cx="3482975" cy="373380"/>
                  <wp:effectExtent l="0" t="0" r="3810" b="444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7"/>
                          <a:stretch>
                            <a:fillRect/>
                          </a:stretch>
                        </pic:blipFill>
                        <pic:spPr>
                          <a:xfrm>
                            <a:off x="0" y="0"/>
                            <a:ext cx="3482975" cy="373380"/>
                          </a:xfrm>
                          <a:prstGeom prst="rect">
                            <a:avLst/>
                          </a:prstGeom>
                          <a:noFill/>
                          <a:ln>
                            <a:noFill/>
                          </a:ln>
                        </pic:spPr>
                      </pic:pic>
                    </a:graphicData>
                  </a:graphic>
                </wp:inline>
              </w:drawing>
            </w:r>
          </w:p>
          <w:p w14:paraId="1A6C54E5">
            <w:pPr>
              <w:pStyle w:val="21"/>
              <w:keepNext w:val="0"/>
              <w:keepLines w:val="0"/>
              <w:pageBreakBefore w:val="0"/>
              <w:kinsoku/>
              <w:wordWrap/>
              <w:overflowPunct/>
              <w:topLinePunct w:val="0"/>
              <w:autoSpaceDE/>
              <w:autoSpaceDN/>
              <w:bidi w:val="0"/>
              <w:adjustRightInd w:val="0"/>
              <w:snapToGrid w:val="0"/>
              <w:spacing w:before="0" w:after="0" w:line="360" w:lineRule="auto"/>
              <w:ind w:left="0" w:leftChars="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式中：L</w:t>
            </w:r>
            <w:r>
              <w:rPr>
                <w:rFonts w:hint="default" w:ascii="Times New Roman" w:hAnsi="Times New Roman" w:eastAsia="宋体" w:cs="Times New Roman"/>
                <w:color w:val="auto"/>
                <w:sz w:val="24"/>
                <w:szCs w:val="24"/>
                <w:vertAlign w:val="subscript"/>
              </w:rPr>
              <w:t>p1</w:t>
            </w:r>
            <w:r>
              <w:rPr>
                <w:rFonts w:hint="default" w:ascii="Times New Roman" w:hAnsi="Times New Roman" w:eastAsia="宋体" w:cs="Times New Roman"/>
                <w:color w:val="auto"/>
              </w:rPr>
              <w:t>——</w:t>
            </w:r>
            <w:r>
              <w:rPr>
                <w:rFonts w:hint="default" w:ascii="Times New Roman" w:hAnsi="Times New Roman" w:eastAsia="宋体" w:cs="Times New Roman"/>
                <w:color w:val="auto"/>
                <w:sz w:val="24"/>
                <w:szCs w:val="24"/>
              </w:rPr>
              <w:t>靠近开口处（或窗户）室内某倍频带的声压级或A声级，dB；</w:t>
            </w:r>
          </w:p>
          <w:p w14:paraId="5BF7FBC2">
            <w:pPr>
              <w:pStyle w:val="21"/>
              <w:keepNext w:val="0"/>
              <w:keepLines w:val="0"/>
              <w:pageBreakBefore w:val="0"/>
              <w:kinsoku/>
              <w:wordWrap/>
              <w:overflowPunct/>
              <w:topLinePunct w:val="0"/>
              <w:autoSpaceDE/>
              <w:autoSpaceDN/>
              <w:bidi w:val="0"/>
              <w:adjustRightInd w:val="0"/>
              <w:snapToGrid w:val="0"/>
              <w:spacing w:before="0" w:after="0" w:line="360" w:lineRule="auto"/>
              <w:ind w:left="0" w:leftChars="0" w:right="0" w:firstLine="1200" w:firstLineChars="5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L</w:t>
            </w:r>
            <w:r>
              <w:rPr>
                <w:rFonts w:hint="default" w:ascii="Times New Roman" w:hAnsi="Times New Roman" w:eastAsia="宋体" w:cs="Times New Roman"/>
                <w:color w:val="auto"/>
                <w:sz w:val="24"/>
                <w:szCs w:val="24"/>
                <w:vertAlign w:val="subscript"/>
              </w:rPr>
              <w:t>p2</w:t>
            </w:r>
            <w:r>
              <w:rPr>
                <w:rFonts w:hint="default" w:ascii="Times New Roman" w:hAnsi="Times New Roman" w:eastAsia="宋体" w:cs="Times New Roman"/>
                <w:color w:val="auto"/>
              </w:rPr>
              <w:t>——</w:t>
            </w:r>
            <w:r>
              <w:rPr>
                <w:rFonts w:hint="default" w:ascii="Times New Roman" w:hAnsi="Times New Roman" w:eastAsia="宋体" w:cs="Times New Roman"/>
                <w:color w:val="auto"/>
                <w:sz w:val="24"/>
                <w:szCs w:val="24"/>
              </w:rPr>
              <w:t>靠近开口处（或窗户）室外某倍频带的声压级或A声级，dB；</w:t>
            </w:r>
          </w:p>
          <w:p w14:paraId="77891958">
            <w:pPr>
              <w:pStyle w:val="21"/>
              <w:keepNext w:val="0"/>
              <w:keepLines w:val="0"/>
              <w:pageBreakBefore w:val="0"/>
              <w:kinsoku/>
              <w:wordWrap/>
              <w:overflowPunct/>
              <w:topLinePunct w:val="0"/>
              <w:autoSpaceDE/>
              <w:autoSpaceDN/>
              <w:bidi w:val="0"/>
              <w:adjustRightInd w:val="0"/>
              <w:snapToGrid w:val="0"/>
              <w:spacing w:before="0" w:after="0" w:line="360" w:lineRule="auto"/>
              <w:ind w:left="0" w:leftChars="0" w:right="0" w:firstLine="1200" w:firstLineChars="5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TL</w:t>
            </w:r>
            <w:r>
              <w:rPr>
                <w:rFonts w:hint="default" w:ascii="Times New Roman" w:hAnsi="Times New Roman" w:eastAsia="宋体" w:cs="Times New Roman"/>
                <w:color w:val="auto"/>
              </w:rPr>
              <w:t>——</w:t>
            </w:r>
            <w:r>
              <w:rPr>
                <w:rFonts w:hint="default" w:ascii="Times New Roman" w:hAnsi="Times New Roman" w:eastAsia="宋体" w:cs="Times New Roman"/>
                <w:color w:val="auto"/>
                <w:sz w:val="24"/>
                <w:szCs w:val="24"/>
              </w:rPr>
              <w:t>隔墙（或窗户）倍频带或A声级的隔声量，dB。</w:t>
            </w:r>
          </w:p>
          <w:p w14:paraId="4620A7EC">
            <w:pPr>
              <w:pStyle w:val="21"/>
              <w:keepNext w:val="0"/>
              <w:keepLines w:val="0"/>
              <w:pageBreakBefore w:val="0"/>
              <w:kinsoku/>
              <w:wordWrap/>
              <w:overflowPunct/>
              <w:topLinePunct w:val="0"/>
              <w:autoSpaceDE/>
              <w:autoSpaceDN/>
              <w:bidi w:val="0"/>
              <w:adjustRightInd w:val="0"/>
              <w:snapToGrid w:val="0"/>
              <w:spacing w:before="0" w:after="0" w:line="360" w:lineRule="auto"/>
              <w:ind w:left="0" w:leftChars="0" w:right="0" w:firstLine="0" w:firstLineChars="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drawing>
                <wp:inline distT="0" distB="0" distL="114300" distR="114300">
                  <wp:extent cx="3236595" cy="1656080"/>
                  <wp:effectExtent l="0" t="0" r="1905" b="635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18"/>
                          <a:stretch>
                            <a:fillRect/>
                          </a:stretch>
                        </pic:blipFill>
                        <pic:spPr>
                          <a:xfrm>
                            <a:off x="0" y="0"/>
                            <a:ext cx="3236595" cy="1656080"/>
                          </a:xfrm>
                          <a:prstGeom prst="rect">
                            <a:avLst/>
                          </a:prstGeom>
                          <a:noFill/>
                          <a:ln>
                            <a:noFill/>
                          </a:ln>
                        </pic:spPr>
                      </pic:pic>
                    </a:graphicData>
                  </a:graphic>
                </wp:inline>
              </w:drawing>
            </w:r>
          </w:p>
          <w:p w14:paraId="3B720748">
            <w:pPr>
              <w:pStyle w:val="21"/>
              <w:keepNext w:val="0"/>
              <w:keepLines w:val="0"/>
              <w:pageBreakBefore w:val="0"/>
              <w:widowControl/>
              <w:kinsoku/>
              <w:wordWrap/>
              <w:overflowPunct/>
              <w:topLinePunct w:val="0"/>
              <w:autoSpaceDE/>
              <w:autoSpaceDN/>
              <w:bidi w:val="0"/>
              <w:adjustRightInd w:val="0"/>
              <w:snapToGrid w:val="0"/>
              <w:spacing w:before="0" w:after="0" w:line="360" w:lineRule="auto"/>
              <w:ind w:left="0" w:leftChars="0" w:right="0" w:firstLine="0" w:firstLineChars="0"/>
              <w:jc w:val="center"/>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eastAsia="zh-CN"/>
              </w:rPr>
              <w:t>图</w:t>
            </w:r>
            <w:r>
              <w:rPr>
                <w:rFonts w:hint="default" w:ascii="Times New Roman" w:hAnsi="Times New Roman" w:eastAsia="宋体" w:cs="Times New Roman"/>
                <w:b/>
                <w:bCs/>
                <w:color w:val="auto"/>
                <w:sz w:val="24"/>
                <w:szCs w:val="24"/>
                <w:lang w:val="en-US" w:eastAsia="zh-CN"/>
              </w:rPr>
              <w:t>B.1  室内声源等效为室外声源图例</w:t>
            </w:r>
          </w:p>
          <w:p w14:paraId="2EC5B5B3">
            <w:pPr>
              <w:pStyle w:val="21"/>
              <w:keepNext w:val="0"/>
              <w:keepLines w:val="0"/>
              <w:pageBreakBefore w:val="0"/>
              <w:widowControl w:val="0"/>
              <w:kinsoku/>
              <w:wordWrap/>
              <w:overflowPunct/>
              <w:topLinePunct w:val="0"/>
              <w:autoSpaceDE/>
              <w:autoSpaceDN/>
              <w:bidi w:val="0"/>
              <w:adjustRightInd w:val="0"/>
              <w:snapToGrid w:val="0"/>
              <w:spacing w:before="0" w:after="0" w:line="360" w:lineRule="auto"/>
              <w:ind w:right="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②也可按式（B.2）计算某一室内声源靠近围护结构处产生的倍频带声压级或A声级：</w:t>
            </w:r>
          </w:p>
          <w:p w14:paraId="33349E48">
            <w:pPr>
              <w:pStyle w:val="21"/>
              <w:keepNext w:val="0"/>
              <w:keepLines w:val="0"/>
              <w:pageBreakBefore w:val="0"/>
              <w:widowControl w:val="0"/>
              <w:kinsoku/>
              <w:wordWrap/>
              <w:overflowPunct/>
              <w:topLinePunct w:val="0"/>
              <w:autoSpaceDE/>
              <w:autoSpaceDN/>
              <w:bidi w:val="0"/>
              <w:adjustRightInd w:val="0"/>
              <w:snapToGrid w:val="0"/>
              <w:spacing w:before="0" w:after="0" w:line="360" w:lineRule="auto"/>
              <w:ind w:right="0" w:firstLine="0" w:firstLineChars="0"/>
              <w:jc w:val="center"/>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color w:val="auto"/>
              </w:rPr>
              <w:drawing>
                <wp:inline distT="0" distB="0" distL="114300" distR="114300">
                  <wp:extent cx="3904615" cy="575310"/>
                  <wp:effectExtent l="0" t="0" r="3175" b="7620"/>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19"/>
                          <a:stretch>
                            <a:fillRect/>
                          </a:stretch>
                        </pic:blipFill>
                        <pic:spPr>
                          <a:xfrm>
                            <a:off x="0" y="0"/>
                            <a:ext cx="3904615" cy="575310"/>
                          </a:xfrm>
                          <a:prstGeom prst="rect">
                            <a:avLst/>
                          </a:prstGeom>
                          <a:noFill/>
                          <a:ln>
                            <a:noFill/>
                          </a:ln>
                        </pic:spPr>
                      </pic:pic>
                    </a:graphicData>
                  </a:graphic>
                </wp:inline>
              </w:drawing>
            </w:r>
          </w:p>
          <w:p w14:paraId="0DD7519B">
            <w:pPr>
              <w:pStyle w:val="21"/>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式中：L</w:t>
            </w:r>
            <w:r>
              <w:rPr>
                <w:rFonts w:hint="default" w:ascii="Times New Roman" w:hAnsi="Times New Roman" w:eastAsia="宋体" w:cs="Times New Roman"/>
                <w:bCs/>
                <w:color w:val="auto"/>
                <w:sz w:val="24"/>
                <w:szCs w:val="24"/>
                <w:vertAlign w:val="subscript"/>
              </w:rPr>
              <w:t>p1</w:t>
            </w:r>
            <w:r>
              <w:rPr>
                <w:rFonts w:hint="default" w:ascii="Times New Roman" w:hAnsi="Times New Roman" w:eastAsia="宋体" w:cs="Times New Roman"/>
                <w:bCs/>
                <w:color w:val="auto"/>
                <w:sz w:val="24"/>
                <w:szCs w:val="24"/>
              </w:rPr>
              <w:t>——靠近开口处（或窗户）室内某倍频带的声压级或A声级，dB；</w:t>
            </w:r>
          </w:p>
          <w:p w14:paraId="428B9F17">
            <w:pPr>
              <w:pStyle w:val="21"/>
              <w:keepNext w:val="0"/>
              <w:keepLines w:val="0"/>
              <w:pageBreakBefore w:val="0"/>
              <w:widowControl w:val="0"/>
              <w:kinsoku/>
              <w:wordWrap/>
              <w:overflowPunct/>
              <w:topLinePunct w:val="0"/>
              <w:autoSpaceDE/>
              <w:autoSpaceDN/>
              <w:bidi w:val="0"/>
              <w:adjustRightInd w:val="0"/>
              <w:snapToGrid w:val="0"/>
              <w:spacing w:before="0" w:after="0" w:line="360" w:lineRule="auto"/>
              <w:ind w:right="0" w:firstLine="1200" w:firstLineChars="5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L</w:t>
            </w:r>
            <w:r>
              <w:rPr>
                <w:rFonts w:hint="default" w:ascii="Times New Roman" w:hAnsi="Times New Roman" w:eastAsia="宋体" w:cs="Times New Roman"/>
                <w:bCs/>
                <w:color w:val="auto"/>
                <w:sz w:val="24"/>
                <w:szCs w:val="24"/>
                <w:vertAlign w:val="subscript"/>
              </w:rPr>
              <w:t xml:space="preserve">w </w:t>
            </w:r>
            <w:r>
              <w:rPr>
                <w:rFonts w:hint="default" w:ascii="Times New Roman" w:hAnsi="Times New Roman" w:eastAsia="宋体" w:cs="Times New Roman"/>
                <w:bCs/>
                <w:color w:val="auto"/>
                <w:sz w:val="24"/>
                <w:szCs w:val="24"/>
              </w:rPr>
              <w:t>——点声源声功率级（A计权或倍频带），dB；</w:t>
            </w:r>
          </w:p>
          <w:p w14:paraId="3D0AF608">
            <w:pPr>
              <w:pStyle w:val="21"/>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1200" w:firstLineChars="5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Q——指向性因数；通常对无指向性声源，当声源放在房间中心时，Q=1；当放在一面墙的中心时，Q=2；当放在两面墙夹角处时，Q=4；当放在三面墙夹角处时，Q=8；</w:t>
            </w:r>
          </w:p>
          <w:p w14:paraId="63C7F16A">
            <w:pPr>
              <w:pStyle w:val="21"/>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720" w:firstLineChars="3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R——房间常数；</w:t>
            </w:r>
            <w:r>
              <w:rPr>
                <w:rFonts w:hint="default" w:ascii="Times New Roman" w:hAnsi="Times New Roman" w:eastAsia="宋体" w:cs="Times New Roman"/>
                <w:caps w:val="0"/>
                <w:smallCaps w:val="0"/>
                <w:color w:val="auto"/>
                <w:spacing w:val="0"/>
                <w:w w:val="100"/>
                <w:kern w:val="0"/>
                <w:position w:val="0"/>
                <w:sz w:val="24"/>
                <w:szCs w:val="24"/>
                <w:lang w:val="en-US" w:eastAsia="zh-CN"/>
              </w:rPr>
              <w:t>R=Sα/（1-α）</w:t>
            </w:r>
            <w:r>
              <w:rPr>
                <w:rFonts w:hint="default" w:ascii="Times New Roman" w:hAnsi="Times New Roman" w:eastAsia="宋体" w:cs="Times New Roman"/>
                <w:bCs/>
                <w:color w:val="auto"/>
                <w:sz w:val="24"/>
                <w:szCs w:val="24"/>
              </w:rPr>
              <w:t>，S为房间内表面面积，m</w:t>
            </w:r>
            <w:r>
              <w:rPr>
                <w:rFonts w:hint="default" w:ascii="Times New Roman" w:hAnsi="Times New Roman" w:eastAsia="宋体" w:cs="Times New Roman"/>
                <w:bCs/>
                <w:color w:val="auto"/>
                <w:sz w:val="24"/>
                <w:szCs w:val="24"/>
                <w:vertAlign w:val="superscript"/>
              </w:rPr>
              <w:t>2</w:t>
            </w:r>
            <w:r>
              <w:rPr>
                <w:rFonts w:hint="default" w:ascii="Times New Roman" w:hAnsi="Times New Roman" w:eastAsia="宋体" w:cs="Times New Roman"/>
                <w:bCs/>
                <w:color w:val="auto"/>
                <w:sz w:val="24"/>
                <w:szCs w:val="24"/>
              </w:rPr>
              <w:t>；α为平均吸声系数；</w:t>
            </w:r>
          </w:p>
          <w:p w14:paraId="6863C533">
            <w:pPr>
              <w:pStyle w:val="21"/>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720" w:firstLineChars="3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r ——声源到靠近围护结构某点处的距离，m。</w:t>
            </w:r>
          </w:p>
          <w:p w14:paraId="7E1DC23B">
            <w:pPr>
              <w:pStyle w:val="21"/>
              <w:keepNext w:val="0"/>
              <w:keepLines w:val="0"/>
              <w:pageBreakBefore w:val="0"/>
              <w:widowControl w:val="0"/>
              <w:kinsoku/>
              <w:wordWrap/>
              <w:overflowPunct/>
              <w:topLinePunct w:val="0"/>
              <w:autoSpaceDE/>
              <w:autoSpaceDN/>
              <w:bidi w:val="0"/>
              <w:adjustRightInd w:val="0"/>
              <w:snapToGrid w:val="0"/>
              <w:spacing w:before="0" w:after="0" w:line="360" w:lineRule="auto"/>
              <w:ind w:right="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③然后按式（B.3）计算出所有室内声源在围护结构处产生的i倍频带叠加声压级：</w:t>
            </w:r>
          </w:p>
          <w:p w14:paraId="43BEB1C8">
            <w:pPr>
              <w:pStyle w:val="21"/>
              <w:keepNext w:val="0"/>
              <w:keepLines w:val="0"/>
              <w:pageBreakBefore w:val="0"/>
              <w:widowControl w:val="0"/>
              <w:kinsoku/>
              <w:wordWrap/>
              <w:overflowPunct/>
              <w:topLinePunct w:val="0"/>
              <w:autoSpaceDE/>
              <w:autoSpaceDN/>
              <w:bidi w:val="0"/>
              <w:adjustRightInd w:val="0"/>
              <w:snapToGrid w:val="0"/>
              <w:spacing w:before="0" w:after="0" w:line="360" w:lineRule="auto"/>
              <w:ind w:right="0" w:firstLine="0" w:firstLineChars="0"/>
              <w:jc w:val="center"/>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color w:val="auto"/>
              </w:rPr>
              <w:drawing>
                <wp:inline distT="0" distB="0" distL="114300" distR="114300">
                  <wp:extent cx="3957955" cy="560705"/>
                  <wp:effectExtent l="0" t="0" r="3810" b="635"/>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20"/>
                          <a:stretch>
                            <a:fillRect/>
                          </a:stretch>
                        </pic:blipFill>
                        <pic:spPr>
                          <a:xfrm>
                            <a:off x="0" y="0"/>
                            <a:ext cx="3957955" cy="560705"/>
                          </a:xfrm>
                          <a:prstGeom prst="rect">
                            <a:avLst/>
                          </a:prstGeom>
                          <a:noFill/>
                          <a:ln>
                            <a:noFill/>
                          </a:ln>
                        </pic:spPr>
                      </pic:pic>
                    </a:graphicData>
                  </a:graphic>
                </wp:inline>
              </w:drawing>
            </w:r>
          </w:p>
          <w:p w14:paraId="3C0AB7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aps w:val="0"/>
                <w:smallCaps w:val="0"/>
                <w:color w:val="auto"/>
                <w:spacing w:val="0"/>
                <w:w w:val="100"/>
                <w:kern w:val="0"/>
                <w:position w:val="0"/>
                <w:sz w:val="24"/>
                <w:szCs w:val="24"/>
                <w:lang w:eastAsia="zh-CN"/>
              </w:rPr>
            </w:pPr>
            <w:r>
              <w:rPr>
                <w:rFonts w:hint="default" w:ascii="Times New Roman" w:hAnsi="Times New Roman" w:eastAsia="宋体" w:cs="Times New Roman"/>
                <w:caps w:val="0"/>
                <w:smallCaps w:val="0"/>
                <w:color w:val="auto"/>
                <w:spacing w:val="0"/>
                <w:w w:val="100"/>
                <w:kern w:val="0"/>
                <w:position w:val="0"/>
                <w:sz w:val="24"/>
                <w:szCs w:val="24"/>
              </w:rPr>
              <w:t>式中：L</w:t>
            </w:r>
            <w:r>
              <w:rPr>
                <w:rFonts w:hint="default" w:ascii="Times New Roman" w:hAnsi="Times New Roman" w:eastAsia="宋体" w:cs="Times New Roman"/>
                <w:caps w:val="0"/>
                <w:smallCaps w:val="0"/>
                <w:color w:val="auto"/>
                <w:spacing w:val="0"/>
                <w:w w:val="100"/>
                <w:kern w:val="0"/>
                <w:position w:val="0"/>
                <w:sz w:val="24"/>
                <w:szCs w:val="24"/>
                <w:vertAlign w:val="subscript"/>
                <w:lang w:val="en-US" w:eastAsia="zh-CN"/>
              </w:rPr>
              <w:t>pli</w:t>
            </w:r>
            <w:r>
              <w:rPr>
                <w:rFonts w:hint="default" w:ascii="Times New Roman" w:hAnsi="Times New Roman" w:eastAsia="宋体" w:cs="Times New Roman"/>
                <w:caps w:val="0"/>
                <w:smallCaps w:val="0"/>
                <w:color w:val="auto"/>
                <w:spacing w:val="0"/>
                <w:w w:val="100"/>
                <w:kern w:val="0"/>
                <w:position w:val="0"/>
                <w:sz w:val="24"/>
                <w:szCs w:val="24"/>
                <w:vertAlign w:val="baseline"/>
                <w:lang w:val="en-US" w:eastAsia="zh-CN"/>
              </w:rPr>
              <w:t>（T）</w:t>
            </w:r>
            <w:r>
              <w:rPr>
                <w:rFonts w:hint="default" w:ascii="Times New Roman" w:hAnsi="Times New Roman" w:eastAsia="宋体" w:cs="Times New Roman"/>
                <w:caps w:val="0"/>
                <w:smallCaps w:val="0"/>
                <w:color w:val="auto"/>
                <w:spacing w:val="0"/>
                <w:w w:val="100"/>
                <w:kern w:val="0"/>
                <w:position w:val="0"/>
                <w:sz w:val="24"/>
                <w:szCs w:val="24"/>
              </w:rPr>
              <w:t>——靠近围护结构处室内N个声源i倍频带的叠加声压级，dB</w:t>
            </w:r>
            <w:r>
              <w:rPr>
                <w:rFonts w:hint="default" w:ascii="Times New Roman" w:hAnsi="Times New Roman" w:eastAsia="宋体" w:cs="Times New Roman"/>
                <w:caps w:val="0"/>
                <w:smallCaps w:val="0"/>
                <w:color w:val="auto"/>
                <w:spacing w:val="0"/>
                <w:w w:val="100"/>
                <w:kern w:val="0"/>
                <w:position w:val="0"/>
                <w:sz w:val="24"/>
                <w:szCs w:val="24"/>
                <w:lang w:eastAsia="zh-CN"/>
              </w:rPr>
              <w:t>；</w:t>
            </w:r>
          </w:p>
          <w:p w14:paraId="3710B597">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rFonts w:hint="default" w:ascii="Times New Roman" w:hAnsi="Times New Roman" w:eastAsia="宋体" w:cs="Times New Roman"/>
                <w:caps w:val="0"/>
                <w:smallCaps w:val="0"/>
                <w:color w:val="auto"/>
                <w:spacing w:val="0"/>
                <w:w w:val="100"/>
                <w:kern w:val="0"/>
                <w:position w:val="0"/>
                <w:sz w:val="24"/>
                <w:szCs w:val="24"/>
              </w:rPr>
            </w:pPr>
            <w:r>
              <w:rPr>
                <w:rFonts w:hint="default" w:ascii="Times New Roman" w:hAnsi="Times New Roman" w:eastAsia="宋体" w:cs="Times New Roman"/>
                <w:caps w:val="0"/>
                <w:smallCaps w:val="0"/>
                <w:color w:val="auto"/>
                <w:spacing w:val="0"/>
                <w:w w:val="100"/>
                <w:kern w:val="0"/>
                <w:position w:val="0"/>
                <w:sz w:val="24"/>
                <w:szCs w:val="24"/>
              </w:rPr>
              <w:t>L</w:t>
            </w:r>
            <w:r>
              <w:rPr>
                <w:rFonts w:hint="default" w:ascii="Times New Roman" w:hAnsi="Times New Roman" w:eastAsia="宋体" w:cs="Times New Roman"/>
                <w:caps w:val="0"/>
                <w:smallCaps w:val="0"/>
                <w:color w:val="auto"/>
                <w:spacing w:val="0"/>
                <w:w w:val="100"/>
                <w:kern w:val="0"/>
                <w:position w:val="0"/>
                <w:sz w:val="24"/>
                <w:szCs w:val="24"/>
                <w:vertAlign w:val="subscript"/>
                <w:lang w:val="en-US" w:eastAsia="zh-CN"/>
              </w:rPr>
              <w:t>plij</w:t>
            </w:r>
            <w:r>
              <w:rPr>
                <w:rFonts w:hint="default" w:ascii="Times New Roman" w:hAnsi="Times New Roman" w:eastAsia="宋体" w:cs="Times New Roman"/>
                <w:caps w:val="0"/>
                <w:smallCaps w:val="0"/>
                <w:color w:val="auto"/>
                <w:spacing w:val="0"/>
                <w:w w:val="100"/>
                <w:kern w:val="0"/>
                <w:position w:val="0"/>
                <w:sz w:val="24"/>
                <w:szCs w:val="24"/>
              </w:rPr>
              <w:t>——室内j声源i倍频带的声压级，dB；</w:t>
            </w:r>
          </w:p>
          <w:p w14:paraId="390538A3">
            <w:pPr>
              <w:keepNext w:val="0"/>
              <w:keepLines w:val="0"/>
              <w:pageBreakBefore w:val="0"/>
              <w:widowControl w:val="0"/>
              <w:kinsoku/>
              <w:wordWrap/>
              <w:overflowPunct/>
              <w:topLinePunct w:val="0"/>
              <w:autoSpaceDE/>
              <w:autoSpaceDN/>
              <w:bidi w:val="0"/>
              <w:adjustRightInd w:val="0"/>
              <w:snapToGrid w:val="0"/>
              <w:spacing w:line="360" w:lineRule="auto"/>
              <w:ind w:firstLine="1260" w:firstLineChars="6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N</w:t>
            </w:r>
            <w:r>
              <w:rPr>
                <w:rFonts w:hint="default" w:ascii="Times New Roman" w:hAnsi="Times New Roman" w:eastAsia="宋体" w:cs="Times New Roman"/>
                <w:caps w:val="0"/>
                <w:smallCaps w:val="0"/>
                <w:color w:val="auto"/>
                <w:spacing w:val="0"/>
                <w:w w:val="100"/>
                <w:kern w:val="0"/>
                <w:position w:val="0"/>
                <w:sz w:val="24"/>
                <w:szCs w:val="24"/>
              </w:rPr>
              <w:t>——室内</w:t>
            </w:r>
            <w:r>
              <w:rPr>
                <w:rFonts w:hint="default" w:ascii="Times New Roman" w:hAnsi="Times New Roman" w:eastAsia="宋体" w:cs="Times New Roman"/>
                <w:caps w:val="0"/>
                <w:smallCaps w:val="0"/>
                <w:color w:val="auto"/>
                <w:spacing w:val="0"/>
                <w:w w:val="100"/>
                <w:kern w:val="0"/>
                <w:position w:val="0"/>
                <w:sz w:val="24"/>
                <w:szCs w:val="24"/>
                <w:lang w:eastAsia="zh-CN"/>
              </w:rPr>
              <w:t>声源总数。</w:t>
            </w:r>
          </w:p>
          <w:p w14:paraId="6C19226F">
            <w:pPr>
              <w:pStyle w:val="21"/>
              <w:keepNext w:val="0"/>
              <w:keepLines w:val="0"/>
              <w:pageBreakBefore w:val="0"/>
              <w:widowControl w:val="0"/>
              <w:kinsoku/>
              <w:wordWrap/>
              <w:overflowPunct/>
              <w:topLinePunct w:val="0"/>
              <w:autoSpaceDE/>
              <w:autoSpaceDN/>
              <w:bidi w:val="0"/>
              <w:adjustRightInd w:val="0"/>
              <w:snapToGrid w:val="0"/>
              <w:spacing w:before="0" w:after="0" w:line="360" w:lineRule="auto"/>
              <w:ind w:right="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④在室内近似为扩散声场时，按式（B.4）计算出靠近室外围护结构处的声压级：</w:t>
            </w:r>
          </w:p>
          <w:p w14:paraId="3439726E">
            <w:pPr>
              <w:pStyle w:val="21"/>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0" w:firstLineChars="0"/>
              <w:jc w:val="center"/>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color w:val="auto"/>
              </w:rPr>
              <w:drawing>
                <wp:inline distT="0" distB="0" distL="114300" distR="114300">
                  <wp:extent cx="4064000" cy="332740"/>
                  <wp:effectExtent l="0" t="0" r="5715" b="1905"/>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pic:cNvPicPr>
                            <a:picLocks noChangeAspect="1"/>
                          </pic:cNvPicPr>
                        </pic:nvPicPr>
                        <pic:blipFill>
                          <a:blip r:embed="rId21"/>
                          <a:stretch>
                            <a:fillRect/>
                          </a:stretch>
                        </pic:blipFill>
                        <pic:spPr>
                          <a:xfrm>
                            <a:off x="0" y="0"/>
                            <a:ext cx="4064000" cy="332740"/>
                          </a:xfrm>
                          <a:prstGeom prst="rect">
                            <a:avLst/>
                          </a:prstGeom>
                          <a:noFill/>
                          <a:ln>
                            <a:noFill/>
                          </a:ln>
                        </pic:spPr>
                      </pic:pic>
                    </a:graphicData>
                  </a:graphic>
                </wp:inline>
              </w:drawing>
            </w:r>
          </w:p>
          <w:p w14:paraId="62D757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aps w:val="0"/>
                <w:smallCaps w:val="0"/>
                <w:color w:val="auto"/>
                <w:spacing w:val="0"/>
                <w:w w:val="100"/>
                <w:kern w:val="0"/>
                <w:position w:val="0"/>
                <w:sz w:val="24"/>
                <w:szCs w:val="24"/>
                <w:lang w:eastAsia="zh-CN"/>
              </w:rPr>
            </w:pPr>
            <w:r>
              <w:rPr>
                <w:rFonts w:hint="default" w:ascii="Times New Roman" w:hAnsi="Times New Roman" w:eastAsia="宋体" w:cs="Times New Roman"/>
                <w:caps w:val="0"/>
                <w:smallCaps w:val="0"/>
                <w:color w:val="auto"/>
                <w:spacing w:val="0"/>
                <w:w w:val="100"/>
                <w:kern w:val="0"/>
                <w:position w:val="0"/>
                <w:sz w:val="24"/>
                <w:szCs w:val="24"/>
              </w:rPr>
              <w:t>式中：L</w:t>
            </w:r>
            <w:r>
              <w:rPr>
                <w:rFonts w:hint="default" w:ascii="Times New Roman" w:hAnsi="Times New Roman" w:eastAsia="宋体" w:cs="Times New Roman"/>
                <w:caps w:val="0"/>
                <w:smallCaps w:val="0"/>
                <w:color w:val="auto"/>
                <w:spacing w:val="0"/>
                <w:w w:val="100"/>
                <w:kern w:val="0"/>
                <w:position w:val="0"/>
                <w:sz w:val="24"/>
                <w:szCs w:val="24"/>
                <w:vertAlign w:val="subscript"/>
                <w:lang w:val="en-US" w:eastAsia="zh-CN"/>
              </w:rPr>
              <w:t>p2i</w:t>
            </w:r>
            <w:r>
              <w:rPr>
                <w:rFonts w:hint="default" w:ascii="Times New Roman" w:hAnsi="Times New Roman" w:eastAsia="宋体" w:cs="Times New Roman"/>
                <w:caps w:val="0"/>
                <w:smallCaps w:val="0"/>
                <w:color w:val="auto"/>
                <w:spacing w:val="0"/>
                <w:w w:val="100"/>
                <w:kern w:val="0"/>
                <w:position w:val="0"/>
                <w:sz w:val="24"/>
                <w:szCs w:val="24"/>
                <w:vertAlign w:val="baseline"/>
                <w:lang w:val="en-US" w:eastAsia="zh-CN"/>
              </w:rPr>
              <w:t>（T）</w:t>
            </w:r>
            <w:r>
              <w:rPr>
                <w:rFonts w:hint="default" w:ascii="Times New Roman" w:hAnsi="Times New Roman" w:eastAsia="宋体" w:cs="Times New Roman"/>
                <w:caps w:val="0"/>
                <w:smallCaps w:val="0"/>
                <w:color w:val="auto"/>
                <w:spacing w:val="0"/>
                <w:w w:val="100"/>
                <w:kern w:val="0"/>
                <w:position w:val="0"/>
                <w:sz w:val="24"/>
                <w:szCs w:val="24"/>
              </w:rPr>
              <w:t>——靠近围护结构处室外N个声源i倍频带的叠加声压级，dB</w:t>
            </w:r>
            <w:r>
              <w:rPr>
                <w:rFonts w:hint="default" w:ascii="Times New Roman" w:hAnsi="Times New Roman" w:eastAsia="宋体" w:cs="Times New Roman"/>
                <w:caps w:val="0"/>
                <w:smallCaps w:val="0"/>
                <w:color w:val="auto"/>
                <w:spacing w:val="0"/>
                <w:w w:val="100"/>
                <w:kern w:val="0"/>
                <w:position w:val="0"/>
                <w:sz w:val="24"/>
                <w:szCs w:val="24"/>
                <w:lang w:eastAsia="zh-CN"/>
              </w:rPr>
              <w:t>；</w:t>
            </w:r>
          </w:p>
          <w:p w14:paraId="610C059A">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rFonts w:hint="default" w:ascii="Times New Roman" w:hAnsi="Times New Roman" w:eastAsia="宋体" w:cs="Times New Roman"/>
                <w:caps w:val="0"/>
                <w:smallCaps w:val="0"/>
                <w:color w:val="auto"/>
                <w:spacing w:val="0"/>
                <w:w w:val="100"/>
                <w:kern w:val="0"/>
                <w:position w:val="0"/>
                <w:sz w:val="24"/>
                <w:szCs w:val="24"/>
                <w:lang w:eastAsia="zh-CN"/>
              </w:rPr>
            </w:pPr>
            <w:r>
              <w:rPr>
                <w:rFonts w:hint="default" w:ascii="Times New Roman" w:hAnsi="Times New Roman" w:eastAsia="宋体" w:cs="Times New Roman"/>
                <w:caps w:val="0"/>
                <w:smallCaps w:val="0"/>
                <w:color w:val="auto"/>
                <w:spacing w:val="0"/>
                <w:w w:val="100"/>
                <w:kern w:val="0"/>
                <w:position w:val="0"/>
                <w:sz w:val="24"/>
                <w:szCs w:val="24"/>
              </w:rPr>
              <w:t>L</w:t>
            </w:r>
            <w:r>
              <w:rPr>
                <w:rFonts w:hint="default" w:ascii="Times New Roman" w:hAnsi="Times New Roman" w:eastAsia="宋体" w:cs="Times New Roman"/>
                <w:caps w:val="0"/>
                <w:smallCaps w:val="0"/>
                <w:color w:val="auto"/>
                <w:spacing w:val="0"/>
                <w:w w:val="100"/>
                <w:kern w:val="0"/>
                <w:position w:val="0"/>
                <w:sz w:val="24"/>
                <w:szCs w:val="24"/>
                <w:vertAlign w:val="subscript"/>
                <w:lang w:val="en-US" w:eastAsia="zh-CN"/>
              </w:rPr>
              <w:t>pli</w:t>
            </w:r>
            <w:r>
              <w:rPr>
                <w:rFonts w:hint="default" w:ascii="Times New Roman" w:hAnsi="Times New Roman" w:eastAsia="宋体" w:cs="Times New Roman"/>
                <w:caps w:val="0"/>
                <w:smallCaps w:val="0"/>
                <w:color w:val="auto"/>
                <w:spacing w:val="0"/>
                <w:w w:val="100"/>
                <w:kern w:val="0"/>
                <w:position w:val="0"/>
                <w:sz w:val="24"/>
                <w:szCs w:val="24"/>
                <w:vertAlign w:val="baseline"/>
                <w:lang w:val="en-US" w:eastAsia="zh-CN"/>
              </w:rPr>
              <w:t>（T）</w:t>
            </w:r>
            <w:r>
              <w:rPr>
                <w:rFonts w:hint="default" w:ascii="Times New Roman" w:hAnsi="Times New Roman" w:eastAsia="宋体" w:cs="Times New Roman"/>
                <w:caps w:val="0"/>
                <w:smallCaps w:val="0"/>
                <w:color w:val="auto"/>
                <w:spacing w:val="0"/>
                <w:w w:val="100"/>
                <w:kern w:val="0"/>
                <w:position w:val="0"/>
                <w:sz w:val="24"/>
                <w:szCs w:val="24"/>
              </w:rPr>
              <w:t>——靠近围护结构处室内N个声源i倍频带的叠加声压级</w:t>
            </w:r>
            <w:r>
              <w:rPr>
                <w:rFonts w:hint="default" w:ascii="Times New Roman" w:hAnsi="Times New Roman" w:eastAsia="宋体" w:cs="Times New Roman"/>
                <w:caps w:val="0"/>
                <w:smallCaps w:val="0"/>
                <w:color w:val="auto"/>
                <w:spacing w:val="0"/>
                <w:w w:val="100"/>
                <w:kern w:val="0"/>
                <w:position w:val="0"/>
                <w:sz w:val="24"/>
                <w:szCs w:val="24"/>
                <w:lang w:eastAsia="zh-CN"/>
              </w:rPr>
              <w:t>，dB；</w:t>
            </w:r>
          </w:p>
          <w:p w14:paraId="2F8D4297">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rFonts w:hint="default" w:ascii="Times New Roman" w:hAnsi="Times New Roman" w:eastAsia="宋体" w:cs="Times New Roman"/>
                <w:caps w:val="0"/>
                <w:smallCaps w:val="0"/>
                <w:color w:val="auto"/>
                <w:spacing w:val="0"/>
                <w:w w:val="100"/>
                <w:kern w:val="0"/>
                <w:position w:val="0"/>
                <w:sz w:val="24"/>
                <w:szCs w:val="24"/>
              </w:rPr>
            </w:pPr>
            <w:r>
              <w:rPr>
                <w:rFonts w:hint="default" w:ascii="Times New Roman" w:hAnsi="Times New Roman" w:eastAsia="宋体" w:cs="Times New Roman"/>
                <w:caps w:val="0"/>
                <w:smallCaps w:val="0"/>
                <w:color w:val="auto"/>
                <w:spacing w:val="0"/>
                <w:w w:val="100"/>
                <w:kern w:val="0"/>
                <w:position w:val="0"/>
                <w:sz w:val="24"/>
                <w:szCs w:val="24"/>
                <w:lang w:val="en-US" w:eastAsia="zh-CN"/>
              </w:rPr>
              <w:t>T</w:t>
            </w:r>
            <w:r>
              <w:rPr>
                <w:rFonts w:hint="default" w:ascii="Times New Roman" w:hAnsi="Times New Roman" w:eastAsia="宋体" w:cs="Times New Roman"/>
                <w:caps w:val="0"/>
                <w:smallCaps w:val="0"/>
                <w:color w:val="auto"/>
                <w:spacing w:val="0"/>
                <w:w w:val="100"/>
                <w:kern w:val="0"/>
                <w:position w:val="0"/>
                <w:sz w:val="24"/>
                <w:szCs w:val="24"/>
              </w:rPr>
              <w:t>L</w:t>
            </w:r>
            <w:r>
              <w:rPr>
                <w:rFonts w:hint="default" w:ascii="Times New Roman" w:hAnsi="Times New Roman" w:eastAsia="宋体" w:cs="Times New Roman"/>
                <w:caps w:val="0"/>
                <w:smallCaps w:val="0"/>
                <w:color w:val="auto"/>
                <w:spacing w:val="0"/>
                <w:w w:val="100"/>
                <w:kern w:val="0"/>
                <w:position w:val="0"/>
                <w:sz w:val="24"/>
                <w:szCs w:val="24"/>
                <w:vertAlign w:val="subscript"/>
                <w:lang w:val="en-US" w:eastAsia="zh-CN"/>
              </w:rPr>
              <w:t>i</w:t>
            </w:r>
            <w:r>
              <w:rPr>
                <w:rFonts w:hint="default" w:ascii="Times New Roman" w:hAnsi="Times New Roman" w:eastAsia="宋体" w:cs="Times New Roman"/>
                <w:caps w:val="0"/>
                <w:smallCaps w:val="0"/>
                <w:color w:val="auto"/>
                <w:spacing w:val="0"/>
                <w:w w:val="100"/>
                <w:kern w:val="0"/>
                <w:position w:val="0"/>
                <w:sz w:val="24"/>
                <w:szCs w:val="24"/>
              </w:rPr>
              <w:t>——围护结构i倍频带的隔声量，dB；</w:t>
            </w:r>
          </w:p>
          <w:p w14:paraId="779DC5C4">
            <w:pPr>
              <w:pStyle w:val="21"/>
              <w:keepNext w:val="0"/>
              <w:keepLines w:val="0"/>
              <w:pageBreakBefore w:val="0"/>
              <w:widowControl w:val="0"/>
              <w:kinsoku/>
              <w:wordWrap/>
              <w:overflowPunct/>
              <w:topLinePunct w:val="0"/>
              <w:autoSpaceDE/>
              <w:autoSpaceDN/>
              <w:bidi w:val="0"/>
              <w:adjustRightInd w:val="0"/>
              <w:snapToGrid w:val="0"/>
              <w:spacing w:before="0" w:after="0" w:line="360" w:lineRule="auto"/>
              <w:ind w:right="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⑤然后按式（B.5）将室外声源的声压级和透过面积换算成等效的室外声源，计算出中心位置位于透声面积（S）处的等效声源的倍频带声功率级。</w:t>
            </w:r>
          </w:p>
          <w:p w14:paraId="5E7D5C83">
            <w:pPr>
              <w:pStyle w:val="21"/>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0" w:firstLineChars="0"/>
              <w:jc w:val="center"/>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color w:val="auto"/>
              </w:rPr>
              <w:drawing>
                <wp:inline distT="0" distB="0" distL="114300" distR="114300">
                  <wp:extent cx="3923665" cy="304165"/>
                  <wp:effectExtent l="0" t="0" r="5715" b="8890"/>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1"/>
                          </pic:cNvPicPr>
                        </pic:nvPicPr>
                        <pic:blipFill>
                          <a:blip r:embed="rId22"/>
                          <a:stretch>
                            <a:fillRect/>
                          </a:stretch>
                        </pic:blipFill>
                        <pic:spPr>
                          <a:xfrm>
                            <a:off x="0" y="0"/>
                            <a:ext cx="3923665" cy="304165"/>
                          </a:xfrm>
                          <a:prstGeom prst="rect">
                            <a:avLst/>
                          </a:prstGeom>
                          <a:noFill/>
                          <a:ln>
                            <a:noFill/>
                          </a:ln>
                        </pic:spPr>
                      </pic:pic>
                    </a:graphicData>
                  </a:graphic>
                </wp:inline>
              </w:drawing>
            </w:r>
          </w:p>
          <w:p w14:paraId="4BB840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式中：</w:t>
            </w:r>
            <w:r>
              <w:rPr>
                <w:rFonts w:hint="default" w:ascii="Times New Roman" w:hAnsi="Times New Roman" w:eastAsia="宋体" w:cs="Times New Roman"/>
                <w:color w:val="auto"/>
                <w:sz w:val="24"/>
                <w:szCs w:val="24"/>
              </w:rPr>
              <w:t>L</w:t>
            </w:r>
            <w:r>
              <w:rPr>
                <w:rFonts w:hint="default" w:ascii="Times New Roman" w:hAnsi="Times New Roman" w:eastAsia="宋体" w:cs="Times New Roman"/>
                <w:color w:val="auto"/>
                <w:sz w:val="24"/>
                <w:szCs w:val="24"/>
                <w:vertAlign w:val="subscript"/>
                <w:lang w:val="en-US" w:eastAsia="zh-CN"/>
              </w:rPr>
              <w:t>W</w:t>
            </w:r>
            <w:r>
              <w:rPr>
                <w:rFonts w:hint="default" w:ascii="Times New Roman" w:hAnsi="Times New Roman" w:eastAsia="宋体" w:cs="Times New Roman"/>
                <w:color w:val="auto"/>
                <w:sz w:val="24"/>
                <w:szCs w:val="24"/>
              </w:rPr>
              <w:t>——中心位置位于透声面积（S）处的等效声源的倍频带声功率级，dB；</w:t>
            </w:r>
          </w:p>
          <w:p w14:paraId="5DCA4E34">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L</w:t>
            </w:r>
            <w:r>
              <w:rPr>
                <w:rFonts w:hint="default" w:ascii="Times New Roman" w:hAnsi="Times New Roman" w:eastAsia="宋体" w:cs="Times New Roman"/>
                <w:color w:val="auto"/>
                <w:sz w:val="24"/>
                <w:szCs w:val="24"/>
                <w:vertAlign w:val="subscript"/>
                <w:lang w:val="en-US" w:eastAsia="zh-CN"/>
              </w:rPr>
              <w:t>p2</w:t>
            </w:r>
            <w:r>
              <w:rPr>
                <w:rFonts w:hint="default" w:ascii="Times New Roman" w:hAnsi="Times New Roman" w:eastAsia="宋体" w:cs="Times New Roman"/>
                <w:color w:val="auto"/>
                <w:sz w:val="24"/>
                <w:szCs w:val="24"/>
                <w:vertAlign w:val="baseline"/>
                <w:lang w:val="en-US" w:eastAsia="zh-CN"/>
              </w:rPr>
              <w:t>（T）</w:t>
            </w:r>
            <w:r>
              <w:rPr>
                <w:rFonts w:hint="default" w:ascii="Times New Roman" w:hAnsi="Times New Roman" w:eastAsia="宋体" w:cs="Times New Roman"/>
                <w:color w:val="auto"/>
                <w:sz w:val="24"/>
                <w:szCs w:val="24"/>
              </w:rPr>
              <w:t>——靠近围护结构处室外声源的声压级，dB；</w:t>
            </w:r>
          </w:p>
          <w:p w14:paraId="57965695">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S</w:t>
            </w:r>
            <w:r>
              <w:rPr>
                <w:rFonts w:hint="default" w:ascii="Times New Roman" w:hAnsi="Times New Roman" w:eastAsia="宋体" w:cs="Times New Roman"/>
                <w:color w:val="auto"/>
                <w:sz w:val="24"/>
                <w:szCs w:val="24"/>
              </w:rPr>
              <w:t>——透声面积，m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w:t>
            </w:r>
          </w:p>
          <w:p w14:paraId="50A094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然后按室外声源预测方法计算预测点处的 A 声级。</w:t>
            </w:r>
          </w:p>
          <w:p w14:paraId="06F46F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⑥工业企业噪声计算</w:t>
            </w:r>
          </w:p>
          <w:p w14:paraId="2B721E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aps w:val="0"/>
                <w:smallCaps w:val="0"/>
                <w:color w:val="auto"/>
                <w:spacing w:val="0"/>
                <w:w w:val="100"/>
                <w:kern w:val="0"/>
                <w:position w:val="0"/>
                <w:sz w:val="24"/>
                <w:szCs w:val="24"/>
              </w:rPr>
            </w:pPr>
            <w:r>
              <w:rPr>
                <w:rFonts w:hint="default" w:ascii="Times New Roman" w:hAnsi="Times New Roman" w:eastAsia="宋体" w:cs="Times New Roman"/>
                <w:caps w:val="0"/>
                <w:smallCaps w:val="0"/>
                <w:color w:val="auto"/>
                <w:spacing w:val="0"/>
                <w:w w:val="100"/>
                <w:kern w:val="0"/>
                <w:position w:val="0"/>
                <w:sz w:val="24"/>
                <w:szCs w:val="24"/>
              </w:rPr>
              <w:t>设第i个室外声源在预测点产生的A声级为L</w:t>
            </w:r>
            <w:r>
              <w:rPr>
                <w:rFonts w:hint="default" w:ascii="Times New Roman" w:hAnsi="Times New Roman" w:eastAsia="宋体" w:cs="Times New Roman"/>
                <w:caps w:val="0"/>
                <w:smallCaps w:val="0"/>
                <w:color w:val="auto"/>
                <w:spacing w:val="0"/>
                <w:w w:val="100"/>
                <w:kern w:val="0"/>
                <w:position w:val="0"/>
                <w:sz w:val="24"/>
                <w:szCs w:val="24"/>
                <w:vertAlign w:val="subscript"/>
              </w:rPr>
              <w:t>Ai</w:t>
            </w:r>
            <w:r>
              <w:rPr>
                <w:rFonts w:hint="default" w:ascii="Times New Roman" w:hAnsi="Times New Roman" w:eastAsia="宋体" w:cs="Times New Roman"/>
                <w:caps w:val="0"/>
                <w:smallCaps w:val="0"/>
                <w:color w:val="auto"/>
                <w:spacing w:val="0"/>
                <w:w w:val="100"/>
                <w:kern w:val="0"/>
                <w:position w:val="0"/>
                <w:sz w:val="24"/>
                <w:szCs w:val="24"/>
              </w:rPr>
              <w:t>，在T时间内该声源工作时间为t</w:t>
            </w:r>
            <w:r>
              <w:rPr>
                <w:rFonts w:hint="default" w:ascii="Times New Roman" w:hAnsi="Times New Roman" w:eastAsia="宋体" w:cs="Times New Roman"/>
                <w:caps w:val="0"/>
                <w:smallCaps w:val="0"/>
                <w:color w:val="auto"/>
                <w:spacing w:val="0"/>
                <w:w w:val="100"/>
                <w:kern w:val="0"/>
                <w:position w:val="0"/>
                <w:sz w:val="24"/>
                <w:szCs w:val="24"/>
                <w:vertAlign w:val="subscript"/>
              </w:rPr>
              <w:t>i</w:t>
            </w:r>
            <w:r>
              <w:rPr>
                <w:rFonts w:hint="default" w:ascii="Times New Roman" w:hAnsi="Times New Roman" w:eastAsia="宋体" w:cs="Times New Roman"/>
                <w:caps w:val="0"/>
                <w:smallCaps w:val="0"/>
                <w:color w:val="auto"/>
                <w:spacing w:val="0"/>
                <w:w w:val="100"/>
                <w:kern w:val="0"/>
                <w:position w:val="0"/>
                <w:sz w:val="24"/>
                <w:szCs w:val="24"/>
              </w:rPr>
              <w:t>；第j个等效室外声源在预测点产生的A声级为L</w:t>
            </w:r>
            <w:r>
              <w:rPr>
                <w:rFonts w:hint="default" w:ascii="Times New Roman" w:hAnsi="Times New Roman" w:eastAsia="宋体" w:cs="Times New Roman"/>
                <w:caps w:val="0"/>
                <w:smallCaps w:val="0"/>
                <w:color w:val="auto"/>
                <w:spacing w:val="0"/>
                <w:w w:val="100"/>
                <w:kern w:val="0"/>
                <w:position w:val="0"/>
                <w:sz w:val="24"/>
                <w:szCs w:val="24"/>
                <w:vertAlign w:val="subscript"/>
              </w:rPr>
              <w:t xml:space="preserve">Aj </w:t>
            </w:r>
            <w:r>
              <w:rPr>
                <w:rFonts w:hint="default" w:ascii="Times New Roman" w:hAnsi="Times New Roman" w:eastAsia="宋体" w:cs="Times New Roman"/>
                <w:caps w:val="0"/>
                <w:smallCaps w:val="0"/>
                <w:color w:val="auto"/>
                <w:spacing w:val="0"/>
                <w:w w:val="100"/>
                <w:kern w:val="0"/>
                <w:position w:val="0"/>
                <w:sz w:val="24"/>
                <w:szCs w:val="24"/>
              </w:rPr>
              <w:t>，在T时间内该声源工作时间为t</w:t>
            </w:r>
            <w:r>
              <w:rPr>
                <w:rFonts w:hint="default" w:ascii="Times New Roman" w:hAnsi="Times New Roman" w:eastAsia="宋体" w:cs="Times New Roman"/>
                <w:caps w:val="0"/>
                <w:smallCaps w:val="0"/>
                <w:color w:val="auto"/>
                <w:spacing w:val="0"/>
                <w:w w:val="100"/>
                <w:kern w:val="0"/>
                <w:position w:val="0"/>
                <w:sz w:val="24"/>
                <w:szCs w:val="24"/>
                <w:vertAlign w:val="subscript"/>
              </w:rPr>
              <w:t>j</w:t>
            </w:r>
            <w:r>
              <w:rPr>
                <w:rFonts w:hint="default" w:ascii="Times New Roman" w:hAnsi="Times New Roman" w:eastAsia="宋体" w:cs="Times New Roman"/>
                <w:caps w:val="0"/>
                <w:smallCaps w:val="0"/>
                <w:color w:val="auto"/>
                <w:spacing w:val="0"/>
                <w:w w:val="100"/>
                <w:kern w:val="0"/>
                <w:position w:val="0"/>
                <w:sz w:val="24"/>
                <w:szCs w:val="24"/>
              </w:rPr>
              <w:t>，则拟建工程声源对预测点产生的贡献值（L</w:t>
            </w:r>
            <w:r>
              <w:rPr>
                <w:rFonts w:hint="default" w:ascii="Times New Roman" w:hAnsi="Times New Roman" w:eastAsia="宋体" w:cs="Times New Roman"/>
                <w:caps w:val="0"/>
                <w:smallCaps w:val="0"/>
                <w:color w:val="auto"/>
                <w:spacing w:val="0"/>
                <w:w w:val="100"/>
                <w:kern w:val="0"/>
                <w:position w:val="0"/>
                <w:sz w:val="24"/>
                <w:szCs w:val="24"/>
                <w:vertAlign w:val="subscript"/>
              </w:rPr>
              <w:t>eqg</w:t>
            </w:r>
            <w:r>
              <w:rPr>
                <w:rFonts w:hint="default" w:ascii="Times New Roman" w:hAnsi="Times New Roman" w:eastAsia="宋体" w:cs="Times New Roman"/>
                <w:caps w:val="0"/>
                <w:smallCaps w:val="0"/>
                <w:color w:val="auto"/>
                <w:spacing w:val="0"/>
                <w:w w:val="100"/>
                <w:kern w:val="0"/>
                <w:position w:val="0"/>
                <w:sz w:val="24"/>
                <w:szCs w:val="24"/>
              </w:rPr>
              <w:t>）为：</w:t>
            </w:r>
          </w:p>
          <w:p w14:paraId="066E858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aps w:val="0"/>
                <w:smallCaps w:val="0"/>
                <w:color w:val="auto"/>
                <w:spacing w:val="0"/>
                <w:w w:val="100"/>
                <w:kern w:val="0"/>
                <w:position w:val="0"/>
                <w:sz w:val="24"/>
                <w:szCs w:val="24"/>
              </w:rPr>
            </w:pPr>
            <w:r>
              <w:rPr>
                <w:rFonts w:hint="default" w:ascii="Times New Roman" w:hAnsi="Times New Roman" w:eastAsia="宋体" w:cs="Times New Roman"/>
                <w:color w:val="auto"/>
              </w:rPr>
              <w:drawing>
                <wp:inline distT="0" distB="0" distL="114300" distR="114300">
                  <wp:extent cx="4066540" cy="510540"/>
                  <wp:effectExtent l="0" t="0" r="3175" b="7620"/>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pic:cNvPicPr>
                        </pic:nvPicPr>
                        <pic:blipFill>
                          <a:blip r:embed="rId23"/>
                          <a:stretch>
                            <a:fillRect/>
                          </a:stretch>
                        </pic:blipFill>
                        <pic:spPr>
                          <a:xfrm>
                            <a:off x="0" y="0"/>
                            <a:ext cx="4066540" cy="510540"/>
                          </a:xfrm>
                          <a:prstGeom prst="rect">
                            <a:avLst/>
                          </a:prstGeom>
                          <a:noFill/>
                          <a:ln>
                            <a:noFill/>
                          </a:ln>
                        </pic:spPr>
                      </pic:pic>
                    </a:graphicData>
                  </a:graphic>
                </wp:inline>
              </w:drawing>
            </w:r>
          </w:p>
          <w:p w14:paraId="75AF7B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aps w:val="0"/>
                <w:smallCaps w:val="0"/>
                <w:color w:val="auto"/>
                <w:spacing w:val="0"/>
                <w:w w:val="100"/>
                <w:kern w:val="0"/>
                <w:position w:val="0"/>
                <w:sz w:val="24"/>
                <w:szCs w:val="24"/>
                <w:vertAlign w:val="subscript"/>
              </w:rPr>
            </w:pPr>
            <w:r>
              <w:rPr>
                <w:rFonts w:hint="default" w:ascii="Times New Roman" w:hAnsi="Times New Roman" w:eastAsia="宋体" w:cs="Times New Roman"/>
                <w:caps w:val="0"/>
                <w:smallCaps w:val="0"/>
                <w:color w:val="auto"/>
                <w:spacing w:val="0"/>
                <w:w w:val="100"/>
                <w:kern w:val="0"/>
                <w:position w:val="0"/>
                <w:sz w:val="24"/>
                <w:szCs w:val="24"/>
              </w:rPr>
              <w:t>式中：L</w:t>
            </w:r>
            <w:r>
              <w:rPr>
                <w:rFonts w:hint="default" w:ascii="Times New Roman" w:hAnsi="Times New Roman" w:eastAsia="宋体" w:cs="Times New Roman"/>
                <w:caps w:val="0"/>
                <w:smallCaps w:val="0"/>
                <w:color w:val="auto"/>
                <w:spacing w:val="0"/>
                <w:w w:val="100"/>
                <w:kern w:val="0"/>
                <w:position w:val="0"/>
                <w:sz w:val="24"/>
                <w:szCs w:val="24"/>
                <w:vertAlign w:val="subscript"/>
              </w:rPr>
              <w:t>eqg</w:t>
            </w:r>
            <w:r>
              <w:rPr>
                <w:rFonts w:hint="default" w:ascii="Times New Roman" w:hAnsi="Times New Roman" w:eastAsia="宋体" w:cs="Times New Roman"/>
                <w:caps w:val="0"/>
                <w:smallCaps w:val="0"/>
                <w:color w:val="auto"/>
                <w:spacing w:val="0"/>
                <w:w w:val="100"/>
                <w:kern w:val="0"/>
                <w:position w:val="0"/>
                <w:sz w:val="24"/>
                <w:szCs w:val="24"/>
              </w:rPr>
              <w:t>——建设项目声源在预测点产生的噪声贡献值，dB；</w:t>
            </w:r>
          </w:p>
          <w:p w14:paraId="075040FC">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jc w:val="both"/>
              <w:textAlignment w:val="auto"/>
              <w:rPr>
                <w:rFonts w:hint="default" w:ascii="Times New Roman" w:hAnsi="Times New Roman" w:eastAsia="宋体" w:cs="Times New Roman"/>
                <w:caps w:val="0"/>
                <w:smallCaps w:val="0"/>
                <w:color w:val="auto"/>
                <w:spacing w:val="0"/>
                <w:w w:val="100"/>
                <w:kern w:val="0"/>
                <w:position w:val="0"/>
                <w:sz w:val="24"/>
                <w:szCs w:val="24"/>
              </w:rPr>
            </w:pPr>
            <w:r>
              <w:rPr>
                <w:rFonts w:hint="default" w:ascii="Times New Roman" w:hAnsi="Times New Roman" w:eastAsia="宋体" w:cs="Times New Roman"/>
                <w:caps w:val="0"/>
                <w:smallCaps w:val="0"/>
                <w:color w:val="auto"/>
                <w:spacing w:val="0"/>
                <w:w w:val="100"/>
                <w:kern w:val="0"/>
                <w:position w:val="0"/>
                <w:sz w:val="24"/>
                <w:szCs w:val="24"/>
              </w:rPr>
              <w:t>T——用于计算等效声级的时间，s；</w:t>
            </w:r>
          </w:p>
          <w:p w14:paraId="58BCFC99">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jc w:val="both"/>
              <w:textAlignment w:val="auto"/>
              <w:rPr>
                <w:rFonts w:hint="default" w:ascii="Times New Roman" w:hAnsi="Times New Roman" w:eastAsia="宋体" w:cs="Times New Roman"/>
                <w:caps w:val="0"/>
                <w:smallCaps w:val="0"/>
                <w:color w:val="auto"/>
                <w:spacing w:val="0"/>
                <w:w w:val="100"/>
                <w:kern w:val="0"/>
                <w:position w:val="0"/>
                <w:sz w:val="24"/>
                <w:szCs w:val="24"/>
                <w:lang w:eastAsia="zh-CN"/>
              </w:rPr>
            </w:pPr>
            <w:r>
              <w:rPr>
                <w:rFonts w:hint="default" w:ascii="Times New Roman" w:hAnsi="Times New Roman" w:eastAsia="宋体" w:cs="Times New Roman"/>
                <w:caps w:val="0"/>
                <w:smallCaps w:val="0"/>
                <w:color w:val="auto"/>
                <w:spacing w:val="0"/>
                <w:w w:val="100"/>
                <w:kern w:val="0"/>
                <w:position w:val="0"/>
                <w:sz w:val="24"/>
                <w:szCs w:val="24"/>
              </w:rPr>
              <w:t>N——室外声源个数</w:t>
            </w:r>
            <w:r>
              <w:rPr>
                <w:rFonts w:hint="default" w:ascii="Times New Roman" w:hAnsi="Times New Roman" w:eastAsia="宋体" w:cs="Times New Roman"/>
                <w:caps w:val="0"/>
                <w:smallCaps w:val="0"/>
                <w:color w:val="auto"/>
                <w:spacing w:val="0"/>
                <w:w w:val="100"/>
                <w:kern w:val="0"/>
                <w:position w:val="0"/>
                <w:sz w:val="24"/>
                <w:szCs w:val="24"/>
                <w:lang w:eastAsia="zh-CN"/>
              </w:rPr>
              <w:t>；</w:t>
            </w:r>
          </w:p>
          <w:p w14:paraId="3941FE2E">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jc w:val="both"/>
              <w:textAlignment w:val="auto"/>
              <w:rPr>
                <w:rFonts w:hint="default" w:ascii="Times New Roman" w:hAnsi="Times New Roman" w:eastAsia="宋体" w:cs="Times New Roman"/>
                <w:caps w:val="0"/>
                <w:smallCaps w:val="0"/>
                <w:color w:val="auto"/>
                <w:spacing w:val="0"/>
                <w:w w:val="100"/>
                <w:kern w:val="0"/>
                <w:position w:val="0"/>
                <w:sz w:val="24"/>
                <w:szCs w:val="24"/>
              </w:rPr>
            </w:pPr>
            <w:r>
              <w:rPr>
                <w:rFonts w:hint="default" w:ascii="Times New Roman" w:hAnsi="Times New Roman" w:eastAsia="宋体" w:cs="Times New Roman"/>
                <w:caps w:val="0"/>
                <w:smallCaps w:val="0"/>
                <w:color w:val="auto"/>
                <w:spacing w:val="0"/>
                <w:w w:val="100"/>
                <w:kern w:val="0"/>
                <w:position w:val="0"/>
                <w:sz w:val="24"/>
                <w:szCs w:val="24"/>
              </w:rPr>
              <w:t xml:space="preserve">t </w:t>
            </w:r>
            <w:r>
              <w:rPr>
                <w:rFonts w:hint="default" w:ascii="Times New Roman" w:hAnsi="Times New Roman" w:eastAsia="宋体" w:cs="Times New Roman"/>
                <w:caps w:val="0"/>
                <w:smallCaps w:val="0"/>
                <w:color w:val="auto"/>
                <w:spacing w:val="0"/>
                <w:w w:val="100"/>
                <w:kern w:val="0"/>
                <w:position w:val="0"/>
                <w:sz w:val="24"/>
                <w:szCs w:val="24"/>
                <w:vertAlign w:val="subscript"/>
                <w:lang w:val="en-US" w:eastAsia="zh-CN"/>
              </w:rPr>
              <w:t>i</w:t>
            </w:r>
            <w:r>
              <w:rPr>
                <w:rFonts w:hint="default" w:ascii="Times New Roman" w:hAnsi="Times New Roman" w:eastAsia="宋体" w:cs="Times New Roman"/>
                <w:caps w:val="0"/>
                <w:smallCaps w:val="0"/>
                <w:color w:val="auto"/>
                <w:spacing w:val="0"/>
                <w:w w:val="100"/>
                <w:kern w:val="0"/>
                <w:position w:val="0"/>
                <w:sz w:val="24"/>
                <w:szCs w:val="24"/>
              </w:rPr>
              <w:t>——在T时间内i声源工作时间，s；</w:t>
            </w:r>
          </w:p>
          <w:p w14:paraId="32175B9F">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jc w:val="both"/>
              <w:textAlignment w:val="auto"/>
              <w:rPr>
                <w:rFonts w:hint="default" w:ascii="Times New Roman" w:hAnsi="Times New Roman" w:eastAsia="宋体" w:cs="Times New Roman"/>
                <w:caps w:val="0"/>
                <w:smallCaps w:val="0"/>
                <w:color w:val="auto"/>
                <w:spacing w:val="0"/>
                <w:w w:val="100"/>
                <w:kern w:val="0"/>
                <w:position w:val="0"/>
                <w:sz w:val="24"/>
                <w:szCs w:val="24"/>
                <w:lang w:eastAsia="zh-CN"/>
              </w:rPr>
            </w:pPr>
            <w:r>
              <w:rPr>
                <w:rFonts w:hint="default" w:ascii="Times New Roman" w:hAnsi="Times New Roman" w:eastAsia="宋体" w:cs="Times New Roman"/>
                <w:caps w:val="0"/>
                <w:smallCaps w:val="0"/>
                <w:color w:val="auto"/>
                <w:spacing w:val="0"/>
                <w:w w:val="100"/>
                <w:kern w:val="0"/>
                <w:position w:val="0"/>
                <w:sz w:val="24"/>
                <w:szCs w:val="24"/>
              </w:rPr>
              <w:t>M——等效室外声源个数</w:t>
            </w:r>
            <w:r>
              <w:rPr>
                <w:rFonts w:hint="default" w:ascii="Times New Roman" w:hAnsi="Times New Roman" w:eastAsia="宋体" w:cs="Times New Roman"/>
                <w:caps w:val="0"/>
                <w:smallCaps w:val="0"/>
                <w:color w:val="auto"/>
                <w:spacing w:val="0"/>
                <w:w w:val="100"/>
                <w:kern w:val="0"/>
                <w:position w:val="0"/>
                <w:sz w:val="24"/>
                <w:szCs w:val="24"/>
                <w:lang w:eastAsia="zh-CN"/>
              </w:rPr>
              <w:t>；</w:t>
            </w:r>
          </w:p>
          <w:p w14:paraId="37961A52">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jc w:val="both"/>
              <w:textAlignment w:val="auto"/>
              <w:rPr>
                <w:rFonts w:hint="default" w:ascii="Times New Roman" w:hAnsi="Times New Roman" w:eastAsia="宋体" w:cs="Times New Roman"/>
                <w:caps w:val="0"/>
                <w:smallCaps w:val="0"/>
                <w:color w:val="auto"/>
                <w:spacing w:val="0"/>
                <w:w w:val="100"/>
                <w:kern w:val="0"/>
                <w:position w:val="0"/>
                <w:sz w:val="24"/>
                <w:szCs w:val="24"/>
              </w:rPr>
            </w:pPr>
            <w:r>
              <w:rPr>
                <w:rFonts w:hint="default" w:ascii="Times New Roman" w:hAnsi="Times New Roman" w:eastAsia="宋体" w:cs="Times New Roman"/>
                <w:caps w:val="0"/>
                <w:smallCaps w:val="0"/>
                <w:color w:val="auto"/>
                <w:spacing w:val="0"/>
                <w:w w:val="100"/>
                <w:kern w:val="0"/>
                <w:position w:val="0"/>
                <w:sz w:val="24"/>
                <w:szCs w:val="24"/>
              </w:rPr>
              <w:t>t</w:t>
            </w:r>
            <w:r>
              <w:rPr>
                <w:rFonts w:hint="default" w:ascii="Times New Roman" w:hAnsi="Times New Roman" w:eastAsia="宋体" w:cs="Times New Roman"/>
                <w:caps w:val="0"/>
                <w:smallCaps w:val="0"/>
                <w:color w:val="auto"/>
                <w:spacing w:val="0"/>
                <w:w w:val="100"/>
                <w:kern w:val="0"/>
                <w:position w:val="0"/>
                <w:sz w:val="24"/>
                <w:szCs w:val="24"/>
                <w:vertAlign w:val="subscript"/>
                <w:lang w:val="en-US" w:eastAsia="zh-CN"/>
              </w:rPr>
              <w:t>j</w:t>
            </w:r>
            <w:r>
              <w:rPr>
                <w:rFonts w:hint="default" w:ascii="Times New Roman" w:hAnsi="Times New Roman" w:eastAsia="宋体" w:cs="Times New Roman"/>
                <w:caps w:val="0"/>
                <w:smallCaps w:val="0"/>
                <w:color w:val="auto"/>
                <w:spacing w:val="0"/>
                <w:w w:val="100"/>
                <w:kern w:val="0"/>
                <w:position w:val="0"/>
                <w:sz w:val="24"/>
                <w:szCs w:val="24"/>
              </w:rPr>
              <w:t>——在T时间内j声源工作时间，s。</w:t>
            </w:r>
          </w:p>
          <w:p w14:paraId="7A3BC96F">
            <w:pPr>
              <w:keepNext w:val="0"/>
              <w:keepLines w:val="0"/>
              <w:pageBreakBefore w:val="0"/>
              <w:widowControl w:val="0"/>
              <w:tabs>
                <w:tab w:val="left" w:pos="1219"/>
              </w:tabs>
              <w:kinsoku/>
              <w:wordWrap/>
              <w:overflowPunct/>
              <w:topLinePunct w:val="0"/>
              <w:autoSpaceDE w:val="0"/>
              <w:autoSpaceDN w:val="0"/>
              <w:bidi w:val="0"/>
              <w:adjustRightInd w:val="0"/>
              <w:snapToGrid w:val="0"/>
              <w:spacing w:line="360" w:lineRule="auto"/>
              <w:ind w:right="193" w:firstLine="436" w:firstLineChars="182"/>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⑦预测结果</w:t>
            </w:r>
          </w:p>
          <w:p w14:paraId="28224E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lang w:eastAsia="zh-CN"/>
              </w:rPr>
            </w:pPr>
            <w:r>
              <w:rPr>
                <w:rFonts w:hint="eastAsia"/>
                <w:color w:val="auto"/>
                <w:sz w:val="24"/>
                <w:szCs w:val="24"/>
                <w:lang w:eastAsia="zh-CN"/>
              </w:rPr>
              <w:t>根据噪声源衰减计算程序，</w:t>
            </w:r>
            <w:r>
              <w:rPr>
                <w:rFonts w:hint="eastAsia"/>
                <w:color w:val="auto"/>
                <w:sz w:val="24"/>
                <w:szCs w:val="24"/>
              </w:rPr>
              <w:t>预测结果详见下表</w:t>
            </w:r>
            <w:r>
              <w:rPr>
                <w:rFonts w:hint="eastAsia"/>
                <w:color w:val="auto"/>
                <w:sz w:val="24"/>
                <w:szCs w:val="24"/>
                <w:lang w:eastAsia="zh-CN"/>
              </w:rPr>
              <w:t>。</w:t>
            </w:r>
          </w:p>
          <w:p w14:paraId="37481D9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napToGrid/>
                <w:color w:val="auto"/>
                <w:spacing w:val="0"/>
                <w:kern w:val="0"/>
                <w:position w:val="0"/>
                <w:sz w:val="24"/>
                <w:lang w:val="en-US" w:eastAsia="zh-CN"/>
              </w:rPr>
            </w:pPr>
            <w:r>
              <w:rPr>
                <w:rFonts w:hint="eastAsia" w:ascii="Times New Roman" w:hAnsi="Times New Roman" w:eastAsia="宋体" w:cs="Times New Roman"/>
                <w:b/>
                <w:bCs/>
                <w:snapToGrid/>
                <w:color w:val="auto"/>
                <w:spacing w:val="0"/>
                <w:kern w:val="0"/>
                <w:position w:val="0"/>
                <w:sz w:val="24"/>
                <w:szCs w:val="24"/>
                <w:lang w:eastAsia="zh-CN"/>
              </w:rPr>
              <w:t>表</w:t>
            </w:r>
            <w:r>
              <w:rPr>
                <w:rFonts w:hint="eastAsia" w:ascii="Times New Roman" w:hAnsi="Times New Roman" w:eastAsia="宋体" w:cs="Times New Roman"/>
                <w:b/>
                <w:bCs/>
                <w:snapToGrid/>
                <w:color w:val="auto"/>
                <w:spacing w:val="0"/>
                <w:kern w:val="0"/>
                <w:position w:val="0"/>
                <w:sz w:val="24"/>
                <w:szCs w:val="24"/>
                <w:lang w:val="en-US" w:eastAsia="zh-CN"/>
              </w:rPr>
              <w:t>4.</w:t>
            </w:r>
            <w:r>
              <w:rPr>
                <w:rFonts w:hint="eastAsia" w:cs="Times New Roman"/>
                <w:b/>
                <w:bCs/>
                <w:snapToGrid/>
                <w:color w:val="auto"/>
                <w:spacing w:val="0"/>
                <w:kern w:val="0"/>
                <w:position w:val="0"/>
                <w:sz w:val="24"/>
                <w:szCs w:val="24"/>
                <w:lang w:val="en-US" w:eastAsia="zh-CN"/>
              </w:rPr>
              <w:t xml:space="preserve">10 </w:t>
            </w:r>
            <w:r>
              <w:rPr>
                <w:rFonts w:hint="eastAsia" w:ascii="Times New Roman" w:hAnsi="Times New Roman" w:eastAsia="宋体" w:cs="Times New Roman"/>
                <w:b/>
                <w:bCs/>
                <w:snapToGrid/>
                <w:color w:val="auto"/>
                <w:spacing w:val="0"/>
                <w:kern w:val="0"/>
                <w:position w:val="0"/>
                <w:sz w:val="24"/>
                <w:szCs w:val="24"/>
                <w:lang w:val="en-US" w:eastAsia="zh-CN"/>
              </w:rPr>
              <w:t xml:space="preserve"> </w:t>
            </w:r>
            <w:r>
              <w:rPr>
                <w:rFonts w:hint="eastAsia"/>
                <w:b/>
                <w:bCs/>
                <w:snapToGrid/>
                <w:color w:val="auto"/>
                <w:spacing w:val="0"/>
                <w:kern w:val="0"/>
                <w:position w:val="0"/>
                <w:sz w:val="24"/>
              </w:rPr>
              <w:t>厂界噪声预测结果一览表</w:t>
            </w:r>
            <w:r>
              <w:rPr>
                <w:rFonts w:hint="eastAsia"/>
                <w:b/>
                <w:bCs/>
                <w:snapToGrid/>
                <w:color w:val="auto"/>
                <w:spacing w:val="0"/>
                <w:kern w:val="0"/>
                <w:position w:val="0"/>
                <w:sz w:val="24"/>
                <w:lang w:val="en-US" w:eastAsia="zh-CN"/>
              </w:rPr>
              <w:t xml:space="preserve"> 单位：dB（A）</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22"/>
              <w:gridCol w:w="823"/>
              <w:gridCol w:w="819"/>
              <w:gridCol w:w="826"/>
              <w:gridCol w:w="921"/>
              <w:gridCol w:w="811"/>
              <w:gridCol w:w="738"/>
              <w:gridCol w:w="752"/>
              <w:gridCol w:w="886"/>
            </w:tblGrid>
            <w:tr w14:paraId="0EF6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4" w:type="dxa"/>
                  <w:vMerge w:val="restart"/>
                  <w:noWrap w:val="0"/>
                  <w:vAlign w:val="center"/>
                </w:tcPr>
                <w:p w14:paraId="2E82F91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highlight w:val="none"/>
                    </w:rPr>
                  </w:pPr>
                  <w:r>
                    <w:rPr>
                      <w:rFonts w:hint="default" w:ascii="Times New Roman" w:hAnsi="Times New Roman" w:eastAsia="宋体" w:cs="Times New Roman"/>
                      <w:snapToGrid/>
                      <w:color w:val="auto"/>
                      <w:spacing w:val="0"/>
                      <w:kern w:val="0"/>
                      <w:position w:val="0"/>
                      <w:sz w:val="21"/>
                      <w:szCs w:val="21"/>
                      <w:highlight w:val="none"/>
                    </w:rPr>
                    <w:t>厂界</w:t>
                  </w:r>
                </w:p>
              </w:tc>
              <w:tc>
                <w:tcPr>
                  <w:tcW w:w="1645" w:type="dxa"/>
                  <w:gridSpan w:val="2"/>
                  <w:noWrap w:val="0"/>
                  <w:vAlign w:val="center"/>
                </w:tcPr>
                <w:p w14:paraId="7C7A999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highlight w:val="none"/>
                      <w:lang w:eastAsia="zh-CN"/>
                    </w:rPr>
                  </w:pPr>
                  <w:r>
                    <w:rPr>
                      <w:rFonts w:hint="default" w:ascii="Times New Roman" w:hAnsi="Times New Roman" w:eastAsia="宋体" w:cs="Times New Roman"/>
                      <w:snapToGrid/>
                      <w:color w:val="auto"/>
                      <w:spacing w:val="0"/>
                      <w:kern w:val="0"/>
                      <w:position w:val="0"/>
                      <w:sz w:val="21"/>
                      <w:szCs w:val="21"/>
                      <w:highlight w:val="none"/>
                      <w:lang w:eastAsia="zh-CN"/>
                    </w:rPr>
                    <w:t>背景值</w:t>
                  </w:r>
                </w:p>
              </w:tc>
              <w:tc>
                <w:tcPr>
                  <w:tcW w:w="1645" w:type="dxa"/>
                  <w:gridSpan w:val="2"/>
                  <w:noWrap w:val="0"/>
                  <w:vAlign w:val="center"/>
                </w:tcPr>
                <w:p w14:paraId="566A052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highlight w:val="none"/>
                      <w:lang w:eastAsia="zh-CN"/>
                    </w:rPr>
                  </w:pPr>
                  <w:r>
                    <w:rPr>
                      <w:rFonts w:hint="default" w:ascii="Times New Roman" w:hAnsi="Times New Roman" w:eastAsia="宋体" w:cs="Times New Roman"/>
                      <w:snapToGrid/>
                      <w:color w:val="auto"/>
                      <w:spacing w:val="0"/>
                      <w:kern w:val="0"/>
                      <w:position w:val="0"/>
                      <w:sz w:val="21"/>
                      <w:szCs w:val="21"/>
                      <w:highlight w:val="none"/>
                      <w:lang w:eastAsia="zh-CN"/>
                    </w:rPr>
                    <w:t>贡献值</w:t>
                  </w:r>
                </w:p>
              </w:tc>
              <w:tc>
                <w:tcPr>
                  <w:tcW w:w="1732" w:type="dxa"/>
                  <w:gridSpan w:val="2"/>
                  <w:noWrap w:val="0"/>
                  <w:vAlign w:val="center"/>
                </w:tcPr>
                <w:p w14:paraId="30ED7F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highlight w:val="none"/>
                      <w:lang w:eastAsia="zh-CN"/>
                    </w:rPr>
                  </w:pPr>
                  <w:r>
                    <w:rPr>
                      <w:rFonts w:hint="default" w:ascii="Times New Roman" w:hAnsi="Times New Roman" w:eastAsia="宋体" w:cs="Times New Roman"/>
                      <w:snapToGrid/>
                      <w:color w:val="auto"/>
                      <w:spacing w:val="0"/>
                      <w:kern w:val="0"/>
                      <w:position w:val="0"/>
                      <w:sz w:val="21"/>
                      <w:szCs w:val="21"/>
                      <w:highlight w:val="none"/>
                      <w:lang w:eastAsia="zh-CN"/>
                    </w:rPr>
                    <w:t>预测值</w:t>
                  </w:r>
                </w:p>
              </w:tc>
              <w:tc>
                <w:tcPr>
                  <w:tcW w:w="1490" w:type="dxa"/>
                  <w:gridSpan w:val="2"/>
                  <w:noWrap w:val="0"/>
                  <w:vAlign w:val="center"/>
                </w:tcPr>
                <w:p w14:paraId="57F2E02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highlight w:val="none"/>
                    </w:rPr>
                  </w:pPr>
                  <w:r>
                    <w:rPr>
                      <w:rFonts w:hint="default" w:ascii="Times New Roman" w:hAnsi="Times New Roman" w:eastAsia="宋体" w:cs="Times New Roman"/>
                      <w:snapToGrid/>
                      <w:color w:val="auto"/>
                      <w:spacing w:val="0"/>
                      <w:kern w:val="0"/>
                      <w:position w:val="0"/>
                      <w:sz w:val="21"/>
                      <w:szCs w:val="21"/>
                      <w:highlight w:val="none"/>
                    </w:rPr>
                    <w:t>评价标准</w:t>
                  </w:r>
                </w:p>
              </w:tc>
              <w:tc>
                <w:tcPr>
                  <w:tcW w:w="886" w:type="dxa"/>
                  <w:vMerge w:val="restart"/>
                  <w:noWrap w:val="0"/>
                  <w:vAlign w:val="center"/>
                </w:tcPr>
                <w:p w14:paraId="391E4AF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highlight w:val="none"/>
                    </w:rPr>
                  </w:pPr>
                  <w:r>
                    <w:rPr>
                      <w:rFonts w:hint="default" w:ascii="Times New Roman" w:hAnsi="Times New Roman" w:eastAsia="宋体" w:cs="Times New Roman"/>
                      <w:snapToGrid/>
                      <w:color w:val="auto"/>
                      <w:spacing w:val="0"/>
                      <w:kern w:val="0"/>
                      <w:position w:val="0"/>
                      <w:sz w:val="21"/>
                      <w:szCs w:val="21"/>
                      <w:highlight w:val="none"/>
                    </w:rPr>
                    <w:t>达标情况</w:t>
                  </w:r>
                </w:p>
              </w:tc>
            </w:tr>
            <w:tr w14:paraId="0A87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4" w:type="dxa"/>
                  <w:vMerge w:val="continue"/>
                  <w:noWrap w:val="0"/>
                  <w:vAlign w:val="center"/>
                </w:tcPr>
                <w:p w14:paraId="26501CC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highlight w:val="none"/>
                    </w:rPr>
                  </w:pPr>
                </w:p>
              </w:tc>
              <w:tc>
                <w:tcPr>
                  <w:tcW w:w="822" w:type="dxa"/>
                  <w:noWrap w:val="0"/>
                  <w:vAlign w:val="center"/>
                </w:tcPr>
                <w:p w14:paraId="0678456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default" w:ascii="Times New Roman" w:hAnsi="Times New Roman" w:eastAsia="宋体" w:cs="Times New Roman"/>
                      <w:snapToGrid/>
                      <w:color w:val="auto"/>
                      <w:spacing w:val="0"/>
                      <w:kern w:val="0"/>
                      <w:position w:val="0"/>
                      <w:sz w:val="21"/>
                      <w:szCs w:val="21"/>
                      <w:highlight w:val="none"/>
                    </w:rPr>
                    <w:t>昼间</w:t>
                  </w:r>
                </w:p>
              </w:tc>
              <w:tc>
                <w:tcPr>
                  <w:tcW w:w="823" w:type="dxa"/>
                  <w:noWrap w:val="0"/>
                  <w:vAlign w:val="center"/>
                </w:tcPr>
                <w:p w14:paraId="2A2CB46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default" w:ascii="Times New Roman" w:hAnsi="Times New Roman" w:eastAsia="宋体" w:cs="Times New Roman"/>
                      <w:snapToGrid/>
                      <w:color w:val="auto"/>
                      <w:spacing w:val="0"/>
                      <w:kern w:val="0"/>
                      <w:position w:val="0"/>
                      <w:sz w:val="21"/>
                      <w:szCs w:val="21"/>
                      <w:highlight w:val="none"/>
                    </w:rPr>
                    <w:t>夜间</w:t>
                  </w:r>
                </w:p>
              </w:tc>
              <w:tc>
                <w:tcPr>
                  <w:tcW w:w="819" w:type="dxa"/>
                  <w:noWrap w:val="0"/>
                  <w:vAlign w:val="center"/>
                </w:tcPr>
                <w:p w14:paraId="308794F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highlight w:val="none"/>
                    </w:rPr>
                  </w:pPr>
                  <w:r>
                    <w:rPr>
                      <w:rFonts w:hint="default" w:ascii="Times New Roman" w:hAnsi="Times New Roman" w:eastAsia="宋体" w:cs="Times New Roman"/>
                      <w:snapToGrid/>
                      <w:color w:val="auto"/>
                      <w:spacing w:val="0"/>
                      <w:kern w:val="0"/>
                      <w:position w:val="0"/>
                      <w:sz w:val="21"/>
                      <w:szCs w:val="21"/>
                      <w:highlight w:val="none"/>
                    </w:rPr>
                    <w:t>昼间</w:t>
                  </w:r>
                </w:p>
              </w:tc>
              <w:tc>
                <w:tcPr>
                  <w:tcW w:w="826" w:type="dxa"/>
                  <w:noWrap w:val="0"/>
                  <w:vAlign w:val="center"/>
                </w:tcPr>
                <w:p w14:paraId="7D7B28F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highlight w:val="none"/>
                    </w:rPr>
                  </w:pPr>
                  <w:r>
                    <w:rPr>
                      <w:rFonts w:hint="default" w:ascii="Times New Roman" w:hAnsi="Times New Roman" w:eastAsia="宋体" w:cs="Times New Roman"/>
                      <w:snapToGrid/>
                      <w:color w:val="auto"/>
                      <w:spacing w:val="0"/>
                      <w:kern w:val="0"/>
                      <w:position w:val="0"/>
                      <w:sz w:val="21"/>
                      <w:szCs w:val="21"/>
                      <w:highlight w:val="none"/>
                    </w:rPr>
                    <w:t>夜间</w:t>
                  </w:r>
                </w:p>
              </w:tc>
              <w:tc>
                <w:tcPr>
                  <w:tcW w:w="921" w:type="dxa"/>
                  <w:noWrap w:val="0"/>
                  <w:vAlign w:val="center"/>
                </w:tcPr>
                <w:p w14:paraId="62BBCA4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default" w:ascii="Times New Roman" w:hAnsi="Times New Roman" w:eastAsia="宋体" w:cs="Times New Roman"/>
                      <w:snapToGrid/>
                      <w:color w:val="auto"/>
                      <w:spacing w:val="0"/>
                      <w:kern w:val="0"/>
                      <w:position w:val="0"/>
                      <w:sz w:val="21"/>
                      <w:szCs w:val="21"/>
                      <w:highlight w:val="none"/>
                    </w:rPr>
                    <w:t>昼间</w:t>
                  </w:r>
                </w:p>
              </w:tc>
              <w:tc>
                <w:tcPr>
                  <w:tcW w:w="811" w:type="dxa"/>
                  <w:noWrap w:val="0"/>
                  <w:vAlign w:val="center"/>
                </w:tcPr>
                <w:p w14:paraId="33AD74E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default" w:ascii="Times New Roman" w:hAnsi="Times New Roman" w:eastAsia="宋体" w:cs="Times New Roman"/>
                      <w:snapToGrid/>
                      <w:color w:val="auto"/>
                      <w:spacing w:val="0"/>
                      <w:kern w:val="0"/>
                      <w:position w:val="0"/>
                      <w:sz w:val="21"/>
                      <w:szCs w:val="21"/>
                      <w:highlight w:val="none"/>
                    </w:rPr>
                    <w:t>夜间</w:t>
                  </w:r>
                </w:p>
              </w:tc>
              <w:tc>
                <w:tcPr>
                  <w:tcW w:w="738" w:type="dxa"/>
                  <w:noWrap w:val="0"/>
                  <w:vAlign w:val="center"/>
                </w:tcPr>
                <w:p w14:paraId="49150AB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highlight w:val="none"/>
                    </w:rPr>
                  </w:pPr>
                  <w:r>
                    <w:rPr>
                      <w:rFonts w:hint="default" w:ascii="Times New Roman" w:hAnsi="Times New Roman" w:eastAsia="宋体" w:cs="Times New Roman"/>
                      <w:snapToGrid/>
                      <w:color w:val="auto"/>
                      <w:spacing w:val="0"/>
                      <w:kern w:val="0"/>
                      <w:position w:val="0"/>
                      <w:sz w:val="21"/>
                      <w:szCs w:val="21"/>
                      <w:highlight w:val="none"/>
                    </w:rPr>
                    <w:t>昼间</w:t>
                  </w:r>
                </w:p>
              </w:tc>
              <w:tc>
                <w:tcPr>
                  <w:tcW w:w="752" w:type="dxa"/>
                  <w:noWrap w:val="0"/>
                  <w:vAlign w:val="center"/>
                </w:tcPr>
                <w:p w14:paraId="53782F7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highlight w:val="none"/>
                    </w:rPr>
                  </w:pPr>
                  <w:r>
                    <w:rPr>
                      <w:rFonts w:hint="default" w:ascii="Times New Roman" w:hAnsi="Times New Roman" w:eastAsia="宋体" w:cs="Times New Roman"/>
                      <w:snapToGrid/>
                      <w:color w:val="auto"/>
                      <w:spacing w:val="0"/>
                      <w:kern w:val="0"/>
                      <w:position w:val="0"/>
                      <w:sz w:val="21"/>
                      <w:szCs w:val="21"/>
                      <w:highlight w:val="none"/>
                    </w:rPr>
                    <w:t>夜间</w:t>
                  </w:r>
                </w:p>
              </w:tc>
              <w:tc>
                <w:tcPr>
                  <w:tcW w:w="886" w:type="dxa"/>
                  <w:vMerge w:val="continue"/>
                  <w:noWrap w:val="0"/>
                  <w:vAlign w:val="center"/>
                </w:tcPr>
                <w:p w14:paraId="493B206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highlight w:val="none"/>
                    </w:rPr>
                  </w:pPr>
                </w:p>
              </w:tc>
            </w:tr>
            <w:tr w14:paraId="46FA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4" w:type="dxa"/>
                  <w:noWrap w:val="0"/>
                  <w:vAlign w:val="center"/>
                </w:tcPr>
                <w:p w14:paraId="177201A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highlight w:val="none"/>
                    </w:rPr>
                  </w:pPr>
                  <w:r>
                    <w:rPr>
                      <w:rFonts w:hint="default" w:ascii="Times New Roman" w:hAnsi="Times New Roman" w:eastAsia="宋体" w:cs="Times New Roman"/>
                      <w:snapToGrid/>
                      <w:color w:val="auto"/>
                      <w:spacing w:val="0"/>
                      <w:kern w:val="0"/>
                      <w:position w:val="0"/>
                      <w:sz w:val="21"/>
                      <w:szCs w:val="21"/>
                      <w:highlight w:val="none"/>
                    </w:rPr>
                    <w:t>厂界东侧</w:t>
                  </w:r>
                </w:p>
              </w:tc>
              <w:tc>
                <w:tcPr>
                  <w:tcW w:w="822" w:type="dxa"/>
                  <w:noWrap w:val="0"/>
                  <w:vAlign w:val="center"/>
                </w:tcPr>
                <w:p w14:paraId="77D96A84">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cs="Times New Roman" w:eastAsiaTheme="minorEastAsia"/>
                      <w:b w:val="0"/>
                      <w:bCs w:val="0"/>
                      <w:color w:val="auto"/>
                      <w:kern w:val="2"/>
                      <w:sz w:val="21"/>
                      <w:szCs w:val="21"/>
                      <w:lang w:val="en-US" w:eastAsia="zh-CN" w:bidi="ar-SA"/>
                    </w:rPr>
                    <w:t>56.8</w:t>
                  </w:r>
                </w:p>
              </w:tc>
              <w:tc>
                <w:tcPr>
                  <w:tcW w:w="823" w:type="dxa"/>
                  <w:noWrap w:val="0"/>
                  <w:vAlign w:val="center"/>
                </w:tcPr>
                <w:p w14:paraId="20996E9E">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cs="Times New Roman" w:eastAsiaTheme="minorEastAsia"/>
                      <w:b w:val="0"/>
                      <w:bCs w:val="0"/>
                      <w:color w:val="auto"/>
                      <w:kern w:val="2"/>
                      <w:sz w:val="21"/>
                      <w:szCs w:val="21"/>
                      <w:lang w:val="en-US" w:eastAsia="zh-CN" w:bidi="ar-SA"/>
                    </w:rPr>
                    <w:t>49.0</w:t>
                  </w:r>
                </w:p>
              </w:tc>
              <w:tc>
                <w:tcPr>
                  <w:tcW w:w="819" w:type="dxa"/>
                  <w:noWrap w:val="0"/>
                  <w:vAlign w:val="center"/>
                </w:tcPr>
                <w:p w14:paraId="2386D0A7">
                  <w:pPr>
                    <w:widowControl/>
                    <w:spacing w:line="240" w:lineRule="auto"/>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43</w:t>
                  </w:r>
                </w:p>
              </w:tc>
              <w:tc>
                <w:tcPr>
                  <w:tcW w:w="826" w:type="dxa"/>
                  <w:shd w:val="clear" w:color="auto" w:fill="auto"/>
                  <w:noWrap w:val="0"/>
                  <w:vAlign w:val="center"/>
                </w:tcPr>
                <w:p w14:paraId="63E3F9C1">
                  <w:pPr>
                    <w:widowControl/>
                    <w:spacing w:line="240" w:lineRule="auto"/>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43</w:t>
                  </w:r>
                </w:p>
              </w:tc>
              <w:tc>
                <w:tcPr>
                  <w:tcW w:w="921" w:type="dxa"/>
                  <w:noWrap w:val="0"/>
                  <w:vAlign w:val="center"/>
                </w:tcPr>
                <w:p w14:paraId="1360A84A">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eastAsia" w:cs="Times New Roman"/>
                      <w:snapToGrid/>
                      <w:color w:val="auto"/>
                      <w:spacing w:val="0"/>
                      <w:kern w:val="0"/>
                      <w:position w:val="0"/>
                      <w:sz w:val="21"/>
                      <w:szCs w:val="21"/>
                      <w:highlight w:val="none"/>
                      <w:lang w:val="en-US" w:eastAsia="zh-CN"/>
                    </w:rPr>
                    <w:t>57.0</w:t>
                  </w:r>
                </w:p>
              </w:tc>
              <w:tc>
                <w:tcPr>
                  <w:tcW w:w="811" w:type="dxa"/>
                  <w:noWrap w:val="0"/>
                  <w:vAlign w:val="center"/>
                </w:tcPr>
                <w:p w14:paraId="10CE537E">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eastAsia" w:cs="Times New Roman"/>
                      <w:snapToGrid/>
                      <w:color w:val="auto"/>
                      <w:spacing w:val="0"/>
                      <w:kern w:val="0"/>
                      <w:position w:val="0"/>
                      <w:sz w:val="21"/>
                      <w:szCs w:val="21"/>
                      <w:highlight w:val="none"/>
                      <w:lang w:val="en-US" w:eastAsia="zh-CN"/>
                    </w:rPr>
                    <w:t>49.9</w:t>
                  </w:r>
                </w:p>
              </w:tc>
              <w:tc>
                <w:tcPr>
                  <w:tcW w:w="738" w:type="dxa"/>
                  <w:noWrap w:val="0"/>
                  <w:vAlign w:val="center"/>
                </w:tcPr>
                <w:p w14:paraId="7C01C28D">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eastAsia" w:cs="Times New Roman"/>
                      <w:snapToGrid/>
                      <w:color w:val="auto"/>
                      <w:spacing w:val="0"/>
                      <w:kern w:val="0"/>
                      <w:position w:val="0"/>
                      <w:sz w:val="21"/>
                      <w:szCs w:val="21"/>
                      <w:highlight w:val="none"/>
                      <w:lang w:val="en-US" w:eastAsia="zh-CN"/>
                    </w:rPr>
                    <w:t>60</w:t>
                  </w:r>
                </w:p>
              </w:tc>
              <w:tc>
                <w:tcPr>
                  <w:tcW w:w="752" w:type="dxa"/>
                  <w:noWrap w:val="0"/>
                  <w:vAlign w:val="center"/>
                </w:tcPr>
                <w:p w14:paraId="281F1D23">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eastAsia" w:cs="Times New Roman"/>
                      <w:snapToGrid/>
                      <w:color w:val="auto"/>
                      <w:spacing w:val="0"/>
                      <w:kern w:val="0"/>
                      <w:position w:val="0"/>
                      <w:sz w:val="21"/>
                      <w:szCs w:val="21"/>
                      <w:highlight w:val="none"/>
                      <w:lang w:val="en-US" w:eastAsia="zh-CN"/>
                    </w:rPr>
                    <w:t>50</w:t>
                  </w:r>
                </w:p>
              </w:tc>
              <w:tc>
                <w:tcPr>
                  <w:tcW w:w="886" w:type="dxa"/>
                  <w:noWrap w:val="0"/>
                  <w:vAlign w:val="center"/>
                </w:tcPr>
                <w:p w14:paraId="382FAD3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highlight w:val="none"/>
                    </w:rPr>
                  </w:pPr>
                  <w:r>
                    <w:rPr>
                      <w:rFonts w:hint="default" w:ascii="Times New Roman" w:hAnsi="Times New Roman" w:eastAsia="宋体" w:cs="Times New Roman"/>
                      <w:snapToGrid/>
                      <w:color w:val="auto"/>
                      <w:spacing w:val="0"/>
                      <w:kern w:val="0"/>
                      <w:position w:val="0"/>
                      <w:sz w:val="21"/>
                      <w:szCs w:val="21"/>
                      <w:highlight w:val="none"/>
                    </w:rPr>
                    <w:t>达标</w:t>
                  </w:r>
                </w:p>
              </w:tc>
            </w:tr>
            <w:tr w14:paraId="0EAD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4" w:type="dxa"/>
                  <w:noWrap w:val="0"/>
                  <w:vAlign w:val="center"/>
                </w:tcPr>
                <w:p w14:paraId="19A252F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highlight w:val="none"/>
                    </w:rPr>
                  </w:pPr>
                  <w:r>
                    <w:rPr>
                      <w:rFonts w:hint="default" w:ascii="Times New Roman" w:hAnsi="Times New Roman" w:eastAsia="宋体" w:cs="Times New Roman"/>
                      <w:snapToGrid/>
                      <w:color w:val="auto"/>
                      <w:spacing w:val="0"/>
                      <w:kern w:val="0"/>
                      <w:position w:val="0"/>
                      <w:sz w:val="21"/>
                      <w:szCs w:val="21"/>
                      <w:highlight w:val="none"/>
                    </w:rPr>
                    <w:t>厂界南侧</w:t>
                  </w:r>
                </w:p>
              </w:tc>
              <w:tc>
                <w:tcPr>
                  <w:tcW w:w="822" w:type="dxa"/>
                  <w:noWrap w:val="0"/>
                  <w:vAlign w:val="center"/>
                </w:tcPr>
                <w:p w14:paraId="7A422F78">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cs="Times New Roman" w:eastAsiaTheme="minorEastAsia"/>
                      <w:b w:val="0"/>
                      <w:bCs w:val="0"/>
                      <w:color w:val="auto"/>
                      <w:kern w:val="2"/>
                      <w:sz w:val="21"/>
                      <w:szCs w:val="21"/>
                      <w:lang w:val="en-US" w:eastAsia="zh-CN" w:bidi="ar-SA"/>
                    </w:rPr>
                    <w:t>57.7</w:t>
                  </w:r>
                </w:p>
              </w:tc>
              <w:tc>
                <w:tcPr>
                  <w:tcW w:w="823" w:type="dxa"/>
                  <w:noWrap w:val="0"/>
                  <w:vAlign w:val="center"/>
                </w:tcPr>
                <w:p w14:paraId="2A8FF06B">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cs="Times New Roman" w:eastAsiaTheme="minorEastAsia"/>
                      <w:b w:val="0"/>
                      <w:bCs w:val="0"/>
                      <w:color w:val="auto"/>
                      <w:kern w:val="2"/>
                      <w:sz w:val="21"/>
                      <w:szCs w:val="21"/>
                      <w:lang w:val="en-US" w:eastAsia="zh-CN" w:bidi="ar-SA"/>
                    </w:rPr>
                    <w:t>46.6</w:t>
                  </w:r>
                </w:p>
              </w:tc>
              <w:tc>
                <w:tcPr>
                  <w:tcW w:w="819" w:type="dxa"/>
                  <w:noWrap w:val="0"/>
                  <w:vAlign w:val="center"/>
                </w:tcPr>
                <w:p w14:paraId="0EF1F509">
                  <w:pPr>
                    <w:widowControl/>
                    <w:spacing w:line="240" w:lineRule="auto"/>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45</w:t>
                  </w:r>
                </w:p>
              </w:tc>
              <w:tc>
                <w:tcPr>
                  <w:tcW w:w="826" w:type="dxa"/>
                  <w:shd w:val="clear" w:color="auto" w:fill="auto"/>
                  <w:noWrap w:val="0"/>
                  <w:vAlign w:val="center"/>
                </w:tcPr>
                <w:p w14:paraId="49ACC0E1">
                  <w:pPr>
                    <w:widowControl/>
                    <w:spacing w:line="240" w:lineRule="auto"/>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45</w:t>
                  </w:r>
                </w:p>
              </w:tc>
              <w:tc>
                <w:tcPr>
                  <w:tcW w:w="921" w:type="dxa"/>
                  <w:noWrap w:val="0"/>
                  <w:vAlign w:val="center"/>
                </w:tcPr>
                <w:p w14:paraId="0771F909">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eastAsia" w:cs="Times New Roman"/>
                      <w:snapToGrid/>
                      <w:color w:val="auto"/>
                      <w:spacing w:val="0"/>
                      <w:kern w:val="0"/>
                      <w:position w:val="0"/>
                      <w:sz w:val="21"/>
                      <w:szCs w:val="21"/>
                      <w:highlight w:val="none"/>
                      <w:lang w:val="en-US" w:eastAsia="zh-CN"/>
                    </w:rPr>
                    <w:t>57.9</w:t>
                  </w:r>
                </w:p>
              </w:tc>
              <w:tc>
                <w:tcPr>
                  <w:tcW w:w="811" w:type="dxa"/>
                  <w:noWrap w:val="0"/>
                  <w:vAlign w:val="center"/>
                </w:tcPr>
                <w:p w14:paraId="26879BFA">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eastAsia" w:cs="Times New Roman"/>
                      <w:snapToGrid/>
                      <w:color w:val="auto"/>
                      <w:spacing w:val="0"/>
                      <w:kern w:val="0"/>
                      <w:position w:val="0"/>
                      <w:sz w:val="21"/>
                      <w:szCs w:val="21"/>
                      <w:highlight w:val="none"/>
                      <w:lang w:val="en-US" w:eastAsia="zh-CN"/>
                    </w:rPr>
                    <w:t>48.9</w:t>
                  </w:r>
                </w:p>
              </w:tc>
              <w:tc>
                <w:tcPr>
                  <w:tcW w:w="738" w:type="dxa"/>
                  <w:noWrap w:val="0"/>
                  <w:vAlign w:val="center"/>
                </w:tcPr>
                <w:p w14:paraId="3AC6D3C9">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eastAsia" w:cs="Times New Roman"/>
                      <w:snapToGrid/>
                      <w:color w:val="auto"/>
                      <w:spacing w:val="0"/>
                      <w:kern w:val="0"/>
                      <w:position w:val="0"/>
                      <w:sz w:val="21"/>
                      <w:szCs w:val="21"/>
                      <w:highlight w:val="none"/>
                      <w:lang w:val="en-US" w:eastAsia="zh-CN"/>
                    </w:rPr>
                    <w:t>60</w:t>
                  </w:r>
                </w:p>
              </w:tc>
              <w:tc>
                <w:tcPr>
                  <w:tcW w:w="752" w:type="dxa"/>
                  <w:noWrap w:val="0"/>
                  <w:vAlign w:val="center"/>
                </w:tcPr>
                <w:p w14:paraId="208478AE">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eastAsia" w:cs="Times New Roman"/>
                      <w:snapToGrid/>
                      <w:color w:val="auto"/>
                      <w:spacing w:val="0"/>
                      <w:kern w:val="0"/>
                      <w:position w:val="0"/>
                      <w:sz w:val="21"/>
                      <w:szCs w:val="21"/>
                      <w:highlight w:val="none"/>
                      <w:lang w:val="en-US" w:eastAsia="zh-CN"/>
                    </w:rPr>
                    <w:t>50</w:t>
                  </w:r>
                </w:p>
              </w:tc>
              <w:tc>
                <w:tcPr>
                  <w:tcW w:w="886" w:type="dxa"/>
                  <w:noWrap w:val="0"/>
                  <w:vAlign w:val="center"/>
                </w:tcPr>
                <w:p w14:paraId="1F84BEF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highlight w:val="none"/>
                    </w:rPr>
                  </w:pPr>
                  <w:r>
                    <w:rPr>
                      <w:rFonts w:hint="default" w:ascii="Times New Roman" w:hAnsi="Times New Roman" w:eastAsia="宋体" w:cs="Times New Roman"/>
                      <w:snapToGrid/>
                      <w:color w:val="auto"/>
                      <w:spacing w:val="0"/>
                      <w:kern w:val="0"/>
                      <w:position w:val="0"/>
                      <w:sz w:val="21"/>
                      <w:szCs w:val="21"/>
                      <w:highlight w:val="none"/>
                    </w:rPr>
                    <w:t>达标</w:t>
                  </w:r>
                </w:p>
              </w:tc>
            </w:tr>
            <w:tr w14:paraId="62D7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4" w:type="dxa"/>
                  <w:noWrap w:val="0"/>
                  <w:vAlign w:val="center"/>
                </w:tcPr>
                <w:p w14:paraId="67DF925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highlight w:val="none"/>
                    </w:rPr>
                  </w:pPr>
                  <w:r>
                    <w:rPr>
                      <w:rFonts w:hint="default" w:ascii="Times New Roman" w:hAnsi="Times New Roman" w:eastAsia="宋体" w:cs="Times New Roman"/>
                      <w:snapToGrid/>
                      <w:color w:val="auto"/>
                      <w:spacing w:val="0"/>
                      <w:kern w:val="0"/>
                      <w:position w:val="0"/>
                      <w:sz w:val="21"/>
                      <w:szCs w:val="21"/>
                      <w:highlight w:val="none"/>
                    </w:rPr>
                    <w:t>厂界西侧</w:t>
                  </w:r>
                </w:p>
              </w:tc>
              <w:tc>
                <w:tcPr>
                  <w:tcW w:w="822" w:type="dxa"/>
                  <w:noWrap w:val="0"/>
                  <w:vAlign w:val="center"/>
                </w:tcPr>
                <w:p w14:paraId="032E30D4">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cs="Times New Roman" w:eastAsiaTheme="minorEastAsia"/>
                      <w:b w:val="0"/>
                      <w:bCs w:val="0"/>
                      <w:color w:val="auto"/>
                      <w:kern w:val="2"/>
                      <w:sz w:val="21"/>
                      <w:szCs w:val="21"/>
                      <w:lang w:val="en-US" w:eastAsia="zh-CN" w:bidi="ar-SA"/>
                    </w:rPr>
                    <w:t>59.2</w:t>
                  </w:r>
                </w:p>
              </w:tc>
              <w:tc>
                <w:tcPr>
                  <w:tcW w:w="823" w:type="dxa"/>
                  <w:noWrap w:val="0"/>
                  <w:vAlign w:val="center"/>
                </w:tcPr>
                <w:p w14:paraId="0882C4F3">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cs="Times New Roman" w:eastAsiaTheme="minorEastAsia"/>
                      <w:b w:val="0"/>
                      <w:bCs w:val="0"/>
                      <w:color w:val="auto"/>
                      <w:kern w:val="2"/>
                      <w:sz w:val="21"/>
                      <w:szCs w:val="21"/>
                      <w:lang w:val="en-US" w:eastAsia="zh-CN" w:bidi="ar-SA"/>
                    </w:rPr>
                    <w:t>48.9</w:t>
                  </w:r>
                </w:p>
              </w:tc>
              <w:tc>
                <w:tcPr>
                  <w:tcW w:w="819" w:type="dxa"/>
                  <w:noWrap w:val="0"/>
                  <w:vAlign w:val="center"/>
                </w:tcPr>
                <w:p w14:paraId="700E2809">
                  <w:pPr>
                    <w:widowControl/>
                    <w:spacing w:line="240" w:lineRule="auto"/>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43</w:t>
                  </w:r>
                </w:p>
              </w:tc>
              <w:tc>
                <w:tcPr>
                  <w:tcW w:w="826" w:type="dxa"/>
                  <w:shd w:val="clear" w:color="auto" w:fill="auto"/>
                  <w:noWrap w:val="0"/>
                  <w:vAlign w:val="center"/>
                </w:tcPr>
                <w:p w14:paraId="759FCAB0">
                  <w:pPr>
                    <w:widowControl/>
                    <w:spacing w:line="240" w:lineRule="auto"/>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43</w:t>
                  </w:r>
                </w:p>
              </w:tc>
              <w:tc>
                <w:tcPr>
                  <w:tcW w:w="921" w:type="dxa"/>
                  <w:noWrap w:val="0"/>
                  <w:vAlign w:val="center"/>
                </w:tcPr>
                <w:p w14:paraId="21507CCA">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eastAsia" w:cs="Times New Roman"/>
                      <w:snapToGrid/>
                      <w:color w:val="auto"/>
                      <w:spacing w:val="0"/>
                      <w:kern w:val="0"/>
                      <w:position w:val="0"/>
                      <w:sz w:val="21"/>
                      <w:szCs w:val="21"/>
                      <w:highlight w:val="none"/>
                      <w:lang w:val="en-US" w:eastAsia="zh-CN"/>
                    </w:rPr>
                    <w:t>59.3</w:t>
                  </w:r>
                </w:p>
              </w:tc>
              <w:tc>
                <w:tcPr>
                  <w:tcW w:w="811" w:type="dxa"/>
                  <w:noWrap w:val="0"/>
                  <w:vAlign w:val="center"/>
                </w:tcPr>
                <w:p w14:paraId="501630E0">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eastAsia" w:cs="Times New Roman"/>
                      <w:snapToGrid/>
                      <w:color w:val="auto"/>
                      <w:spacing w:val="0"/>
                      <w:kern w:val="0"/>
                      <w:position w:val="0"/>
                      <w:sz w:val="21"/>
                      <w:szCs w:val="21"/>
                      <w:highlight w:val="none"/>
                      <w:lang w:val="en-US" w:eastAsia="zh-CN"/>
                    </w:rPr>
                    <w:t>49.9</w:t>
                  </w:r>
                </w:p>
              </w:tc>
              <w:tc>
                <w:tcPr>
                  <w:tcW w:w="738" w:type="dxa"/>
                  <w:noWrap w:val="0"/>
                  <w:vAlign w:val="center"/>
                </w:tcPr>
                <w:p w14:paraId="6ED010F5">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eastAsia" w:cs="Times New Roman"/>
                      <w:snapToGrid/>
                      <w:color w:val="auto"/>
                      <w:spacing w:val="0"/>
                      <w:kern w:val="0"/>
                      <w:position w:val="0"/>
                      <w:sz w:val="21"/>
                      <w:szCs w:val="21"/>
                      <w:highlight w:val="none"/>
                      <w:lang w:val="en-US" w:eastAsia="zh-CN"/>
                    </w:rPr>
                    <w:t>60</w:t>
                  </w:r>
                </w:p>
              </w:tc>
              <w:tc>
                <w:tcPr>
                  <w:tcW w:w="752" w:type="dxa"/>
                  <w:noWrap w:val="0"/>
                  <w:vAlign w:val="center"/>
                </w:tcPr>
                <w:p w14:paraId="35E06149">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eastAsia" w:cs="Times New Roman"/>
                      <w:snapToGrid/>
                      <w:color w:val="auto"/>
                      <w:spacing w:val="0"/>
                      <w:kern w:val="0"/>
                      <w:position w:val="0"/>
                      <w:sz w:val="21"/>
                      <w:szCs w:val="21"/>
                      <w:highlight w:val="none"/>
                      <w:lang w:val="en-US" w:eastAsia="zh-CN"/>
                    </w:rPr>
                    <w:t>50</w:t>
                  </w:r>
                </w:p>
              </w:tc>
              <w:tc>
                <w:tcPr>
                  <w:tcW w:w="886" w:type="dxa"/>
                  <w:noWrap w:val="0"/>
                  <w:vAlign w:val="center"/>
                </w:tcPr>
                <w:p w14:paraId="1403E29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highlight w:val="none"/>
                    </w:rPr>
                  </w:pPr>
                  <w:r>
                    <w:rPr>
                      <w:rFonts w:hint="default" w:ascii="Times New Roman" w:hAnsi="Times New Roman" w:eastAsia="宋体" w:cs="Times New Roman"/>
                      <w:snapToGrid/>
                      <w:color w:val="auto"/>
                      <w:spacing w:val="0"/>
                      <w:kern w:val="0"/>
                      <w:position w:val="0"/>
                      <w:sz w:val="21"/>
                      <w:szCs w:val="21"/>
                      <w:highlight w:val="none"/>
                    </w:rPr>
                    <w:t>达标</w:t>
                  </w:r>
                </w:p>
              </w:tc>
            </w:tr>
            <w:tr w14:paraId="3FB3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4" w:type="dxa"/>
                  <w:noWrap w:val="0"/>
                  <w:vAlign w:val="center"/>
                </w:tcPr>
                <w:p w14:paraId="5B568F2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highlight w:val="none"/>
                    </w:rPr>
                  </w:pPr>
                  <w:r>
                    <w:rPr>
                      <w:rFonts w:hint="default" w:ascii="Times New Roman" w:hAnsi="Times New Roman" w:eastAsia="宋体" w:cs="Times New Roman"/>
                      <w:snapToGrid/>
                      <w:color w:val="auto"/>
                      <w:spacing w:val="0"/>
                      <w:kern w:val="0"/>
                      <w:position w:val="0"/>
                      <w:sz w:val="21"/>
                      <w:szCs w:val="21"/>
                      <w:highlight w:val="none"/>
                    </w:rPr>
                    <w:t>厂界北侧</w:t>
                  </w:r>
                </w:p>
              </w:tc>
              <w:tc>
                <w:tcPr>
                  <w:tcW w:w="822" w:type="dxa"/>
                  <w:noWrap w:val="0"/>
                  <w:vAlign w:val="center"/>
                </w:tcPr>
                <w:p w14:paraId="436A046D">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cs="Times New Roman" w:eastAsiaTheme="minorEastAsia"/>
                      <w:b w:val="0"/>
                      <w:bCs w:val="0"/>
                      <w:color w:val="auto"/>
                      <w:kern w:val="2"/>
                      <w:sz w:val="21"/>
                      <w:szCs w:val="21"/>
                      <w:lang w:val="en-US" w:eastAsia="zh-CN" w:bidi="ar-SA"/>
                    </w:rPr>
                    <w:t>58.9</w:t>
                  </w:r>
                </w:p>
              </w:tc>
              <w:tc>
                <w:tcPr>
                  <w:tcW w:w="823" w:type="dxa"/>
                  <w:noWrap w:val="0"/>
                  <w:vAlign w:val="center"/>
                </w:tcPr>
                <w:p w14:paraId="143BF733">
                  <w:pPr>
                    <w:widowControl/>
                    <w:spacing w:line="240" w:lineRule="auto"/>
                    <w:jc w:val="center"/>
                    <w:textAlignment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48.4</w:t>
                  </w:r>
                </w:p>
              </w:tc>
              <w:tc>
                <w:tcPr>
                  <w:tcW w:w="819" w:type="dxa"/>
                  <w:noWrap w:val="0"/>
                  <w:vAlign w:val="center"/>
                </w:tcPr>
                <w:p w14:paraId="63ADE920">
                  <w:pPr>
                    <w:widowControl/>
                    <w:spacing w:line="240" w:lineRule="auto"/>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40</w:t>
                  </w:r>
                </w:p>
              </w:tc>
              <w:tc>
                <w:tcPr>
                  <w:tcW w:w="826" w:type="dxa"/>
                  <w:shd w:val="clear" w:color="auto" w:fill="auto"/>
                  <w:noWrap w:val="0"/>
                  <w:vAlign w:val="center"/>
                </w:tcPr>
                <w:p w14:paraId="60D2B6BB">
                  <w:pPr>
                    <w:widowControl/>
                    <w:spacing w:line="240" w:lineRule="auto"/>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40</w:t>
                  </w:r>
                </w:p>
              </w:tc>
              <w:tc>
                <w:tcPr>
                  <w:tcW w:w="921" w:type="dxa"/>
                  <w:noWrap w:val="0"/>
                  <w:vAlign w:val="center"/>
                </w:tcPr>
                <w:p w14:paraId="18715F2B">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eastAsia" w:cs="Times New Roman"/>
                      <w:snapToGrid/>
                      <w:color w:val="auto"/>
                      <w:spacing w:val="0"/>
                      <w:kern w:val="0"/>
                      <w:position w:val="0"/>
                      <w:sz w:val="21"/>
                      <w:szCs w:val="21"/>
                      <w:highlight w:val="none"/>
                      <w:lang w:val="en-US" w:eastAsia="zh-CN"/>
                    </w:rPr>
                    <w:t>59.0</w:t>
                  </w:r>
                </w:p>
              </w:tc>
              <w:tc>
                <w:tcPr>
                  <w:tcW w:w="811" w:type="dxa"/>
                  <w:noWrap w:val="0"/>
                  <w:vAlign w:val="center"/>
                </w:tcPr>
                <w:p w14:paraId="5CE5F221">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eastAsia" w:cs="Times New Roman"/>
                      <w:snapToGrid/>
                      <w:color w:val="auto"/>
                      <w:spacing w:val="0"/>
                      <w:kern w:val="0"/>
                      <w:position w:val="0"/>
                      <w:sz w:val="21"/>
                      <w:szCs w:val="21"/>
                      <w:highlight w:val="none"/>
                      <w:lang w:val="en-US" w:eastAsia="zh-CN"/>
                    </w:rPr>
                    <w:t>49.0</w:t>
                  </w:r>
                </w:p>
              </w:tc>
              <w:tc>
                <w:tcPr>
                  <w:tcW w:w="738" w:type="dxa"/>
                  <w:noWrap w:val="0"/>
                  <w:vAlign w:val="center"/>
                </w:tcPr>
                <w:p w14:paraId="4586CB54">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eastAsia" w:cs="Times New Roman"/>
                      <w:snapToGrid/>
                      <w:color w:val="auto"/>
                      <w:spacing w:val="0"/>
                      <w:kern w:val="0"/>
                      <w:position w:val="0"/>
                      <w:sz w:val="21"/>
                      <w:szCs w:val="21"/>
                      <w:highlight w:val="none"/>
                      <w:lang w:val="en-US" w:eastAsia="zh-CN"/>
                    </w:rPr>
                    <w:t>60</w:t>
                  </w:r>
                </w:p>
              </w:tc>
              <w:tc>
                <w:tcPr>
                  <w:tcW w:w="752" w:type="dxa"/>
                  <w:noWrap w:val="0"/>
                  <w:vAlign w:val="center"/>
                </w:tcPr>
                <w:p w14:paraId="4C5C3F5E">
                  <w:pPr>
                    <w:keepNext w:val="0"/>
                    <w:keepLines w:val="0"/>
                    <w:pageBreakBefore w:val="0"/>
                    <w:widowControl w:val="0"/>
                    <w:kinsoku/>
                    <w:wordWrap/>
                    <w:overflowPunct/>
                    <w:topLinePunct w:val="0"/>
                    <w:autoSpaceDE/>
                    <w:autoSpaceDN/>
                    <w:bidi w:val="0"/>
                    <w:adjustRightInd w:val="0"/>
                    <w:snapToGrid w:val="0"/>
                    <w:spacing w:before="95" w:beforeLines="30"/>
                    <w:ind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eastAsia" w:cs="Times New Roman"/>
                      <w:snapToGrid/>
                      <w:color w:val="auto"/>
                      <w:spacing w:val="0"/>
                      <w:kern w:val="0"/>
                      <w:position w:val="0"/>
                      <w:sz w:val="21"/>
                      <w:szCs w:val="21"/>
                      <w:highlight w:val="none"/>
                      <w:lang w:val="en-US" w:eastAsia="zh-CN"/>
                    </w:rPr>
                    <w:t>50</w:t>
                  </w:r>
                </w:p>
              </w:tc>
              <w:tc>
                <w:tcPr>
                  <w:tcW w:w="886" w:type="dxa"/>
                  <w:noWrap w:val="0"/>
                  <w:vAlign w:val="center"/>
                </w:tcPr>
                <w:p w14:paraId="61CCC18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highlight w:val="none"/>
                    </w:rPr>
                  </w:pPr>
                  <w:r>
                    <w:rPr>
                      <w:rFonts w:hint="default" w:ascii="Times New Roman" w:hAnsi="Times New Roman" w:eastAsia="宋体" w:cs="Times New Roman"/>
                      <w:snapToGrid/>
                      <w:color w:val="auto"/>
                      <w:spacing w:val="0"/>
                      <w:kern w:val="0"/>
                      <w:position w:val="0"/>
                      <w:sz w:val="21"/>
                      <w:szCs w:val="21"/>
                      <w:highlight w:val="none"/>
                    </w:rPr>
                    <w:t>达标</w:t>
                  </w:r>
                </w:p>
              </w:tc>
            </w:tr>
            <w:tr w14:paraId="7B9C4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12" w:type="dxa"/>
                  <w:gridSpan w:val="10"/>
                  <w:noWrap w:val="0"/>
                  <w:vAlign w:val="center"/>
                </w:tcPr>
                <w:p w14:paraId="3B05BE6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snapToGrid/>
                      <w:color w:val="auto"/>
                      <w:spacing w:val="0"/>
                      <w:kern w:val="0"/>
                      <w:position w:val="0"/>
                      <w:sz w:val="21"/>
                      <w:szCs w:val="21"/>
                      <w:highlight w:val="none"/>
                    </w:rPr>
                  </w:pPr>
                  <w:r>
                    <w:rPr>
                      <w:rFonts w:hint="eastAsia"/>
                      <w:color w:val="auto"/>
                      <w:lang w:eastAsia="zh-CN"/>
                    </w:rPr>
                    <w:t>注：背景值取</w:t>
                  </w:r>
                  <w:r>
                    <w:rPr>
                      <w:rFonts w:hint="eastAsia" w:cs="Times New Roman"/>
                      <w:b w:val="0"/>
                      <w:bCs w:val="0"/>
                      <w:color w:val="auto"/>
                      <w:sz w:val="21"/>
                      <w:szCs w:val="21"/>
                      <w:lang w:val="en-US" w:eastAsia="zh-CN" w:bidi="ar"/>
                    </w:rPr>
                    <w:t>2024年4月15日</w:t>
                  </w:r>
                  <w:r>
                    <w:rPr>
                      <w:rFonts w:hint="eastAsia"/>
                      <w:color w:val="auto"/>
                      <w:lang w:val="en-US" w:eastAsia="zh-CN"/>
                    </w:rPr>
                    <w:t>厂界监测值</w:t>
                  </w:r>
                </w:p>
              </w:tc>
            </w:tr>
          </w:tbl>
          <w:p w14:paraId="5A07AD69">
            <w:pPr>
              <w:keepNext w:val="0"/>
              <w:keepLines w:val="0"/>
              <w:pageBreakBefore w:val="0"/>
              <w:widowControl w:val="0"/>
              <w:tabs>
                <w:tab w:val="left" w:pos="1380"/>
                <w:tab w:val="left" w:pos="1860"/>
                <w:tab w:val="center" w:pos="4535"/>
                <w:tab w:val="left" w:pos="5985"/>
                <w:tab w:val="left" w:pos="7740"/>
              </w:tabs>
              <w:kinsoku/>
              <w:wordWrap/>
              <w:overflowPunct/>
              <w:topLinePunct w:val="0"/>
              <w:autoSpaceDE/>
              <w:autoSpaceDN/>
              <w:bidi w:val="0"/>
              <w:adjustRightInd w:val="0"/>
              <w:snapToGrid w:val="0"/>
              <w:spacing w:before="157" w:beforeLines="50" w:line="360" w:lineRule="auto"/>
              <w:ind w:firstLine="480" w:firstLineChars="200"/>
              <w:textAlignment w:val="auto"/>
              <w:rPr>
                <w:rFonts w:hint="default" w:ascii="Times New Roman" w:hAnsi="Times New Roman" w:eastAsia="宋体" w:cs="Times New Roman"/>
                <w:snapToGrid/>
                <w:color w:val="auto"/>
                <w:spacing w:val="0"/>
                <w:kern w:val="0"/>
                <w:position w:val="0"/>
                <w:sz w:val="24"/>
                <w:szCs w:val="24"/>
                <w:highlight w:val="none"/>
              </w:rPr>
            </w:pPr>
            <w:r>
              <w:rPr>
                <w:rFonts w:hint="default" w:ascii="Times New Roman" w:hAnsi="Times New Roman" w:cs="Times New Roman"/>
                <w:snapToGrid/>
                <w:color w:val="auto"/>
                <w:spacing w:val="0"/>
                <w:kern w:val="0"/>
                <w:position w:val="0"/>
                <w:sz w:val="24"/>
              </w:rPr>
              <w:t>由上表可见，东侧、</w:t>
            </w:r>
            <w:r>
              <w:rPr>
                <w:rFonts w:hint="default" w:ascii="Times New Roman" w:hAnsi="Times New Roman" w:cs="Times New Roman"/>
                <w:snapToGrid/>
                <w:color w:val="auto"/>
                <w:spacing w:val="0"/>
                <w:kern w:val="0"/>
                <w:position w:val="0"/>
                <w:sz w:val="24"/>
                <w:lang w:eastAsia="zh-CN"/>
              </w:rPr>
              <w:t>南</w:t>
            </w:r>
            <w:r>
              <w:rPr>
                <w:rFonts w:hint="default" w:ascii="Times New Roman" w:hAnsi="Times New Roman" w:cs="Times New Roman"/>
                <w:snapToGrid/>
                <w:color w:val="auto"/>
                <w:spacing w:val="0"/>
                <w:kern w:val="0"/>
                <w:position w:val="0"/>
                <w:sz w:val="24"/>
              </w:rPr>
              <w:t>侧</w:t>
            </w:r>
            <w:r>
              <w:rPr>
                <w:rFonts w:hint="default" w:ascii="Times New Roman" w:hAnsi="Times New Roman" w:cs="Times New Roman"/>
                <w:snapToGrid/>
                <w:color w:val="auto"/>
                <w:spacing w:val="0"/>
                <w:kern w:val="0"/>
                <w:position w:val="0"/>
                <w:sz w:val="24"/>
                <w:lang w:eastAsia="zh-CN"/>
              </w:rPr>
              <w:t>、西侧、北侧</w:t>
            </w:r>
            <w:r>
              <w:rPr>
                <w:rFonts w:hint="default" w:ascii="Times New Roman" w:hAnsi="Times New Roman" w:cs="Times New Roman"/>
                <w:snapToGrid/>
                <w:color w:val="auto"/>
                <w:spacing w:val="0"/>
                <w:kern w:val="0"/>
                <w:position w:val="0"/>
                <w:sz w:val="24"/>
              </w:rPr>
              <w:t>厂界噪声排放</w:t>
            </w:r>
            <w:r>
              <w:rPr>
                <w:rFonts w:hint="eastAsia" w:cs="Times New Roman"/>
                <w:snapToGrid/>
                <w:color w:val="auto"/>
                <w:spacing w:val="0"/>
                <w:kern w:val="0"/>
                <w:position w:val="0"/>
                <w:sz w:val="24"/>
                <w:lang w:eastAsia="zh-CN"/>
              </w:rPr>
              <w:t>满足</w:t>
            </w:r>
            <w:r>
              <w:rPr>
                <w:rFonts w:hint="default" w:ascii="Times New Roman" w:hAnsi="Times New Roman" w:cs="Times New Roman"/>
                <w:snapToGrid/>
                <w:color w:val="auto"/>
                <w:spacing w:val="0"/>
                <w:kern w:val="0"/>
                <w:position w:val="0"/>
                <w:sz w:val="24"/>
              </w:rPr>
              <w:t>《工业企业厂界环境噪声排放标准》（GB12348-2008）中</w:t>
            </w:r>
            <w:r>
              <w:rPr>
                <w:rFonts w:hint="eastAsia" w:cs="Times New Roman"/>
                <w:snapToGrid/>
                <w:color w:val="auto"/>
                <w:spacing w:val="0"/>
                <w:kern w:val="0"/>
                <w:position w:val="0"/>
                <w:sz w:val="24"/>
                <w:lang w:val="en-US" w:eastAsia="zh-CN"/>
              </w:rPr>
              <w:t>2</w:t>
            </w:r>
            <w:r>
              <w:rPr>
                <w:rFonts w:hint="default" w:ascii="Times New Roman" w:hAnsi="Times New Roman" w:cs="Times New Roman"/>
                <w:snapToGrid/>
                <w:color w:val="auto"/>
                <w:spacing w:val="0"/>
                <w:kern w:val="0"/>
                <w:position w:val="0"/>
                <w:sz w:val="24"/>
              </w:rPr>
              <w:t>类标准要求</w:t>
            </w:r>
            <w:r>
              <w:rPr>
                <w:rFonts w:hint="default" w:ascii="Times New Roman" w:hAnsi="Times New Roman" w:cs="Times New Roman"/>
                <w:snapToGrid/>
                <w:color w:val="auto"/>
                <w:spacing w:val="0"/>
                <w:kern w:val="0"/>
                <w:position w:val="0"/>
                <w:sz w:val="24"/>
                <w:lang w:eastAsia="zh-CN"/>
              </w:rPr>
              <w:t>（昼间：</w:t>
            </w:r>
            <w:r>
              <w:rPr>
                <w:rFonts w:hint="eastAsia" w:cs="Times New Roman"/>
                <w:snapToGrid/>
                <w:color w:val="auto"/>
                <w:spacing w:val="0"/>
                <w:kern w:val="0"/>
                <w:position w:val="0"/>
                <w:sz w:val="24"/>
                <w:lang w:val="en-US" w:eastAsia="zh-CN"/>
              </w:rPr>
              <w:t>60</w:t>
            </w:r>
            <w:r>
              <w:rPr>
                <w:rFonts w:hint="default" w:ascii="Times New Roman" w:hAnsi="Times New Roman" w:cs="Times New Roman"/>
                <w:snapToGrid/>
                <w:color w:val="auto"/>
                <w:spacing w:val="0"/>
                <w:kern w:val="0"/>
                <w:position w:val="0"/>
                <w:sz w:val="24"/>
                <w:lang w:val="en-US" w:eastAsia="zh-CN"/>
              </w:rPr>
              <w:t>dB（A）；夜间</w:t>
            </w:r>
            <w:r>
              <w:rPr>
                <w:rFonts w:hint="eastAsia" w:cs="Times New Roman"/>
                <w:snapToGrid/>
                <w:color w:val="auto"/>
                <w:spacing w:val="0"/>
                <w:kern w:val="0"/>
                <w:position w:val="0"/>
                <w:sz w:val="24"/>
                <w:lang w:val="en-US" w:eastAsia="zh-CN"/>
              </w:rPr>
              <w:t>60</w:t>
            </w:r>
            <w:r>
              <w:rPr>
                <w:rFonts w:hint="default" w:ascii="Times New Roman" w:hAnsi="Times New Roman" w:cs="Times New Roman"/>
                <w:snapToGrid/>
                <w:color w:val="auto"/>
                <w:spacing w:val="0"/>
                <w:kern w:val="0"/>
                <w:position w:val="0"/>
                <w:sz w:val="24"/>
                <w:lang w:val="en-US" w:eastAsia="zh-CN"/>
              </w:rPr>
              <w:t>dB（A）</w:t>
            </w:r>
            <w:r>
              <w:rPr>
                <w:rFonts w:hint="default" w:ascii="Times New Roman" w:hAnsi="Times New Roman" w:cs="Times New Roman"/>
                <w:snapToGrid/>
                <w:color w:val="auto"/>
                <w:spacing w:val="0"/>
                <w:kern w:val="0"/>
                <w:position w:val="0"/>
                <w:sz w:val="24"/>
                <w:lang w:eastAsia="zh-CN"/>
              </w:rPr>
              <w:t>）</w:t>
            </w:r>
            <w:r>
              <w:rPr>
                <w:rFonts w:hint="eastAsia" w:cs="Times New Roman"/>
                <w:snapToGrid/>
                <w:color w:val="auto"/>
                <w:spacing w:val="0"/>
                <w:kern w:val="0"/>
                <w:position w:val="0"/>
                <w:sz w:val="24"/>
                <w:lang w:eastAsia="zh-CN"/>
              </w:rPr>
              <w:t>，</w:t>
            </w:r>
            <w:r>
              <w:rPr>
                <w:rFonts w:hint="default" w:ascii="Times New Roman" w:hAnsi="Times New Roman" w:cs="Times New Roman"/>
                <w:snapToGrid/>
                <w:color w:val="auto"/>
                <w:spacing w:val="0"/>
                <w:kern w:val="0"/>
                <w:position w:val="0"/>
                <w:sz w:val="24"/>
              </w:rPr>
              <w:t>对外环境的影响不大。</w:t>
            </w:r>
            <w:r>
              <w:rPr>
                <w:rFonts w:hint="default" w:ascii="Times New Roman" w:hAnsi="Times New Roman" w:eastAsia="宋体" w:cs="Times New Roman"/>
                <w:b w:val="0"/>
                <w:bCs w:val="0"/>
                <w:snapToGrid/>
                <w:color w:val="auto"/>
                <w:spacing w:val="0"/>
                <w:kern w:val="0"/>
                <w:position w:val="0"/>
                <w:sz w:val="24"/>
                <w:szCs w:val="24"/>
                <w:highlight w:val="none"/>
                <w:lang w:val="en-US" w:eastAsia="zh-CN"/>
              </w:rPr>
              <w:t>因此，本项目噪声源噪声值经厂房隔声和距离减震降噪措施后，可保证厂界噪声达标排放，</w:t>
            </w:r>
            <w:r>
              <w:rPr>
                <w:rFonts w:hint="default" w:ascii="Times New Roman" w:hAnsi="Times New Roman" w:eastAsia="宋体" w:cs="Times New Roman"/>
                <w:snapToGrid/>
                <w:color w:val="auto"/>
                <w:spacing w:val="0"/>
                <w:kern w:val="0"/>
                <w:position w:val="0"/>
                <w:sz w:val="24"/>
                <w:szCs w:val="24"/>
                <w:highlight w:val="none"/>
              </w:rPr>
              <w:t>对</w:t>
            </w:r>
            <w:r>
              <w:rPr>
                <w:rFonts w:hint="default" w:ascii="Times New Roman" w:hAnsi="Times New Roman" w:eastAsia="宋体" w:cs="Times New Roman"/>
                <w:snapToGrid/>
                <w:color w:val="auto"/>
                <w:spacing w:val="0"/>
                <w:kern w:val="0"/>
                <w:position w:val="0"/>
                <w:sz w:val="24"/>
                <w:szCs w:val="24"/>
                <w:highlight w:val="none"/>
                <w:lang w:eastAsia="zh-CN"/>
              </w:rPr>
              <w:t>区域</w:t>
            </w:r>
            <w:r>
              <w:rPr>
                <w:rFonts w:hint="default" w:ascii="Times New Roman" w:hAnsi="Times New Roman" w:eastAsia="宋体" w:cs="Times New Roman"/>
                <w:snapToGrid/>
                <w:color w:val="auto"/>
                <w:spacing w:val="0"/>
                <w:kern w:val="0"/>
                <w:position w:val="0"/>
                <w:sz w:val="24"/>
                <w:szCs w:val="24"/>
                <w:highlight w:val="none"/>
              </w:rPr>
              <w:t>环境的影响</w:t>
            </w:r>
            <w:r>
              <w:rPr>
                <w:rFonts w:hint="default" w:ascii="Times New Roman" w:hAnsi="Times New Roman" w:eastAsia="宋体" w:cs="Times New Roman"/>
                <w:snapToGrid/>
                <w:color w:val="auto"/>
                <w:spacing w:val="0"/>
                <w:kern w:val="0"/>
                <w:position w:val="0"/>
                <w:sz w:val="24"/>
                <w:szCs w:val="24"/>
                <w:highlight w:val="none"/>
                <w:lang w:eastAsia="zh-CN"/>
              </w:rPr>
              <w:t>较小</w:t>
            </w:r>
            <w:r>
              <w:rPr>
                <w:rFonts w:hint="default" w:ascii="Times New Roman" w:hAnsi="Times New Roman" w:eastAsia="宋体" w:cs="Times New Roman"/>
                <w:snapToGrid/>
                <w:color w:val="auto"/>
                <w:spacing w:val="0"/>
                <w:kern w:val="0"/>
                <w:position w:val="0"/>
                <w:sz w:val="24"/>
                <w:szCs w:val="24"/>
                <w:highlight w:val="none"/>
              </w:rPr>
              <w:t>。</w:t>
            </w:r>
          </w:p>
          <w:p w14:paraId="48CDCA3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b/>
                <w:bCs/>
                <w:snapToGrid/>
                <w:color w:val="auto"/>
                <w:spacing w:val="0"/>
                <w:kern w:val="0"/>
                <w:position w:val="0"/>
                <w:sz w:val="24"/>
                <w:szCs w:val="24"/>
                <w:lang w:val="en-US" w:eastAsia="zh-CN"/>
              </w:rPr>
            </w:pPr>
            <w:r>
              <w:rPr>
                <w:rFonts w:hint="default" w:ascii="Times New Roman" w:hAnsi="Times New Roman" w:cs="Times New Roman"/>
                <w:b/>
                <w:bCs/>
                <w:snapToGrid/>
                <w:color w:val="auto"/>
                <w:spacing w:val="0"/>
                <w:kern w:val="0"/>
                <w:position w:val="0"/>
                <w:sz w:val="24"/>
                <w:szCs w:val="24"/>
                <w:lang w:val="en-US" w:eastAsia="zh-CN"/>
              </w:rPr>
              <w:t>监测计划</w:t>
            </w:r>
          </w:p>
          <w:p w14:paraId="7683036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default" w:ascii="Times New Roman" w:hAnsi="Times New Roman" w:cs="Times New Roman"/>
                <w:b/>
                <w:bCs/>
                <w:snapToGrid/>
                <w:color w:val="auto"/>
                <w:spacing w:val="0"/>
                <w:kern w:val="0"/>
                <w:position w:val="0"/>
                <w:sz w:val="24"/>
                <w:szCs w:val="24"/>
                <w:lang w:val="en-US" w:eastAsia="zh-CN"/>
              </w:rPr>
            </w:pPr>
            <w:r>
              <w:rPr>
                <w:rFonts w:hint="default" w:ascii="Times New Roman" w:hAnsi="Times New Roman" w:cs="Times New Roman"/>
                <w:b w:val="0"/>
                <w:bCs w:val="0"/>
                <w:snapToGrid/>
                <w:color w:val="auto"/>
                <w:spacing w:val="0"/>
                <w:kern w:val="0"/>
                <w:position w:val="0"/>
                <w:sz w:val="24"/>
                <w:szCs w:val="24"/>
                <w:lang w:val="en-US" w:eastAsia="zh-CN"/>
              </w:rPr>
              <w:t>根据《排污许可证申请与核发技术规范</w:t>
            </w:r>
            <w:r>
              <w:rPr>
                <w:rFonts w:hint="eastAsia" w:cs="Times New Roman"/>
                <w:b w:val="0"/>
                <w:bCs w:val="0"/>
                <w:snapToGrid/>
                <w:color w:val="auto"/>
                <w:spacing w:val="0"/>
                <w:kern w:val="0"/>
                <w:position w:val="0"/>
                <w:sz w:val="24"/>
                <w:szCs w:val="24"/>
                <w:lang w:val="en-US" w:eastAsia="zh-CN"/>
              </w:rPr>
              <w:t xml:space="preserve"> </w:t>
            </w:r>
            <w:r>
              <w:rPr>
                <w:rFonts w:hint="default" w:ascii="Times New Roman" w:hAnsi="Times New Roman" w:cs="Times New Roman"/>
                <w:b w:val="0"/>
                <w:bCs w:val="0"/>
                <w:snapToGrid/>
                <w:color w:val="auto"/>
                <w:spacing w:val="0"/>
                <w:kern w:val="0"/>
                <w:position w:val="0"/>
                <w:sz w:val="24"/>
                <w:szCs w:val="24"/>
                <w:lang w:val="en-US" w:eastAsia="zh-CN"/>
              </w:rPr>
              <w:t>工业噪声》（HJ 1301-2023），制定本项目噪声监测计划如下：</w:t>
            </w:r>
          </w:p>
          <w:p w14:paraId="4691681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center"/>
              <w:textAlignment w:val="auto"/>
              <w:rPr>
                <w:rFonts w:hint="default" w:ascii="Times New Roman" w:hAnsi="Times New Roman" w:cs="Times New Roman"/>
                <w:b/>
                <w:bCs/>
                <w:snapToGrid/>
                <w:color w:val="auto"/>
                <w:spacing w:val="0"/>
                <w:kern w:val="0"/>
                <w:position w:val="0"/>
                <w:sz w:val="24"/>
                <w:szCs w:val="24"/>
                <w:lang w:val="en-US" w:eastAsia="zh-CN"/>
              </w:rPr>
            </w:pPr>
          </w:p>
          <w:p w14:paraId="5110227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b/>
                <w:bCs/>
                <w:snapToGrid/>
                <w:color w:val="auto"/>
                <w:spacing w:val="0"/>
                <w:kern w:val="0"/>
                <w:position w:val="0"/>
                <w:sz w:val="24"/>
                <w:szCs w:val="24"/>
                <w:lang w:val="en-US" w:eastAsia="zh-CN"/>
              </w:rPr>
            </w:pPr>
            <w:r>
              <w:rPr>
                <w:rFonts w:hint="default" w:ascii="Times New Roman" w:hAnsi="Times New Roman" w:cs="Times New Roman"/>
                <w:b/>
                <w:bCs/>
                <w:snapToGrid/>
                <w:color w:val="auto"/>
                <w:spacing w:val="0"/>
                <w:kern w:val="0"/>
                <w:position w:val="0"/>
                <w:sz w:val="24"/>
                <w:szCs w:val="24"/>
                <w:lang w:val="en-US" w:eastAsia="zh-CN"/>
              </w:rPr>
              <w:t>表4.</w:t>
            </w:r>
            <w:r>
              <w:rPr>
                <w:rFonts w:hint="eastAsia" w:cs="Times New Roman"/>
                <w:b/>
                <w:bCs/>
                <w:snapToGrid/>
                <w:color w:val="auto"/>
                <w:spacing w:val="0"/>
                <w:kern w:val="0"/>
                <w:position w:val="0"/>
                <w:sz w:val="24"/>
                <w:szCs w:val="24"/>
                <w:lang w:val="en-US" w:eastAsia="zh-CN"/>
              </w:rPr>
              <w:t xml:space="preserve">11 </w:t>
            </w:r>
            <w:r>
              <w:rPr>
                <w:rFonts w:hint="default" w:ascii="Times New Roman" w:hAnsi="Times New Roman" w:cs="Times New Roman"/>
                <w:b/>
                <w:bCs/>
                <w:snapToGrid/>
                <w:color w:val="auto"/>
                <w:spacing w:val="0"/>
                <w:kern w:val="0"/>
                <w:position w:val="0"/>
                <w:sz w:val="24"/>
                <w:szCs w:val="24"/>
                <w:lang w:val="en-US" w:eastAsia="zh-CN"/>
              </w:rPr>
              <w:t xml:space="preserve"> 噪声监测一览表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500"/>
              <w:gridCol w:w="2540"/>
              <w:gridCol w:w="2739"/>
            </w:tblGrid>
            <w:tr w14:paraId="64C6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pct"/>
                  <w:noWrap w:val="0"/>
                  <w:vAlign w:val="center"/>
                </w:tcPr>
                <w:p w14:paraId="2A5AABB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类别</w:t>
                  </w:r>
                </w:p>
              </w:tc>
              <w:tc>
                <w:tcPr>
                  <w:tcW w:w="913" w:type="pct"/>
                  <w:noWrap w:val="0"/>
                  <w:vAlign w:val="center"/>
                </w:tcPr>
                <w:p w14:paraId="3E9C9A7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监测点位</w:t>
                  </w:r>
                </w:p>
              </w:tc>
              <w:tc>
                <w:tcPr>
                  <w:tcW w:w="1546" w:type="pct"/>
                  <w:noWrap w:val="0"/>
                  <w:vAlign w:val="center"/>
                </w:tcPr>
                <w:p w14:paraId="4C3E9CA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监测项目</w:t>
                  </w:r>
                </w:p>
              </w:tc>
              <w:tc>
                <w:tcPr>
                  <w:tcW w:w="1667" w:type="pct"/>
                  <w:noWrap w:val="0"/>
                  <w:vAlign w:val="center"/>
                </w:tcPr>
                <w:p w14:paraId="5594AD8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监测频率</w:t>
                  </w:r>
                </w:p>
              </w:tc>
            </w:tr>
            <w:tr w14:paraId="6319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pct"/>
                  <w:noWrap w:val="0"/>
                  <w:vAlign w:val="center"/>
                </w:tcPr>
                <w:p w14:paraId="45C1A28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厂界噪声</w:t>
                  </w:r>
                </w:p>
              </w:tc>
              <w:tc>
                <w:tcPr>
                  <w:tcW w:w="913" w:type="pct"/>
                  <w:noWrap w:val="0"/>
                  <w:vAlign w:val="center"/>
                </w:tcPr>
                <w:p w14:paraId="15F50E1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厂界</w:t>
                  </w:r>
                </w:p>
              </w:tc>
              <w:tc>
                <w:tcPr>
                  <w:tcW w:w="1546" w:type="pct"/>
                  <w:noWrap w:val="0"/>
                  <w:vAlign w:val="center"/>
                </w:tcPr>
                <w:p w14:paraId="39AA570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等效连续A声级</w:t>
                  </w:r>
                </w:p>
              </w:tc>
              <w:tc>
                <w:tcPr>
                  <w:tcW w:w="1667" w:type="pct"/>
                  <w:noWrap w:val="0"/>
                  <w:vAlign w:val="center"/>
                </w:tcPr>
                <w:p w14:paraId="2F70EAF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1次/季度</w:t>
                  </w:r>
                </w:p>
              </w:tc>
            </w:tr>
          </w:tbl>
          <w:p w14:paraId="24DFE5D2">
            <w:pPr>
              <w:pStyle w:val="36"/>
              <w:keepNext w:val="0"/>
              <w:keepLines w:val="0"/>
              <w:pageBreakBefore w:val="0"/>
              <w:widowControl w:val="0"/>
              <w:kinsoku/>
              <w:wordWrap/>
              <w:overflowPunct/>
              <w:topLinePunct w:val="0"/>
              <w:autoSpaceDE/>
              <w:autoSpaceDN/>
              <w:bidi w:val="0"/>
              <w:adjustRightInd w:val="0"/>
              <w:snapToGrid w:val="0"/>
              <w:spacing w:before="157" w:beforeLines="50" w:beforeAutospacing="0" w:afterAutospacing="0" w:line="360" w:lineRule="auto"/>
              <w:ind w:left="0" w:leftChars="0" w:firstLine="0" w:firstLineChars="0"/>
              <w:jc w:val="both"/>
              <w:textAlignment w:val="auto"/>
              <w:rPr>
                <w:rFonts w:hint="default" w:ascii="Times New Roman" w:hAnsi="Times New Roman" w:cs="Times New Roman"/>
                <w:b/>
                <w:bCs/>
                <w:snapToGrid/>
                <w:color w:val="auto"/>
                <w:spacing w:val="0"/>
                <w:kern w:val="0"/>
                <w:position w:val="0"/>
                <w:sz w:val="24"/>
                <w:szCs w:val="24"/>
                <w:lang w:val="en-US" w:eastAsia="zh-CN"/>
              </w:rPr>
            </w:pPr>
            <w:r>
              <w:rPr>
                <w:rFonts w:hint="default" w:ascii="Times New Roman" w:hAnsi="Times New Roman" w:eastAsia="宋体" w:cs="Times New Roman"/>
                <w:b/>
                <w:bCs/>
                <w:snapToGrid/>
                <w:color w:val="auto"/>
                <w:spacing w:val="0"/>
                <w:kern w:val="0"/>
                <w:position w:val="0"/>
                <w:sz w:val="24"/>
                <w:szCs w:val="24"/>
                <w:lang w:val="en-US" w:eastAsia="zh-CN"/>
              </w:rPr>
              <w:t>4、</w:t>
            </w:r>
            <w:r>
              <w:rPr>
                <w:rFonts w:hint="default" w:ascii="Times New Roman" w:hAnsi="Times New Roman" w:eastAsia="宋体" w:cs="Times New Roman"/>
                <w:b/>
                <w:bCs/>
                <w:snapToGrid/>
                <w:color w:val="auto"/>
                <w:spacing w:val="0"/>
                <w:kern w:val="0"/>
                <w:position w:val="0"/>
                <w:sz w:val="24"/>
                <w:szCs w:val="24"/>
              </w:rPr>
              <w:t>固</w:t>
            </w:r>
            <w:r>
              <w:rPr>
                <w:rFonts w:hint="default" w:ascii="Times New Roman" w:hAnsi="Times New Roman" w:eastAsia="宋体" w:cs="Times New Roman"/>
                <w:b/>
                <w:bCs/>
                <w:snapToGrid/>
                <w:color w:val="auto"/>
                <w:spacing w:val="0"/>
                <w:kern w:val="0"/>
                <w:position w:val="0"/>
                <w:sz w:val="24"/>
                <w:szCs w:val="24"/>
                <w:lang w:eastAsia="zh-CN"/>
              </w:rPr>
              <w:t>体</w:t>
            </w:r>
            <w:r>
              <w:rPr>
                <w:rFonts w:hint="default" w:ascii="Times New Roman" w:hAnsi="Times New Roman" w:eastAsia="宋体" w:cs="Times New Roman"/>
                <w:b/>
                <w:bCs/>
                <w:snapToGrid/>
                <w:color w:val="auto"/>
                <w:spacing w:val="0"/>
                <w:kern w:val="0"/>
                <w:position w:val="0"/>
                <w:sz w:val="24"/>
                <w:szCs w:val="24"/>
              </w:rPr>
              <w:t>废</w:t>
            </w:r>
            <w:r>
              <w:rPr>
                <w:rFonts w:hint="default" w:ascii="Times New Roman" w:hAnsi="Times New Roman" w:eastAsia="宋体" w:cs="Times New Roman"/>
                <w:b/>
                <w:bCs/>
                <w:snapToGrid/>
                <w:color w:val="auto"/>
                <w:spacing w:val="0"/>
                <w:kern w:val="0"/>
                <w:position w:val="0"/>
                <w:sz w:val="24"/>
                <w:szCs w:val="24"/>
                <w:lang w:eastAsia="zh-CN"/>
              </w:rPr>
              <w:t>物</w:t>
            </w:r>
          </w:p>
          <w:p w14:paraId="782B61AD">
            <w:pPr>
              <w:pStyle w:val="3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default" w:ascii="Times New Roman" w:hAnsi="Times New Roman" w:eastAsia="宋体" w:cs="Times New Roman"/>
                <w:snapToGrid/>
                <w:color w:val="auto"/>
                <w:spacing w:val="0"/>
                <w:kern w:val="0"/>
                <w:position w:val="0"/>
                <w:sz w:val="24"/>
                <w:szCs w:val="24"/>
                <w:highlight w:val="none"/>
                <w:lang w:val="en-US" w:eastAsia="zh-CN"/>
              </w:rPr>
            </w:pPr>
            <w:r>
              <w:rPr>
                <w:rFonts w:hint="default" w:ascii="Times New Roman" w:hAnsi="Times New Roman" w:cs="Times New Roman"/>
                <w:snapToGrid/>
                <w:color w:val="auto"/>
                <w:spacing w:val="0"/>
                <w:kern w:val="0"/>
                <w:position w:val="0"/>
                <w:sz w:val="24"/>
                <w:lang w:eastAsia="zh-CN"/>
              </w:rPr>
              <w:t>本项目</w:t>
            </w:r>
            <w:r>
              <w:rPr>
                <w:rFonts w:hint="default" w:ascii="Times New Roman" w:hAnsi="Times New Roman" w:cs="Times New Roman"/>
                <w:snapToGrid/>
                <w:color w:val="auto"/>
                <w:spacing w:val="0"/>
                <w:kern w:val="0"/>
                <w:position w:val="0"/>
                <w:sz w:val="24"/>
              </w:rPr>
              <w:t>运营期</w:t>
            </w:r>
            <w:r>
              <w:rPr>
                <w:rFonts w:hint="default" w:ascii="Times New Roman" w:hAnsi="Times New Roman" w:eastAsia="宋体" w:cs="Times New Roman"/>
                <w:snapToGrid/>
                <w:color w:val="auto"/>
                <w:spacing w:val="0"/>
                <w:kern w:val="0"/>
                <w:position w:val="0"/>
                <w:sz w:val="24"/>
                <w:szCs w:val="24"/>
                <w:lang w:eastAsia="zh-CN"/>
              </w:rPr>
              <w:t>项目固废主要包括生活垃圾、一般工业固体废物及危险废物。</w:t>
            </w:r>
          </w:p>
          <w:p w14:paraId="63ECA5A5">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ascii="Times New Roman" w:hAnsi="Times New Roman" w:cs="Times New Roman"/>
                <w:snapToGrid/>
                <w:color w:val="auto"/>
                <w:spacing w:val="0"/>
                <w:kern w:val="0"/>
                <w:position w:val="0"/>
                <w:sz w:val="24"/>
              </w:rPr>
            </w:pPr>
            <w:r>
              <w:rPr>
                <w:rFonts w:hint="default" w:ascii="Times New Roman" w:hAnsi="Times New Roman" w:cs="Times New Roman"/>
                <w:snapToGrid/>
                <w:color w:val="auto"/>
                <w:spacing w:val="0"/>
                <w:kern w:val="0"/>
                <w:position w:val="0"/>
                <w:sz w:val="24"/>
              </w:rPr>
              <w:t>（1）生活垃圾</w:t>
            </w:r>
          </w:p>
          <w:p w14:paraId="6E8C583D">
            <w:pPr>
              <w:pStyle w:val="36"/>
              <w:keepNext w:val="0"/>
              <w:keepLines w:val="0"/>
              <w:pageBreakBefore w:val="0"/>
              <w:widowControl w:val="0"/>
              <w:kinsoku/>
              <w:wordWrap/>
              <w:overflowPunct/>
              <w:topLinePunct w:val="0"/>
              <w:autoSpaceDE/>
              <w:autoSpaceDN/>
              <w:bidi w:val="0"/>
              <w:adjustRightInd w:val="0"/>
              <w:snapToGrid w:val="0"/>
              <w:ind w:firstLine="480"/>
              <w:jc w:val="both"/>
              <w:textAlignment w:val="auto"/>
              <w:rPr>
                <w:rFonts w:hint="default" w:ascii="Times New Roman" w:hAnsi="Times New Roman" w:cs="Times New Roman"/>
                <w:snapToGrid/>
                <w:color w:val="auto"/>
                <w:spacing w:val="0"/>
                <w:kern w:val="0"/>
                <w:position w:val="0"/>
                <w:sz w:val="24"/>
                <w:lang w:eastAsia="zh-CN"/>
              </w:rPr>
            </w:pPr>
            <w:r>
              <w:rPr>
                <w:rFonts w:hint="default" w:ascii="Times New Roman" w:hAnsi="Times New Roman" w:eastAsia="宋体" w:cs="Times New Roman"/>
                <w:snapToGrid/>
                <w:color w:val="auto"/>
                <w:spacing w:val="0"/>
                <w:kern w:val="0"/>
                <w:position w:val="0"/>
                <w:sz w:val="24"/>
                <w:szCs w:val="28"/>
                <w:lang w:val="en-US" w:eastAsia="zh-CN" w:bidi="ar-SA"/>
              </w:rPr>
              <w:t>本项目</w:t>
            </w:r>
            <w:r>
              <w:rPr>
                <w:rFonts w:hint="eastAsia" w:ascii="Times New Roman" w:hAnsi="Times New Roman" w:cs="Times New Roman"/>
                <w:snapToGrid/>
                <w:color w:val="auto"/>
                <w:spacing w:val="0"/>
                <w:kern w:val="0"/>
                <w:position w:val="0"/>
                <w:sz w:val="24"/>
                <w:szCs w:val="28"/>
                <w:lang w:val="en-US" w:eastAsia="zh-CN" w:bidi="ar-SA"/>
              </w:rPr>
              <w:t>新增</w:t>
            </w:r>
            <w:r>
              <w:rPr>
                <w:rFonts w:hint="default" w:ascii="Times New Roman" w:hAnsi="Times New Roman" w:eastAsia="宋体" w:cs="Times New Roman"/>
                <w:snapToGrid/>
                <w:color w:val="auto"/>
                <w:spacing w:val="0"/>
                <w:kern w:val="0"/>
                <w:position w:val="0"/>
                <w:sz w:val="24"/>
                <w:szCs w:val="28"/>
                <w:lang w:val="en-US" w:eastAsia="zh-CN" w:bidi="ar-SA"/>
              </w:rPr>
              <w:t>劳动定员</w:t>
            </w:r>
            <w:r>
              <w:rPr>
                <w:rFonts w:hint="eastAsia" w:ascii="Times New Roman" w:hAnsi="Times New Roman" w:cs="Times New Roman"/>
                <w:snapToGrid/>
                <w:color w:val="auto"/>
                <w:spacing w:val="0"/>
                <w:kern w:val="0"/>
                <w:position w:val="0"/>
                <w:sz w:val="24"/>
                <w:szCs w:val="28"/>
                <w:lang w:val="en-US" w:eastAsia="zh-CN" w:bidi="ar-SA"/>
              </w:rPr>
              <w:t>30</w:t>
            </w:r>
            <w:r>
              <w:rPr>
                <w:rFonts w:hint="default" w:ascii="Times New Roman" w:hAnsi="Times New Roman" w:eastAsia="宋体" w:cs="Times New Roman"/>
                <w:snapToGrid/>
                <w:color w:val="auto"/>
                <w:spacing w:val="0"/>
                <w:kern w:val="0"/>
                <w:position w:val="0"/>
                <w:sz w:val="24"/>
                <w:szCs w:val="28"/>
                <w:lang w:val="en-US" w:eastAsia="zh-CN" w:bidi="ar-SA"/>
              </w:rPr>
              <w:t>人</w:t>
            </w:r>
            <w:r>
              <w:rPr>
                <w:rFonts w:hint="default" w:ascii="Times New Roman" w:hAnsi="Times New Roman" w:cs="Times New Roman"/>
                <w:snapToGrid/>
                <w:color w:val="auto"/>
                <w:spacing w:val="0"/>
                <w:kern w:val="0"/>
                <w:position w:val="0"/>
                <w:sz w:val="24"/>
              </w:rPr>
              <w:t>，按每人每日排放生活垃圾</w:t>
            </w:r>
            <w:r>
              <w:rPr>
                <w:rFonts w:hint="default" w:ascii="Times New Roman" w:hAnsi="Times New Roman" w:cs="Times New Roman"/>
                <w:snapToGrid/>
                <w:color w:val="auto"/>
                <w:spacing w:val="0"/>
                <w:kern w:val="0"/>
                <w:position w:val="0"/>
                <w:sz w:val="24"/>
                <w:lang w:val="en-US" w:eastAsia="zh-CN"/>
              </w:rPr>
              <w:t>0.5</w:t>
            </w:r>
            <w:r>
              <w:rPr>
                <w:rFonts w:hint="default" w:ascii="Times New Roman" w:hAnsi="Times New Roman" w:cs="Times New Roman"/>
                <w:snapToGrid/>
                <w:color w:val="auto"/>
                <w:spacing w:val="0"/>
                <w:kern w:val="0"/>
                <w:position w:val="0"/>
                <w:sz w:val="24"/>
              </w:rPr>
              <w:t>kg计，</w:t>
            </w:r>
            <w:r>
              <w:rPr>
                <w:rFonts w:hint="default" w:ascii="Times New Roman" w:hAnsi="Times New Roman" w:eastAsia="宋体" w:cs="Times New Roman"/>
                <w:b w:val="0"/>
                <w:i w:val="0"/>
                <w:snapToGrid/>
                <w:color w:val="auto"/>
                <w:spacing w:val="0"/>
                <w:kern w:val="0"/>
                <w:position w:val="0"/>
                <w:sz w:val="24"/>
                <w:szCs w:val="24"/>
                <w:lang w:eastAsia="zh-CN"/>
              </w:rPr>
              <w:t>年工作天数</w:t>
            </w:r>
            <w:r>
              <w:rPr>
                <w:rFonts w:hint="default" w:ascii="Times New Roman" w:hAnsi="Times New Roman" w:cs="Times New Roman"/>
                <w:b w:val="0"/>
                <w:i w:val="0"/>
                <w:snapToGrid/>
                <w:color w:val="auto"/>
                <w:spacing w:val="0"/>
                <w:kern w:val="0"/>
                <w:position w:val="0"/>
                <w:sz w:val="24"/>
                <w:szCs w:val="24"/>
                <w:lang w:val="en-US" w:eastAsia="zh-CN"/>
              </w:rPr>
              <w:t>3</w:t>
            </w:r>
            <w:r>
              <w:rPr>
                <w:rFonts w:hint="eastAsia" w:ascii="Times New Roman" w:hAnsi="Times New Roman" w:cs="Times New Roman"/>
                <w:b w:val="0"/>
                <w:i w:val="0"/>
                <w:snapToGrid/>
                <w:color w:val="auto"/>
                <w:spacing w:val="0"/>
                <w:kern w:val="0"/>
                <w:position w:val="0"/>
                <w:sz w:val="24"/>
                <w:szCs w:val="24"/>
                <w:lang w:val="en-US" w:eastAsia="zh-CN"/>
              </w:rPr>
              <w:t>00</w:t>
            </w:r>
            <w:r>
              <w:rPr>
                <w:rFonts w:hint="default" w:ascii="Times New Roman" w:hAnsi="Times New Roman" w:eastAsia="宋体" w:cs="Times New Roman"/>
                <w:b w:val="0"/>
                <w:i w:val="0"/>
                <w:snapToGrid/>
                <w:color w:val="auto"/>
                <w:spacing w:val="0"/>
                <w:kern w:val="0"/>
                <w:position w:val="0"/>
                <w:sz w:val="24"/>
                <w:szCs w:val="24"/>
                <w:lang w:eastAsia="zh-CN"/>
              </w:rPr>
              <w:t>天</w:t>
            </w:r>
            <w:r>
              <w:rPr>
                <w:rFonts w:hint="default" w:ascii="Times New Roman" w:hAnsi="Times New Roman" w:cs="Times New Roman"/>
                <w:snapToGrid/>
                <w:color w:val="auto"/>
                <w:spacing w:val="0"/>
                <w:kern w:val="0"/>
                <w:position w:val="0"/>
                <w:sz w:val="24"/>
                <w:lang w:val="en-US" w:eastAsia="zh-CN"/>
              </w:rPr>
              <w:t>，</w:t>
            </w:r>
            <w:r>
              <w:rPr>
                <w:rFonts w:hint="default" w:ascii="Times New Roman" w:hAnsi="Times New Roman" w:cs="Times New Roman"/>
                <w:snapToGrid/>
                <w:color w:val="auto"/>
                <w:spacing w:val="0"/>
                <w:kern w:val="0"/>
                <w:position w:val="0"/>
                <w:sz w:val="24"/>
              </w:rPr>
              <w:t>则生活垃圾产生量约</w:t>
            </w:r>
            <w:r>
              <w:rPr>
                <w:rFonts w:hint="eastAsia" w:ascii="Times New Roman" w:hAnsi="Times New Roman" w:cs="Times New Roman"/>
                <w:snapToGrid/>
                <w:color w:val="auto"/>
                <w:spacing w:val="0"/>
                <w:kern w:val="0"/>
                <w:position w:val="0"/>
                <w:sz w:val="24"/>
                <w:lang w:val="en-US" w:eastAsia="zh-CN"/>
              </w:rPr>
              <w:t>4.5</w:t>
            </w:r>
            <w:r>
              <w:rPr>
                <w:rFonts w:hint="default" w:ascii="Times New Roman" w:hAnsi="Times New Roman" w:cs="Times New Roman"/>
                <w:snapToGrid/>
                <w:color w:val="auto"/>
                <w:spacing w:val="0"/>
                <w:kern w:val="0"/>
                <w:position w:val="0"/>
                <w:sz w:val="24"/>
              </w:rPr>
              <w:t>t/a</w:t>
            </w:r>
            <w:r>
              <w:rPr>
                <w:rFonts w:hint="default" w:ascii="Times New Roman" w:hAnsi="Times New Roman" w:cs="Times New Roman"/>
                <w:snapToGrid/>
                <w:color w:val="auto"/>
                <w:spacing w:val="0"/>
                <w:kern w:val="0"/>
                <w:position w:val="0"/>
                <w:sz w:val="24"/>
                <w:lang w:eastAsia="zh-CN"/>
              </w:rPr>
              <w:t>，</w:t>
            </w:r>
            <w:r>
              <w:rPr>
                <w:rFonts w:hint="default" w:ascii="Times New Roman" w:hAnsi="Times New Roman" w:cs="Times New Roman"/>
                <w:snapToGrid/>
                <w:color w:val="auto"/>
                <w:spacing w:val="0"/>
                <w:kern w:val="0"/>
                <w:position w:val="0"/>
                <w:sz w:val="24"/>
              </w:rPr>
              <w:t>集中收集后交</w:t>
            </w:r>
            <w:r>
              <w:rPr>
                <w:rFonts w:hint="default" w:ascii="Times New Roman" w:hAnsi="Times New Roman" w:cs="Times New Roman"/>
                <w:snapToGrid/>
                <w:color w:val="auto"/>
                <w:spacing w:val="0"/>
                <w:kern w:val="0"/>
                <w:position w:val="0"/>
                <w:sz w:val="24"/>
                <w:lang w:eastAsia="zh-CN"/>
              </w:rPr>
              <w:t>由</w:t>
            </w:r>
            <w:r>
              <w:rPr>
                <w:rFonts w:hint="default" w:ascii="Times New Roman" w:hAnsi="Times New Roman" w:cs="Times New Roman"/>
                <w:snapToGrid/>
                <w:color w:val="auto"/>
                <w:spacing w:val="0"/>
                <w:kern w:val="0"/>
                <w:position w:val="0"/>
                <w:sz w:val="24"/>
              </w:rPr>
              <w:t>环卫部门</w:t>
            </w:r>
            <w:r>
              <w:rPr>
                <w:rFonts w:hint="default" w:ascii="Times New Roman" w:hAnsi="Times New Roman" w:cs="Times New Roman"/>
                <w:snapToGrid/>
                <w:color w:val="auto"/>
                <w:spacing w:val="0"/>
                <w:kern w:val="0"/>
                <w:position w:val="0"/>
                <w:sz w:val="24"/>
                <w:lang w:eastAsia="zh-CN"/>
              </w:rPr>
              <w:t>清运</w:t>
            </w:r>
            <w:r>
              <w:rPr>
                <w:rFonts w:hint="default" w:ascii="Times New Roman" w:hAnsi="Times New Roman" w:cs="Times New Roman"/>
                <w:snapToGrid/>
                <w:color w:val="auto"/>
                <w:spacing w:val="0"/>
                <w:kern w:val="0"/>
                <w:position w:val="0"/>
                <w:sz w:val="24"/>
              </w:rPr>
              <w:t>处理</w:t>
            </w:r>
            <w:r>
              <w:rPr>
                <w:rFonts w:hint="default" w:ascii="Times New Roman" w:hAnsi="Times New Roman" w:cs="Times New Roman"/>
                <w:snapToGrid/>
                <w:color w:val="auto"/>
                <w:spacing w:val="0"/>
                <w:kern w:val="0"/>
                <w:position w:val="0"/>
                <w:sz w:val="24"/>
                <w:lang w:eastAsia="zh-CN"/>
              </w:rPr>
              <w:t>。</w:t>
            </w:r>
          </w:p>
          <w:p w14:paraId="7653AEE3">
            <w:pPr>
              <w:pStyle w:val="36"/>
              <w:keepNext w:val="0"/>
              <w:keepLines w:val="0"/>
              <w:pageBreakBefore w:val="0"/>
              <w:widowControl w:val="0"/>
              <w:kinsoku/>
              <w:wordWrap/>
              <w:overflowPunct/>
              <w:topLinePunct w:val="0"/>
              <w:autoSpaceDE/>
              <w:autoSpaceDN/>
              <w:bidi w:val="0"/>
              <w:adjustRightInd w:val="0"/>
              <w:snapToGrid w:val="0"/>
              <w:ind w:firstLine="480"/>
              <w:jc w:val="both"/>
              <w:textAlignment w:val="auto"/>
              <w:rPr>
                <w:rFonts w:hint="eastAsia" w:ascii="Times New Roman" w:hAnsi="Times New Roman" w:eastAsia="宋体" w:cs="Times New Roman"/>
                <w:snapToGrid/>
                <w:color w:val="auto"/>
                <w:spacing w:val="0"/>
                <w:kern w:val="0"/>
                <w:position w:val="0"/>
                <w:sz w:val="24"/>
                <w:szCs w:val="24"/>
                <w:lang w:eastAsia="zh-CN"/>
              </w:rPr>
            </w:pPr>
            <w:r>
              <w:rPr>
                <w:rFonts w:hint="eastAsia" w:ascii="Times New Roman" w:hAnsi="Times New Roman" w:eastAsia="宋体" w:cs="Times New Roman"/>
                <w:snapToGrid/>
                <w:color w:val="auto"/>
                <w:spacing w:val="0"/>
                <w:kern w:val="0"/>
                <w:position w:val="0"/>
                <w:sz w:val="24"/>
                <w:szCs w:val="24"/>
                <w:lang w:eastAsia="zh-CN"/>
              </w:rPr>
              <w:t>（</w:t>
            </w:r>
            <w:r>
              <w:rPr>
                <w:rFonts w:hint="eastAsia" w:ascii="Times New Roman" w:hAnsi="Times New Roman" w:eastAsia="宋体" w:cs="Times New Roman"/>
                <w:snapToGrid/>
                <w:color w:val="auto"/>
                <w:spacing w:val="0"/>
                <w:kern w:val="0"/>
                <w:position w:val="0"/>
                <w:sz w:val="24"/>
                <w:szCs w:val="24"/>
                <w:lang w:val="en-US" w:eastAsia="zh-CN"/>
              </w:rPr>
              <w:t>2</w:t>
            </w:r>
            <w:r>
              <w:rPr>
                <w:rFonts w:hint="eastAsia" w:ascii="Times New Roman" w:hAnsi="Times New Roman" w:eastAsia="宋体" w:cs="Times New Roman"/>
                <w:snapToGrid/>
                <w:color w:val="auto"/>
                <w:spacing w:val="0"/>
                <w:kern w:val="0"/>
                <w:position w:val="0"/>
                <w:sz w:val="24"/>
                <w:szCs w:val="24"/>
                <w:lang w:eastAsia="zh-CN"/>
              </w:rPr>
              <w:t>）一般工业固体废物</w:t>
            </w:r>
          </w:p>
          <w:p w14:paraId="180362B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①废包装袋</w:t>
            </w:r>
          </w:p>
          <w:p w14:paraId="70C1D96F">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eastAsia" w:cs="Times New Roman"/>
                <w:color w:val="auto"/>
                <w:kern w:val="0"/>
                <w:sz w:val="24"/>
                <w:szCs w:val="24"/>
                <w:highlight w:val="none"/>
                <w:lang w:val="en-US" w:eastAsia="zh-CN" w:bidi="ar"/>
              </w:rPr>
              <w:t>项目物料使用过程中会有</w:t>
            </w:r>
            <w:r>
              <w:rPr>
                <w:rFonts w:hint="default" w:ascii="Times New Roman" w:hAnsi="Times New Roman" w:eastAsia="宋体" w:cs="Times New Roman"/>
                <w:b w:val="0"/>
                <w:bCs w:val="0"/>
                <w:color w:val="auto"/>
                <w:sz w:val="24"/>
                <w:szCs w:val="24"/>
                <w:highlight w:val="none"/>
                <w:lang w:val="en-US" w:eastAsia="zh-CN"/>
              </w:rPr>
              <w:t>废包装袋</w:t>
            </w:r>
            <w:r>
              <w:rPr>
                <w:rFonts w:hint="eastAsia" w:ascii="Times New Roman" w:hAnsi="Times New Roman" w:eastAsia="宋体" w:cs="Times New Roman"/>
                <w:b w:val="0"/>
                <w:bCs w:val="0"/>
                <w:color w:val="auto"/>
                <w:sz w:val="24"/>
                <w:szCs w:val="24"/>
                <w:highlight w:val="none"/>
                <w:lang w:val="en-US" w:eastAsia="zh-CN"/>
              </w:rPr>
              <w:t>产生</w:t>
            </w:r>
            <w:r>
              <w:rPr>
                <w:rFonts w:hint="eastAsia"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根据企业提供的资料</w:t>
            </w:r>
            <w:r>
              <w:rPr>
                <w:rFonts w:hint="eastAsia" w:cs="Times New Roman"/>
                <w:color w:val="auto"/>
                <w:kern w:val="0"/>
                <w:sz w:val="24"/>
                <w:szCs w:val="24"/>
                <w:highlight w:val="none"/>
                <w:lang w:val="en-US" w:eastAsia="zh-CN" w:bidi="ar"/>
              </w:rPr>
              <w:t>，</w:t>
            </w:r>
            <w:r>
              <w:rPr>
                <w:rFonts w:hint="eastAsia" w:cs="Times New Roman"/>
                <w:b w:val="0"/>
                <w:bCs w:val="0"/>
                <w:color w:val="auto"/>
                <w:sz w:val="24"/>
                <w:szCs w:val="24"/>
                <w:highlight w:val="none"/>
                <w:lang w:val="en-US" w:eastAsia="zh-CN"/>
              </w:rPr>
              <w:t>废包装材料产生量为0.02t/a，统一收集后由资源利用单位回收利用</w:t>
            </w:r>
            <w:r>
              <w:rPr>
                <w:rFonts w:hint="eastAsia" w:cs="Times New Roman"/>
                <w:color w:val="auto"/>
                <w:kern w:val="0"/>
                <w:sz w:val="24"/>
                <w:szCs w:val="24"/>
                <w:highlight w:val="none"/>
                <w:lang w:val="en-US" w:eastAsia="zh-CN" w:bidi="ar"/>
              </w:rPr>
              <w:t>。</w:t>
            </w:r>
          </w:p>
          <w:p w14:paraId="79B8212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②回收粘结剂</w:t>
            </w:r>
          </w:p>
          <w:p w14:paraId="362A8A2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Times New Roman" w:hAnsi="Times New Roman"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根据企业提供资料，</w:t>
            </w:r>
            <w:r>
              <w:rPr>
                <w:rFonts w:hint="default" w:ascii="Times New Roman" w:hAnsi="Times New Roman" w:cs="Times New Roman"/>
                <w:b w:val="0"/>
                <w:bCs w:val="0"/>
                <w:color w:val="auto"/>
                <w:sz w:val="24"/>
                <w:szCs w:val="24"/>
                <w:highlight w:val="none"/>
                <w:lang w:val="en-US" w:eastAsia="zh-CN"/>
              </w:rPr>
              <w:t>回收粘结剂</w:t>
            </w:r>
            <w:r>
              <w:rPr>
                <w:rFonts w:hint="eastAsia" w:cs="Times New Roman"/>
                <w:b w:val="0"/>
                <w:bCs w:val="0"/>
                <w:color w:val="auto"/>
                <w:sz w:val="24"/>
                <w:szCs w:val="24"/>
                <w:highlight w:val="none"/>
                <w:lang w:val="en-US" w:eastAsia="zh-CN"/>
              </w:rPr>
              <w:t>产生量为0.06t/a，</w:t>
            </w:r>
            <w:r>
              <w:rPr>
                <w:rFonts w:hint="eastAsia" w:ascii="Times New Roman" w:hAnsi="Times New Roman" w:cs="Times New Roman"/>
                <w:b w:val="0"/>
                <w:bCs w:val="0"/>
                <w:color w:val="auto"/>
                <w:sz w:val="24"/>
                <w:szCs w:val="24"/>
                <w:highlight w:val="none"/>
                <w:lang w:val="en-US" w:eastAsia="zh-CN"/>
              </w:rPr>
              <w:t>统一收集后</w:t>
            </w:r>
            <w:r>
              <w:rPr>
                <w:rFonts w:hint="eastAsia" w:cs="Times New Roman"/>
                <w:b w:val="0"/>
                <w:bCs w:val="0"/>
                <w:color w:val="auto"/>
                <w:sz w:val="24"/>
                <w:szCs w:val="24"/>
                <w:highlight w:val="none"/>
                <w:lang w:val="en-US" w:eastAsia="zh-CN"/>
              </w:rPr>
              <w:t>由资源利用单位回收利用。</w:t>
            </w:r>
          </w:p>
          <w:p w14:paraId="36F0CC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snapToGrid/>
                <w:color w:val="auto"/>
                <w:spacing w:val="0"/>
                <w:kern w:val="0"/>
                <w:position w:val="0"/>
                <w:sz w:val="24"/>
                <w:szCs w:val="24"/>
                <w:highlight w:val="none"/>
                <w:lang w:val="en-US" w:eastAsia="zh-CN"/>
              </w:rPr>
            </w:pPr>
            <w:r>
              <w:rPr>
                <w:rFonts w:hint="eastAsia" w:cs="Times New Roman"/>
                <w:b w:val="0"/>
                <w:bCs w:val="0"/>
                <w:snapToGrid/>
                <w:color w:val="auto"/>
                <w:spacing w:val="0"/>
                <w:kern w:val="0"/>
                <w:position w:val="0"/>
                <w:sz w:val="24"/>
                <w:szCs w:val="24"/>
                <w:highlight w:val="none"/>
                <w:lang w:val="en-US" w:eastAsia="zh-CN"/>
              </w:rPr>
              <w:t>③边角料</w:t>
            </w:r>
          </w:p>
          <w:p w14:paraId="2A4B8C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snapToGrid/>
                <w:color w:val="auto"/>
                <w:spacing w:val="0"/>
                <w:kern w:val="0"/>
                <w:position w:val="0"/>
                <w:sz w:val="24"/>
                <w:szCs w:val="24"/>
                <w:highlight w:val="none"/>
                <w:lang w:val="en-US" w:eastAsia="zh-CN"/>
              </w:rPr>
            </w:pPr>
            <w:r>
              <w:rPr>
                <w:rFonts w:hint="eastAsia" w:cs="Times New Roman"/>
                <w:b w:val="0"/>
                <w:bCs w:val="0"/>
                <w:snapToGrid/>
                <w:color w:val="auto"/>
                <w:spacing w:val="0"/>
                <w:kern w:val="0"/>
                <w:position w:val="0"/>
                <w:sz w:val="24"/>
                <w:szCs w:val="24"/>
                <w:highlight w:val="none"/>
                <w:lang w:val="en-US" w:eastAsia="zh-CN"/>
              </w:rPr>
              <w:t>项目钻孔过程中会有边角料产生，</w:t>
            </w:r>
            <w:r>
              <w:rPr>
                <w:rFonts w:hint="default" w:ascii="Times New Roman" w:hAnsi="Times New Roman" w:eastAsia="宋体" w:cs="Times New Roman"/>
                <w:color w:val="auto"/>
                <w:kern w:val="0"/>
                <w:sz w:val="24"/>
                <w:szCs w:val="24"/>
                <w:highlight w:val="none"/>
                <w:lang w:val="en-US" w:eastAsia="zh-CN" w:bidi="ar"/>
              </w:rPr>
              <w:t>根据企业提供的资料</w:t>
            </w:r>
            <w:r>
              <w:rPr>
                <w:rFonts w:hint="eastAsia" w:cs="Times New Roman"/>
                <w:color w:val="auto"/>
                <w:kern w:val="0"/>
                <w:sz w:val="24"/>
                <w:szCs w:val="24"/>
                <w:highlight w:val="none"/>
                <w:lang w:val="en-US" w:eastAsia="zh-CN" w:bidi="ar"/>
              </w:rPr>
              <w:t>，</w:t>
            </w:r>
            <w:r>
              <w:rPr>
                <w:rFonts w:hint="eastAsia" w:cs="Times New Roman"/>
                <w:b w:val="0"/>
                <w:bCs w:val="0"/>
                <w:snapToGrid/>
                <w:color w:val="auto"/>
                <w:spacing w:val="0"/>
                <w:kern w:val="0"/>
                <w:position w:val="0"/>
                <w:sz w:val="24"/>
                <w:szCs w:val="24"/>
                <w:highlight w:val="none"/>
                <w:lang w:val="en-US" w:eastAsia="zh-CN"/>
              </w:rPr>
              <w:t>边角料</w:t>
            </w:r>
            <w:r>
              <w:rPr>
                <w:rFonts w:hint="eastAsia" w:cs="Times New Roman"/>
                <w:b w:val="0"/>
                <w:bCs w:val="0"/>
                <w:color w:val="auto"/>
                <w:sz w:val="24"/>
                <w:szCs w:val="24"/>
                <w:highlight w:val="none"/>
                <w:lang w:val="en-US" w:eastAsia="zh-CN"/>
              </w:rPr>
              <w:t>产生量为0.1t/a，</w:t>
            </w:r>
            <w:r>
              <w:rPr>
                <w:rFonts w:hint="eastAsia" w:ascii="Times New Roman" w:hAnsi="Times New Roman" w:cs="Times New Roman"/>
                <w:b w:val="0"/>
                <w:bCs w:val="0"/>
                <w:color w:val="auto"/>
                <w:sz w:val="24"/>
                <w:szCs w:val="24"/>
                <w:highlight w:val="none"/>
                <w:lang w:val="en-US" w:eastAsia="zh-CN"/>
              </w:rPr>
              <w:t>统一收集后</w:t>
            </w:r>
            <w:r>
              <w:rPr>
                <w:rFonts w:hint="eastAsia" w:cs="Times New Roman"/>
                <w:b w:val="0"/>
                <w:bCs w:val="0"/>
                <w:color w:val="auto"/>
                <w:sz w:val="24"/>
                <w:szCs w:val="24"/>
                <w:highlight w:val="none"/>
                <w:lang w:val="en-US" w:eastAsia="zh-CN"/>
              </w:rPr>
              <w:t>由资源利用单位回收利用。</w:t>
            </w:r>
          </w:p>
          <w:p w14:paraId="4E91CF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snapToGrid/>
                <w:color w:val="auto"/>
                <w:spacing w:val="0"/>
                <w:kern w:val="0"/>
                <w:position w:val="0"/>
                <w:sz w:val="24"/>
                <w:szCs w:val="24"/>
                <w:highlight w:val="none"/>
                <w:lang w:val="en-US" w:eastAsia="zh-CN"/>
              </w:rPr>
            </w:pPr>
            <w:r>
              <w:rPr>
                <w:rFonts w:hint="default" w:ascii="Times New Roman" w:hAnsi="Times New Roman" w:eastAsia="宋体" w:cs="Times New Roman"/>
                <w:b w:val="0"/>
                <w:bCs w:val="0"/>
                <w:snapToGrid/>
                <w:color w:val="auto"/>
                <w:spacing w:val="0"/>
                <w:kern w:val="0"/>
                <w:position w:val="0"/>
                <w:sz w:val="24"/>
                <w:szCs w:val="24"/>
                <w:highlight w:val="none"/>
                <w:lang w:val="en-US" w:eastAsia="zh-CN"/>
              </w:rPr>
              <w:t>④</w:t>
            </w:r>
            <w:r>
              <w:rPr>
                <w:rFonts w:hint="eastAsia" w:cs="Times New Roman"/>
                <w:b w:val="0"/>
                <w:bCs w:val="0"/>
                <w:snapToGrid/>
                <w:color w:val="auto"/>
                <w:spacing w:val="0"/>
                <w:kern w:val="0"/>
                <w:position w:val="0"/>
                <w:sz w:val="24"/>
                <w:szCs w:val="24"/>
                <w:highlight w:val="none"/>
                <w:lang w:val="en-US" w:eastAsia="zh-CN"/>
              </w:rPr>
              <w:t>除尘器收集颗粒物</w:t>
            </w:r>
          </w:p>
          <w:p w14:paraId="43EB8E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snapToGrid/>
                <w:color w:val="auto"/>
                <w:spacing w:val="0"/>
                <w:kern w:val="0"/>
                <w:position w:val="0"/>
                <w:sz w:val="24"/>
                <w:szCs w:val="24"/>
                <w:lang w:val="en-US" w:eastAsia="zh-CN"/>
              </w:rPr>
            </w:pPr>
            <w:r>
              <w:rPr>
                <w:rFonts w:hint="eastAsia" w:cs="Times New Roman"/>
                <w:b w:val="0"/>
                <w:bCs w:val="0"/>
                <w:snapToGrid/>
                <w:color w:val="auto"/>
                <w:spacing w:val="0"/>
                <w:kern w:val="0"/>
                <w:position w:val="0"/>
                <w:sz w:val="24"/>
                <w:szCs w:val="24"/>
                <w:lang w:val="en-US" w:eastAsia="zh-CN"/>
              </w:rPr>
              <w:t>根据上述内容计算，本项目布袋除尘器收集的颗粒物约0.5617t/a，统一收集后回用于生产。</w:t>
            </w:r>
          </w:p>
          <w:p w14:paraId="0F685C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snapToGrid/>
                <w:color w:val="auto"/>
                <w:spacing w:val="0"/>
                <w:kern w:val="0"/>
                <w:position w:val="0"/>
                <w:sz w:val="24"/>
                <w:szCs w:val="24"/>
                <w:highlight w:val="none"/>
                <w:lang w:val="en-US" w:eastAsia="zh-CN"/>
              </w:rPr>
            </w:pPr>
            <w:r>
              <w:rPr>
                <w:rFonts w:hint="eastAsia" w:cs="Times New Roman"/>
                <w:b w:val="0"/>
                <w:bCs w:val="0"/>
                <w:snapToGrid/>
                <w:color w:val="auto"/>
                <w:spacing w:val="0"/>
                <w:kern w:val="0"/>
                <w:position w:val="0"/>
                <w:sz w:val="24"/>
                <w:szCs w:val="24"/>
                <w:highlight w:val="none"/>
                <w:lang w:val="en-US" w:eastAsia="zh-CN"/>
              </w:rPr>
              <w:t>⑤废包装材料</w:t>
            </w:r>
          </w:p>
          <w:p w14:paraId="73FB1B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snapToGrid/>
                <w:color w:val="auto"/>
                <w:spacing w:val="0"/>
                <w:kern w:val="0"/>
                <w:position w:val="0"/>
                <w:sz w:val="24"/>
                <w:szCs w:val="24"/>
                <w:highlight w:val="none"/>
                <w:lang w:val="en-US" w:eastAsia="zh-CN"/>
              </w:rPr>
            </w:pPr>
            <w:r>
              <w:rPr>
                <w:rFonts w:hint="eastAsia" w:cs="Times New Roman"/>
                <w:b w:val="0"/>
                <w:bCs w:val="0"/>
                <w:snapToGrid/>
                <w:color w:val="auto"/>
                <w:spacing w:val="0"/>
                <w:kern w:val="0"/>
                <w:position w:val="0"/>
                <w:sz w:val="24"/>
                <w:szCs w:val="24"/>
                <w:highlight w:val="none"/>
                <w:lang w:val="en-US" w:eastAsia="zh-CN"/>
              </w:rPr>
              <w:t>产品包装过程中会有废包装材料产生，</w:t>
            </w:r>
            <w:r>
              <w:rPr>
                <w:rFonts w:hint="default" w:ascii="Times New Roman" w:hAnsi="Times New Roman" w:eastAsia="宋体" w:cs="Times New Roman"/>
                <w:color w:val="auto"/>
                <w:kern w:val="0"/>
                <w:sz w:val="24"/>
                <w:szCs w:val="24"/>
                <w:highlight w:val="none"/>
                <w:lang w:val="en-US" w:eastAsia="zh-CN" w:bidi="ar"/>
              </w:rPr>
              <w:t>根据企业提供的资料</w:t>
            </w:r>
            <w:r>
              <w:rPr>
                <w:rFonts w:hint="eastAsia" w:cs="Times New Roman"/>
                <w:color w:val="auto"/>
                <w:kern w:val="0"/>
                <w:sz w:val="24"/>
                <w:szCs w:val="24"/>
                <w:highlight w:val="none"/>
                <w:lang w:val="en-US" w:eastAsia="zh-CN" w:bidi="ar"/>
              </w:rPr>
              <w:t>，</w:t>
            </w:r>
            <w:r>
              <w:rPr>
                <w:rFonts w:hint="eastAsia" w:cs="Times New Roman"/>
                <w:b w:val="0"/>
                <w:bCs w:val="0"/>
                <w:snapToGrid/>
                <w:color w:val="auto"/>
                <w:spacing w:val="0"/>
                <w:kern w:val="0"/>
                <w:position w:val="0"/>
                <w:sz w:val="24"/>
                <w:szCs w:val="24"/>
                <w:highlight w:val="none"/>
                <w:lang w:val="en-US" w:eastAsia="zh-CN"/>
              </w:rPr>
              <w:t>废包装材料年产生量约0.01</w:t>
            </w:r>
            <w:r>
              <w:rPr>
                <w:rFonts w:hint="eastAsia" w:cs="Times New Roman"/>
                <w:b w:val="0"/>
                <w:bCs w:val="0"/>
                <w:snapToGrid/>
                <w:color w:val="auto"/>
                <w:spacing w:val="0"/>
                <w:kern w:val="0"/>
                <w:position w:val="0"/>
                <w:sz w:val="24"/>
                <w:szCs w:val="24"/>
                <w:lang w:val="en-US" w:eastAsia="zh-CN"/>
              </w:rPr>
              <w:t>t/a，</w:t>
            </w:r>
            <w:r>
              <w:rPr>
                <w:rFonts w:hint="eastAsia" w:ascii="Times New Roman" w:hAnsi="Times New Roman" w:cs="Times New Roman"/>
                <w:b w:val="0"/>
                <w:bCs w:val="0"/>
                <w:color w:val="auto"/>
                <w:sz w:val="24"/>
                <w:szCs w:val="24"/>
                <w:highlight w:val="none"/>
                <w:lang w:val="en-US" w:eastAsia="zh-CN"/>
              </w:rPr>
              <w:t>统一收集后</w:t>
            </w:r>
            <w:r>
              <w:rPr>
                <w:rFonts w:hint="eastAsia" w:cs="Times New Roman"/>
                <w:b w:val="0"/>
                <w:bCs w:val="0"/>
                <w:color w:val="auto"/>
                <w:sz w:val="24"/>
                <w:szCs w:val="24"/>
                <w:highlight w:val="none"/>
                <w:lang w:val="en-US" w:eastAsia="zh-CN"/>
              </w:rPr>
              <w:t>由资源利用单位回收利用</w:t>
            </w:r>
            <w:r>
              <w:rPr>
                <w:rFonts w:hint="eastAsia" w:cs="Times New Roman"/>
                <w:b w:val="0"/>
                <w:bCs w:val="0"/>
                <w:snapToGrid/>
                <w:color w:val="auto"/>
                <w:spacing w:val="0"/>
                <w:kern w:val="0"/>
                <w:position w:val="0"/>
                <w:sz w:val="24"/>
                <w:szCs w:val="24"/>
                <w:highlight w:val="none"/>
                <w:lang w:val="en-US" w:eastAsia="zh-CN"/>
              </w:rPr>
              <w:t>。</w:t>
            </w:r>
          </w:p>
          <w:p w14:paraId="64FDDA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snapToGrid/>
                <w:color w:val="auto"/>
                <w:spacing w:val="0"/>
                <w:kern w:val="0"/>
                <w:position w:val="0"/>
                <w:sz w:val="24"/>
                <w:szCs w:val="24"/>
                <w:highlight w:val="none"/>
                <w:lang w:val="en-US" w:eastAsia="zh-CN"/>
              </w:rPr>
            </w:pPr>
            <w:r>
              <w:rPr>
                <w:rFonts w:hint="eastAsia" w:cs="Times New Roman"/>
                <w:b w:val="0"/>
                <w:bCs w:val="0"/>
                <w:snapToGrid/>
                <w:color w:val="auto"/>
                <w:spacing w:val="0"/>
                <w:kern w:val="0"/>
                <w:position w:val="0"/>
                <w:sz w:val="24"/>
                <w:szCs w:val="24"/>
                <w:highlight w:val="none"/>
                <w:lang w:val="en-US" w:eastAsia="zh-CN"/>
              </w:rPr>
              <w:t>（3）</w:t>
            </w:r>
            <w:r>
              <w:rPr>
                <w:rFonts w:hint="eastAsia" w:ascii="Times New Roman" w:hAnsi="Times New Roman" w:eastAsia="宋体" w:cs="Times New Roman"/>
                <w:b w:val="0"/>
                <w:bCs w:val="0"/>
                <w:snapToGrid/>
                <w:color w:val="auto"/>
                <w:spacing w:val="0"/>
                <w:kern w:val="0"/>
                <w:position w:val="0"/>
                <w:sz w:val="24"/>
                <w:szCs w:val="24"/>
                <w:highlight w:val="none"/>
                <w:lang w:val="en-US" w:eastAsia="zh-CN"/>
              </w:rPr>
              <w:t>危险废物</w:t>
            </w:r>
          </w:p>
          <w:p w14:paraId="47B673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①废活性炭</w:t>
            </w:r>
          </w:p>
          <w:p w14:paraId="04FEBD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auto"/>
                <w:sz w:val="24"/>
                <w:highlight w:val="none"/>
                <w:lang w:eastAsia="zh-CN"/>
              </w:rPr>
            </w:pPr>
            <w:r>
              <w:rPr>
                <w:rFonts w:hint="default" w:ascii="Times New Roman" w:hAnsi="Times New Roman" w:eastAsia="宋体" w:cs="Times New Roman"/>
                <w:b w:val="0"/>
                <w:bCs w:val="0"/>
                <w:snapToGrid/>
                <w:color w:val="auto"/>
                <w:spacing w:val="0"/>
                <w:kern w:val="0"/>
                <w:position w:val="0"/>
                <w:sz w:val="24"/>
                <w:szCs w:val="24"/>
                <w:lang w:val="en-US" w:eastAsia="zh-CN"/>
              </w:rPr>
              <w:t>废活性炭为</w:t>
            </w:r>
            <w:r>
              <w:rPr>
                <w:rFonts w:hint="eastAsia" w:cs="Times New Roman"/>
                <w:b w:val="0"/>
                <w:bCs w:val="0"/>
                <w:snapToGrid/>
                <w:color w:val="auto"/>
                <w:spacing w:val="0"/>
                <w:kern w:val="0"/>
                <w:position w:val="0"/>
                <w:sz w:val="24"/>
                <w:szCs w:val="24"/>
                <w:lang w:val="en-US" w:eastAsia="zh-CN"/>
              </w:rPr>
              <w:t>吸附</w:t>
            </w:r>
            <w:r>
              <w:rPr>
                <w:rFonts w:hint="eastAsia" w:ascii="宋体" w:hAnsi="宋体" w:eastAsia="宋体" w:cs="宋体"/>
                <w:snapToGrid/>
                <w:color w:val="auto"/>
                <w:spacing w:val="0"/>
                <w:kern w:val="0"/>
                <w:position w:val="0"/>
                <w:sz w:val="24"/>
                <w:szCs w:val="24"/>
                <w:lang w:val="en-US" w:eastAsia="zh-CN"/>
              </w:rPr>
              <w:t>有机废气而</w:t>
            </w:r>
            <w:r>
              <w:rPr>
                <w:rFonts w:hint="default" w:ascii="Times New Roman" w:hAnsi="Times New Roman" w:eastAsia="宋体" w:cs="Times New Roman"/>
                <w:b w:val="0"/>
                <w:bCs w:val="0"/>
                <w:snapToGrid/>
                <w:color w:val="auto"/>
                <w:spacing w:val="0"/>
                <w:kern w:val="0"/>
                <w:position w:val="0"/>
                <w:sz w:val="24"/>
                <w:szCs w:val="24"/>
                <w:lang w:val="en-US" w:eastAsia="zh-CN"/>
              </w:rPr>
              <w:t>产生的固废，</w:t>
            </w:r>
            <w:r>
              <w:rPr>
                <w:rFonts w:hint="eastAsia" w:cs="Times New Roman"/>
                <w:b w:val="0"/>
                <w:bCs w:val="0"/>
                <w:snapToGrid/>
                <w:color w:val="auto"/>
                <w:spacing w:val="0"/>
                <w:kern w:val="0"/>
                <w:position w:val="0"/>
                <w:sz w:val="24"/>
                <w:szCs w:val="24"/>
                <w:lang w:val="en-US" w:eastAsia="zh-CN"/>
              </w:rPr>
              <w:t>加热二级</w:t>
            </w:r>
            <w:r>
              <w:rPr>
                <w:rFonts w:hint="default" w:ascii="Times New Roman" w:hAnsi="Times New Roman" w:eastAsia="宋体" w:cs="Times New Roman"/>
                <w:b w:val="0"/>
                <w:bCs w:val="0"/>
                <w:snapToGrid/>
                <w:color w:val="auto"/>
                <w:spacing w:val="0"/>
                <w:kern w:val="0"/>
                <w:position w:val="0"/>
                <w:sz w:val="24"/>
                <w:szCs w:val="24"/>
                <w:lang w:val="en-US" w:eastAsia="zh-CN"/>
              </w:rPr>
              <w:t>活性炭吸附装置</w:t>
            </w:r>
            <w:r>
              <w:rPr>
                <w:rFonts w:hint="eastAsia" w:ascii="Times New Roman" w:hAnsi="Times New Roman" w:eastAsia="宋体" w:cs="Times New Roman"/>
                <w:b w:val="0"/>
                <w:bCs w:val="0"/>
                <w:snapToGrid/>
                <w:color w:val="auto"/>
                <w:spacing w:val="0"/>
                <w:kern w:val="0"/>
                <w:position w:val="0"/>
                <w:sz w:val="24"/>
                <w:szCs w:val="24"/>
                <w:lang w:val="en-US" w:eastAsia="zh-CN"/>
              </w:rPr>
              <w:t>的活性炭填装量为</w:t>
            </w:r>
            <w:r>
              <w:rPr>
                <w:rFonts w:hint="eastAsia" w:cs="Times New Roman"/>
                <w:b w:val="0"/>
                <w:bCs w:val="0"/>
                <w:snapToGrid/>
                <w:color w:val="auto"/>
                <w:spacing w:val="0"/>
                <w:kern w:val="0"/>
                <w:position w:val="0"/>
                <w:sz w:val="24"/>
                <w:szCs w:val="24"/>
                <w:lang w:val="en-US" w:eastAsia="zh-CN"/>
              </w:rPr>
              <w:t>50</w:t>
            </w:r>
            <w:r>
              <w:rPr>
                <w:rFonts w:hint="eastAsia" w:ascii="Times New Roman" w:hAnsi="Times New Roman" w:eastAsia="宋体" w:cs="Times New Roman"/>
                <w:b w:val="0"/>
                <w:bCs w:val="0"/>
                <w:snapToGrid/>
                <w:color w:val="auto"/>
                <w:spacing w:val="0"/>
                <w:kern w:val="0"/>
                <w:position w:val="0"/>
                <w:sz w:val="24"/>
                <w:szCs w:val="24"/>
                <w:lang w:val="en-US" w:eastAsia="zh-CN"/>
              </w:rPr>
              <w:t>kg，更换周期为</w:t>
            </w:r>
            <w:r>
              <w:rPr>
                <w:rFonts w:hint="eastAsia" w:cs="Times New Roman"/>
                <w:b w:val="0"/>
                <w:bCs w:val="0"/>
                <w:snapToGrid/>
                <w:color w:val="auto"/>
                <w:spacing w:val="0"/>
                <w:kern w:val="0"/>
                <w:position w:val="0"/>
                <w:sz w:val="24"/>
                <w:szCs w:val="24"/>
                <w:lang w:val="en-US" w:eastAsia="zh-CN"/>
              </w:rPr>
              <w:t>3</w:t>
            </w:r>
            <w:r>
              <w:rPr>
                <w:rFonts w:hint="eastAsia" w:ascii="Times New Roman" w:hAnsi="Times New Roman" w:eastAsia="宋体" w:cs="Times New Roman"/>
                <w:b w:val="0"/>
                <w:bCs w:val="0"/>
                <w:snapToGrid/>
                <w:color w:val="auto"/>
                <w:spacing w:val="0"/>
                <w:kern w:val="0"/>
                <w:position w:val="0"/>
                <w:sz w:val="24"/>
                <w:szCs w:val="24"/>
                <w:lang w:val="en-US" w:eastAsia="zh-CN"/>
              </w:rPr>
              <w:t>个月</w:t>
            </w:r>
            <w:r>
              <w:rPr>
                <w:rFonts w:hint="eastAsia" w:cs="Times New Roman"/>
                <w:b w:val="0"/>
                <w:bCs w:val="0"/>
                <w:snapToGrid/>
                <w:color w:val="auto"/>
                <w:spacing w:val="0"/>
                <w:kern w:val="0"/>
                <w:position w:val="0"/>
                <w:sz w:val="24"/>
                <w:szCs w:val="24"/>
                <w:lang w:val="en-US" w:eastAsia="zh-CN"/>
              </w:rPr>
              <w:t>；1#脱胶、注塑二级</w:t>
            </w:r>
            <w:r>
              <w:rPr>
                <w:rFonts w:hint="default" w:ascii="Times New Roman" w:hAnsi="Times New Roman" w:eastAsia="宋体" w:cs="Times New Roman"/>
                <w:b w:val="0"/>
                <w:bCs w:val="0"/>
                <w:snapToGrid/>
                <w:color w:val="auto"/>
                <w:spacing w:val="0"/>
                <w:kern w:val="0"/>
                <w:position w:val="0"/>
                <w:sz w:val="24"/>
                <w:szCs w:val="24"/>
                <w:lang w:val="en-US" w:eastAsia="zh-CN"/>
              </w:rPr>
              <w:t>活性炭吸附装置</w:t>
            </w:r>
            <w:r>
              <w:rPr>
                <w:rFonts w:hint="eastAsia" w:ascii="Times New Roman" w:hAnsi="Times New Roman" w:eastAsia="宋体" w:cs="Times New Roman"/>
                <w:b w:val="0"/>
                <w:bCs w:val="0"/>
                <w:snapToGrid/>
                <w:color w:val="auto"/>
                <w:spacing w:val="0"/>
                <w:kern w:val="0"/>
                <w:position w:val="0"/>
                <w:sz w:val="24"/>
                <w:szCs w:val="24"/>
                <w:lang w:val="en-US" w:eastAsia="zh-CN"/>
              </w:rPr>
              <w:t>的活性炭填装量为</w:t>
            </w:r>
            <w:r>
              <w:rPr>
                <w:rFonts w:hint="eastAsia" w:cs="Times New Roman"/>
                <w:b w:val="0"/>
                <w:bCs w:val="0"/>
                <w:snapToGrid/>
                <w:color w:val="auto"/>
                <w:spacing w:val="0"/>
                <w:kern w:val="0"/>
                <w:position w:val="0"/>
                <w:sz w:val="24"/>
                <w:szCs w:val="24"/>
                <w:lang w:val="en-US" w:eastAsia="zh-CN"/>
              </w:rPr>
              <w:t>500</w:t>
            </w:r>
            <w:r>
              <w:rPr>
                <w:rFonts w:hint="eastAsia" w:ascii="Times New Roman" w:hAnsi="Times New Roman" w:eastAsia="宋体" w:cs="Times New Roman"/>
                <w:b w:val="0"/>
                <w:bCs w:val="0"/>
                <w:snapToGrid/>
                <w:color w:val="auto"/>
                <w:spacing w:val="0"/>
                <w:kern w:val="0"/>
                <w:position w:val="0"/>
                <w:sz w:val="24"/>
                <w:szCs w:val="24"/>
                <w:lang w:val="en-US" w:eastAsia="zh-CN"/>
              </w:rPr>
              <w:t>kg，更换周期为</w:t>
            </w:r>
            <w:r>
              <w:rPr>
                <w:rFonts w:hint="eastAsia" w:cs="Times New Roman"/>
                <w:b w:val="0"/>
                <w:bCs w:val="0"/>
                <w:snapToGrid/>
                <w:color w:val="auto"/>
                <w:spacing w:val="0"/>
                <w:kern w:val="0"/>
                <w:position w:val="0"/>
                <w:sz w:val="24"/>
                <w:szCs w:val="24"/>
                <w:lang w:val="en-US" w:eastAsia="zh-CN"/>
              </w:rPr>
              <w:t>2</w:t>
            </w:r>
            <w:r>
              <w:rPr>
                <w:rFonts w:hint="eastAsia" w:ascii="Times New Roman" w:hAnsi="Times New Roman" w:eastAsia="宋体" w:cs="Times New Roman"/>
                <w:b w:val="0"/>
                <w:bCs w:val="0"/>
                <w:snapToGrid/>
                <w:color w:val="auto"/>
                <w:spacing w:val="0"/>
                <w:kern w:val="0"/>
                <w:position w:val="0"/>
                <w:sz w:val="24"/>
                <w:szCs w:val="24"/>
                <w:lang w:val="en-US" w:eastAsia="zh-CN"/>
              </w:rPr>
              <w:t>个月；2</w:t>
            </w:r>
            <w:r>
              <w:rPr>
                <w:rFonts w:hint="eastAsia" w:cs="Times New Roman"/>
                <w:b w:val="0"/>
                <w:bCs w:val="0"/>
                <w:snapToGrid/>
                <w:color w:val="auto"/>
                <w:spacing w:val="0"/>
                <w:kern w:val="0"/>
                <w:position w:val="0"/>
                <w:sz w:val="24"/>
                <w:szCs w:val="24"/>
                <w:lang w:val="en-US" w:eastAsia="zh-CN"/>
              </w:rPr>
              <w:t>#脱胶、注塑二级</w:t>
            </w:r>
            <w:r>
              <w:rPr>
                <w:rFonts w:hint="default" w:ascii="Times New Roman" w:hAnsi="Times New Roman" w:eastAsia="宋体" w:cs="Times New Roman"/>
                <w:b w:val="0"/>
                <w:bCs w:val="0"/>
                <w:snapToGrid/>
                <w:color w:val="auto"/>
                <w:spacing w:val="0"/>
                <w:kern w:val="0"/>
                <w:position w:val="0"/>
                <w:sz w:val="24"/>
                <w:szCs w:val="24"/>
                <w:lang w:val="en-US" w:eastAsia="zh-CN"/>
              </w:rPr>
              <w:t>活性炭吸附装置</w:t>
            </w:r>
            <w:r>
              <w:rPr>
                <w:rFonts w:hint="eastAsia" w:ascii="Times New Roman" w:hAnsi="Times New Roman" w:eastAsia="宋体" w:cs="Times New Roman"/>
                <w:b w:val="0"/>
                <w:bCs w:val="0"/>
                <w:snapToGrid/>
                <w:color w:val="auto"/>
                <w:spacing w:val="0"/>
                <w:kern w:val="0"/>
                <w:position w:val="0"/>
                <w:sz w:val="24"/>
                <w:szCs w:val="24"/>
                <w:lang w:val="en-US" w:eastAsia="zh-CN"/>
              </w:rPr>
              <w:t>的活性炭填装量为</w:t>
            </w:r>
            <w:r>
              <w:rPr>
                <w:rFonts w:hint="eastAsia" w:cs="Times New Roman"/>
                <w:b w:val="0"/>
                <w:bCs w:val="0"/>
                <w:snapToGrid/>
                <w:color w:val="auto"/>
                <w:spacing w:val="0"/>
                <w:kern w:val="0"/>
                <w:position w:val="0"/>
                <w:sz w:val="24"/>
                <w:szCs w:val="24"/>
                <w:lang w:val="en-US" w:eastAsia="zh-CN"/>
              </w:rPr>
              <w:t>400</w:t>
            </w:r>
            <w:r>
              <w:rPr>
                <w:rFonts w:hint="eastAsia" w:ascii="Times New Roman" w:hAnsi="Times New Roman" w:eastAsia="宋体" w:cs="Times New Roman"/>
                <w:b w:val="0"/>
                <w:bCs w:val="0"/>
                <w:snapToGrid/>
                <w:color w:val="auto"/>
                <w:spacing w:val="0"/>
                <w:kern w:val="0"/>
                <w:position w:val="0"/>
                <w:sz w:val="24"/>
                <w:szCs w:val="24"/>
                <w:lang w:val="en-US" w:eastAsia="zh-CN"/>
              </w:rPr>
              <w:t>kg，更换周期为</w:t>
            </w:r>
            <w:r>
              <w:rPr>
                <w:rFonts w:hint="eastAsia" w:cs="Times New Roman"/>
                <w:b w:val="0"/>
                <w:bCs w:val="0"/>
                <w:snapToGrid/>
                <w:color w:val="auto"/>
                <w:spacing w:val="0"/>
                <w:kern w:val="0"/>
                <w:position w:val="0"/>
                <w:sz w:val="24"/>
                <w:szCs w:val="24"/>
                <w:lang w:val="en-US" w:eastAsia="zh-CN"/>
              </w:rPr>
              <w:t>2</w:t>
            </w:r>
            <w:r>
              <w:rPr>
                <w:rFonts w:hint="eastAsia" w:ascii="Times New Roman" w:hAnsi="Times New Roman" w:eastAsia="宋体" w:cs="Times New Roman"/>
                <w:b w:val="0"/>
                <w:bCs w:val="0"/>
                <w:snapToGrid/>
                <w:color w:val="auto"/>
                <w:spacing w:val="0"/>
                <w:kern w:val="0"/>
                <w:position w:val="0"/>
                <w:sz w:val="24"/>
                <w:szCs w:val="24"/>
                <w:lang w:val="en-US" w:eastAsia="zh-CN"/>
              </w:rPr>
              <w:t>个月。</w:t>
            </w:r>
            <w:r>
              <w:rPr>
                <w:rFonts w:hint="eastAsia" w:cs="Times New Roman"/>
                <w:b w:val="0"/>
                <w:bCs w:val="0"/>
                <w:snapToGrid/>
                <w:color w:val="auto"/>
                <w:spacing w:val="0"/>
                <w:kern w:val="0"/>
                <w:position w:val="0"/>
                <w:sz w:val="24"/>
                <w:szCs w:val="24"/>
                <w:lang w:val="en-US" w:eastAsia="zh-CN"/>
              </w:rPr>
              <w:t>项目选用碘值≥800毫克/克，</w:t>
            </w:r>
            <w:r>
              <w:rPr>
                <w:rFonts w:hint="default" w:ascii="Times New Roman" w:hAnsi="Times New Roman" w:eastAsia="宋体" w:cs="Times New Roman"/>
                <w:b w:val="0"/>
                <w:bCs w:val="0"/>
                <w:snapToGrid/>
                <w:color w:val="auto"/>
                <w:spacing w:val="0"/>
                <w:kern w:val="0"/>
                <w:position w:val="0"/>
                <w:sz w:val="24"/>
                <w:szCs w:val="24"/>
                <w:lang w:val="en-US" w:eastAsia="zh-CN"/>
              </w:rPr>
              <w:t>活性炭有效吸附量：qe=</w:t>
            </w:r>
            <w:r>
              <w:rPr>
                <w:rFonts w:hint="eastAsia" w:cs="Times New Roman"/>
                <w:b w:val="0"/>
                <w:bCs w:val="0"/>
                <w:snapToGrid/>
                <w:color w:val="auto"/>
                <w:spacing w:val="0"/>
                <w:kern w:val="0"/>
                <w:position w:val="0"/>
                <w:sz w:val="24"/>
                <w:szCs w:val="24"/>
                <w:lang w:val="en-US" w:eastAsia="zh-CN"/>
              </w:rPr>
              <w:t>0.3</w:t>
            </w:r>
            <w:r>
              <w:rPr>
                <w:rFonts w:hint="default" w:ascii="Times New Roman" w:hAnsi="Times New Roman" w:eastAsia="宋体" w:cs="Times New Roman"/>
                <w:b w:val="0"/>
                <w:bCs w:val="0"/>
                <w:snapToGrid/>
                <w:color w:val="auto"/>
                <w:spacing w:val="0"/>
                <w:kern w:val="0"/>
                <w:position w:val="0"/>
                <w:sz w:val="24"/>
                <w:szCs w:val="24"/>
                <w:lang w:val="en-US" w:eastAsia="zh-CN"/>
              </w:rPr>
              <w:t>g/g活性炭，则</w:t>
            </w:r>
            <w:r>
              <w:rPr>
                <w:rFonts w:hint="eastAsia" w:cs="Times New Roman"/>
                <w:b w:val="0"/>
                <w:bCs w:val="0"/>
                <w:snapToGrid/>
                <w:color w:val="auto"/>
                <w:spacing w:val="0"/>
                <w:kern w:val="0"/>
                <w:position w:val="0"/>
                <w:sz w:val="24"/>
                <w:szCs w:val="24"/>
                <w:lang w:val="en-US" w:eastAsia="zh-CN"/>
              </w:rPr>
              <w:t>加热</w:t>
            </w:r>
            <w:r>
              <w:rPr>
                <w:rFonts w:hint="default" w:ascii="Times New Roman" w:hAnsi="Times New Roman" w:eastAsia="宋体" w:cs="Times New Roman"/>
                <w:b w:val="0"/>
                <w:bCs w:val="0"/>
                <w:snapToGrid/>
                <w:color w:val="auto"/>
                <w:spacing w:val="0"/>
                <w:kern w:val="0"/>
                <w:position w:val="0"/>
                <w:sz w:val="24"/>
                <w:szCs w:val="24"/>
                <w:lang w:val="en-US" w:eastAsia="zh-CN"/>
              </w:rPr>
              <w:t>活性炭能吸附</w:t>
            </w:r>
            <w:r>
              <w:rPr>
                <w:rFonts w:hint="eastAsia" w:ascii="Times New Roman" w:hAnsi="Times New Roman" w:eastAsia="宋体" w:cs="Times New Roman"/>
                <w:b w:val="0"/>
                <w:bCs w:val="0"/>
                <w:snapToGrid/>
                <w:color w:val="auto"/>
                <w:spacing w:val="0"/>
                <w:kern w:val="0"/>
                <w:position w:val="0"/>
                <w:sz w:val="24"/>
                <w:szCs w:val="24"/>
                <w:lang w:val="en-US" w:eastAsia="zh-CN"/>
              </w:rPr>
              <w:t>的有机废气量为</w:t>
            </w:r>
            <w:r>
              <w:rPr>
                <w:rFonts w:hint="eastAsia" w:cs="Times New Roman"/>
                <w:b w:val="0"/>
                <w:bCs w:val="0"/>
                <w:snapToGrid/>
                <w:color w:val="auto"/>
                <w:spacing w:val="0"/>
                <w:kern w:val="0"/>
                <w:position w:val="0"/>
                <w:sz w:val="24"/>
                <w:szCs w:val="24"/>
                <w:lang w:val="en-US" w:eastAsia="zh-CN"/>
              </w:rPr>
              <w:t>0.06</w:t>
            </w:r>
            <w:r>
              <w:rPr>
                <w:rFonts w:hint="eastAsia" w:ascii="Times New Roman" w:hAnsi="Times New Roman" w:eastAsia="宋体" w:cs="Times New Roman"/>
                <w:b w:val="0"/>
                <w:bCs w:val="0"/>
                <w:snapToGrid/>
                <w:color w:val="auto"/>
                <w:spacing w:val="0"/>
                <w:kern w:val="0"/>
                <w:position w:val="0"/>
                <w:sz w:val="24"/>
                <w:szCs w:val="24"/>
                <w:lang w:val="en-US" w:eastAsia="zh-CN"/>
              </w:rPr>
              <w:t>t/a，</w:t>
            </w:r>
            <w:r>
              <w:rPr>
                <w:rFonts w:hint="eastAsia" w:cs="Times New Roman"/>
                <w:b w:val="0"/>
                <w:bCs w:val="0"/>
                <w:snapToGrid/>
                <w:color w:val="auto"/>
                <w:spacing w:val="0"/>
                <w:kern w:val="0"/>
                <w:position w:val="0"/>
                <w:sz w:val="24"/>
                <w:szCs w:val="24"/>
                <w:lang w:val="en-US" w:eastAsia="zh-CN"/>
              </w:rPr>
              <w:t>1#脱胶、注塑二</w:t>
            </w:r>
            <w:r>
              <w:rPr>
                <w:rFonts w:hint="default" w:ascii="Times New Roman" w:hAnsi="Times New Roman" w:eastAsia="宋体" w:cs="Times New Roman"/>
                <w:b w:val="0"/>
                <w:bCs w:val="0"/>
                <w:snapToGrid/>
                <w:color w:val="auto"/>
                <w:spacing w:val="0"/>
                <w:kern w:val="0"/>
                <w:position w:val="0"/>
                <w:sz w:val="24"/>
                <w:szCs w:val="24"/>
                <w:lang w:val="en-US" w:eastAsia="zh-CN"/>
              </w:rPr>
              <w:t>活性炭能吸附</w:t>
            </w:r>
            <w:r>
              <w:rPr>
                <w:rFonts w:hint="eastAsia" w:ascii="Times New Roman" w:hAnsi="Times New Roman" w:eastAsia="宋体" w:cs="Times New Roman"/>
                <w:b w:val="0"/>
                <w:bCs w:val="0"/>
                <w:snapToGrid/>
                <w:color w:val="auto"/>
                <w:spacing w:val="0"/>
                <w:kern w:val="0"/>
                <w:position w:val="0"/>
                <w:sz w:val="24"/>
                <w:szCs w:val="24"/>
                <w:lang w:val="en-US" w:eastAsia="zh-CN"/>
              </w:rPr>
              <w:t>的有机废气量为</w:t>
            </w:r>
            <w:r>
              <w:rPr>
                <w:rFonts w:hint="eastAsia" w:cs="Times New Roman"/>
                <w:b w:val="0"/>
                <w:bCs w:val="0"/>
                <w:snapToGrid/>
                <w:color w:val="auto"/>
                <w:spacing w:val="0"/>
                <w:kern w:val="0"/>
                <w:position w:val="0"/>
                <w:sz w:val="24"/>
                <w:szCs w:val="24"/>
                <w:lang w:val="en-US" w:eastAsia="zh-CN"/>
              </w:rPr>
              <w:t>0.9</w:t>
            </w:r>
            <w:r>
              <w:rPr>
                <w:rFonts w:hint="eastAsia" w:ascii="Times New Roman" w:hAnsi="Times New Roman" w:eastAsia="宋体" w:cs="Times New Roman"/>
                <w:b w:val="0"/>
                <w:bCs w:val="0"/>
                <w:snapToGrid/>
                <w:color w:val="auto"/>
                <w:spacing w:val="0"/>
                <w:kern w:val="0"/>
                <w:position w:val="0"/>
                <w:sz w:val="24"/>
                <w:szCs w:val="24"/>
                <w:lang w:val="en-US" w:eastAsia="zh-CN"/>
              </w:rPr>
              <w:t>t/a，2</w:t>
            </w:r>
            <w:r>
              <w:rPr>
                <w:rFonts w:hint="eastAsia" w:cs="Times New Roman"/>
                <w:b w:val="0"/>
                <w:bCs w:val="0"/>
                <w:snapToGrid/>
                <w:color w:val="auto"/>
                <w:spacing w:val="0"/>
                <w:kern w:val="0"/>
                <w:position w:val="0"/>
                <w:sz w:val="24"/>
                <w:szCs w:val="24"/>
                <w:lang w:val="en-US" w:eastAsia="zh-CN"/>
              </w:rPr>
              <w:t>#脱胶、注塑二</w:t>
            </w:r>
            <w:r>
              <w:rPr>
                <w:rFonts w:hint="default" w:ascii="Times New Roman" w:hAnsi="Times New Roman" w:eastAsia="宋体" w:cs="Times New Roman"/>
                <w:b w:val="0"/>
                <w:bCs w:val="0"/>
                <w:snapToGrid/>
                <w:color w:val="auto"/>
                <w:spacing w:val="0"/>
                <w:kern w:val="0"/>
                <w:position w:val="0"/>
                <w:sz w:val="24"/>
                <w:szCs w:val="24"/>
                <w:lang w:val="en-US" w:eastAsia="zh-CN"/>
              </w:rPr>
              <w:t>活性炭能吸附</w:t>
            </w:r>
            <w:r>
              <w:rPr>
                <w:rFonts w:hint="eastAsia" w:ascii="Times New Roman" w:hAnsi="Times New Roman" w:eastAsia="宋体" w:cs="Times New Roman"/>
                <w:b w:val="0"/>
                <w:bCs w:val="0"/>
                <w:snapToGrid/>
                <w:color w:val="auto"/>
                <w:spacing w:val="0"/>
                <w:kern w:val="0"/>
                <w:position w:val="0"/>
                <w:sz w:val="24"/>
                <w:szCs w:val="24"/>
                <w:lang w:val="en-US" w:eastAsia="zh-CN"/>
              </w:rPr>
              <w:t>的有机废气量为</w:t>
            </w:r>
            <w:r>
              <w:rPr>
                <w:rFonts w:hint="eastAsia" w:cs="Times New Roman"/>
                <w:b w:val="0"/>
                <w:bCs w:val="0"/>
                <w:snapToGrid/>
                <w:color w:val="auto"/>
                <w:spacing w:val="0"/>
                <w:kern w:val="0"/>
                <w:position w:val="0"/>
                <w:sz w:val="24"/>
                <w:szCs w:val="24"/>
                <w:lang w:val="en-US" w:eastAsia="zh-CN"/>
              </w:rPr>
              <w:t>0.72</w:t>
            </w:r>
            <w:r>
              <w:rPr>
                <w:rFonts w:hint="eastAsia" w:ascii="Times New Roman" w:hAnsi="Times New Roman" w:eastAsia="宋体" w:cs="Times New Roman"/>
                <w:b w:val="0"/>
                <w:bCs w:val="0"/>
                <w:snapToGrid/>
                <w:color w:val="auto"/>
                <w:spacing w:val="0"/>
                <w:kern w:val="0"/>
                <w:position w:val="0"/>
                <w:sz w:val="24"/>
                <w:szCs w:val="24"/>
                <w:lang w:val="en-US" w:eastAsia="zh-CN"/>
              </w:rPr>
              <w:t>t/a。根据前述分析，</w:t>
            </w:r>
            <w:r>
              <w:rPr>
                <w:rFonts w:hint="eastAsia" w:cs="Times New Roman"/>
                <w:b w:val="0"/>
                <w:bCs w:val="0"/>
                <w:snapToGrid/>
                <w:color w:val="auto"/>
                <w:spacing w:val="0"/>
                <w:kern w:val="0"/>
                <w:position w:val="0"/>
                <w:sz w:val="24"/>
                <w:szCs w:val="24"/>
                <w:lang w:val="en-US" w:eastAsia="zh-CN"/>
              </w:rPr>
              <w:t>加热</w:t>
            </w:r>
            <w:r>
              <w:rPr>
                <w:rFonts w:hint="eastAsia" w:ascii="Times New Roman" w:hAnsi="Times New Roman" w:eastAsia="宋体" w:cs="Times New Roman"/>
                <w:b w:val="0"/>
                <w:bCs w:val="0"/>
                <w:snapToGrid/>
                <w:color w:val="auto"/>
                <w:spacing w:val="0"/>
                <w:kern w:val="0"/>
                <w:position w:val="0"/>
                <w:sz w:val="24"/>
                <w:szCs w:val="24"/>
                <w:lang w:val="en-US" w:eastAsia="zh-CN"/>
              </w:rPr>
              <w:t>活性炭</w:t>
            </w:r>
            <w:r>
              <w:rPr>
                <w:rFonts w:hint="eastAsia" w:cs="Times New Roman"/>
                <w:b w:val="0"/>
                <w:bCs w:val="0"/>
                <w:snapToGrid/>
                <w:color w:val="auto"/>
                <w:spacing w:val="0"/>
                <w:kern w:val="0"/>
                <w:position w:val="0"/>
                <w:sz w:val="24"/>
                <w:szCs w:val="24"/>
                <w:lang w:val="en-US" w:eastAsia="zh-CN"/>
              </w:rPr>
              <w:t>吸附</w:t>
            </w:r>
            <w:r>
              <w:rPr>
                <w:rFonts w:hint="eastAsia" w:ascii="Times New Roman" w:hAnsi="Times New Roman" w:eastAsia="宋体" w:cs="Times New Roman"/>
                <w:b w:val="0"/>
                <w:bCs w:val="0"/>
                <w:snapToGrid/>
                <w:color w:val="auto"/>
                <w:spacing w:val="0"/>
                <w:kern w:val="0"/>
                <w:position w:val="0"/>
                <w:sz w:val="24"/>
                <w:szCs w:val="24"/>
                <w:lang w:val="en-US" w:eastAsia="zh-CN"/>
              </w:rPr>
              <w:t>的有机废气量为</w:t>
            </w:r>
            <w:r>
              <w:rPr>
                <w:rFonts w:hint="eastAsia" w:cs="Times New Roman"/>
                <w:b w:val="0"/>
                <w:bCs w:val="0"/>
                <w:snapToGrid/>
                <w:color w:val="auto"/>
                <w:spacing w:val="0"/>
                <w:kern w:val="0"/>
                <w:position w:val="0"/>
                <w:sz w:val="24"/>
                <w:szCs w:val="24"/>
                <w:lang w:val="en-US" w:eastAsia="zh-CN"/>
              </w:rPr>
              <w:t>0.0462</w:t>
            </w:r>
            <w:r>
              <w:rPr>
                <w:rFonts w:hint="eastAsia" w:ascii="Times New Roman" w:hAnsi="Times New Roman" w:eastAsia="宋体" w:cs="Times New Roman"/>
                <w:b w:val="0"/>
                <w:bCs w:val="0"/>
                <w:snapToGrid/>
                <w:color w:val="auto"/>
                <w:spacing w:val="0"/>
                <w:kern w:val="0"/>
                <w:position w:val="0"/>
                <w:sz w:val="24"/>
                <w:szCs w:val="24"/>
                <w:lang w:val="en-US" w:eastAsia="zh-CN"/>
              </w:rPr>
              <w:t>t/a</w:t>
            </w:r>
            <w:r>
              <w:rPr>
                <w:rFonts w:hint="eastAsia" w:cs="Times New Roman"/>
                <w:b w:val="0"/>
                <w:bCs w:val="0"/>
                <w:snapToGrid/>
                <w:color w:val="auto"/>
                <w:spacing w:val="0"/>
                <w:kern w:val="0"/>
                <w:position w:val="0"/>
                <w:sz w:val="24"/>
                <w:szCs w:val="24"/>
                <w:lang w:val="en-US" w:eastAsia="zh-CN"/>
              </w:rPr>
              <w:t>；1#脱胶、注塑二</w:t>
            </w:r>
            <w:r>
              <w:rPr>
                <w:rFonts w:hint="eastAsia" w:ascii="Times New Roman" w:hAnsi="Times New Roman" w:eastAsia="宋体" w:cs="Times New Roman"/>
                <w:b w:val="0"/>
                <w:bCs w:val="0"/>
                <w:snapToGrid/>
                <w:color w:val="auto"/>
                <w:spacing w:val="0"/>
                <w:kern w:val="0"/>
                <w:position w:val="0"/>
                <w:sz w:val="24"/>
                <w:szCs w:val="24"/>
                <w:lang w:val="en-US" w:eastAsia="zh-CN"/>
              </w:rPr>
              <w:t>活性炭</w:t>
            </w:r>
            <w:r>
              <w:rPr>
                <w:rFonts w:hint="eastAsia" w:cs="Times New Roman"/>
                <w:b w:val="0"/>
                <w:bCs w:val="0"/>
                <w:snapToGrid/>
                <w:color w:val="auto"/>
                <w:spacing w:val="0"/>
                <w:kern w:val="0"/>
                <w:position w:val="0"/>
                <w:sz w:val="24"/>
                <w:szCs w:val="24"/>
                <w:lang w:val="en-US" w:eastAsia="zh-CN"/>
              </w:rPr>
              <w:t>吸附</w:t>
            </w:r>
            <w:r>
              <w:rPr>
                <w:rFonts w:hint="eastAsia" w:ascii="Times New Roman" w:hAnsi="Times New Roman" w:eastAsia="宋体" w:cs="Times New Roman"/>
                <w:b w:val="0"/>
                <w:bCs w:val="0"/>
                <w:snapToGrid/>
                <w:color w:val="auto"/>
                <w:spacing w:val="0"/>
                <w:kern w:val="0"/>
                <w:position w:val="0"/>
                <w:sz w:val="24"/>
                <w:szCs w:val="24"/>
                <w:lang w:val="en-US" w:eastAsia="zh-CN"/>
              </w:rPr>
              <w:t>的有机废气量为</w:t>
            </w:r>
            <w:r>
              <w:rPr>
                <w:rFonts w:hint="eastAsia" w:cs="Times New Roman"/>
                <w:b w:val="0"/>
                <w:bCs w:val="0"/>
                <w:snapToGrid/>
                <w:color w:val="auto"/>
                <w:spacing w:val="0"/>
                <w:kern w:val="0"/>
                <w:position w:val="0"/>
                <w:sz w:val="24"/>
                <w:szCs w:val="24"/>
                <w:lang w:val="en-US" w:eastAsia="zh-CN"/>
              </w:rPr>
              <w:t>0.8568t</w:t>
            </w:r>
            <w:r>
              <w:rPr>
                <w:rFonts w:hint="eastAsia" w:ascii="Times New Roman" w:hAnsi="Times New Roman" w:eastAsia="宋体" w:cs="Times New Roman"/>
                <w:b w:val="0"/>
                <w:bCs w:val="0"/>
                <w:snapToGrid/>
                <w:color w:val="auto"/>
                <w:spacing w:val="0"/>
                <w:kern w:val="0"/>
                <w:position w:val="0"/>
                <w:sz w:val="24"/>
                <w:szCs w:val="24"/>
                <w:lang w:val="en-US" w:eastAsia="zh-CN"/>
              </w:rPr>
              <w:t>/a，2</w:t>
            </w:r>
            <w:r>
              <w:rPr>
                <w:rFonts w:hint="eastAsia" w:cs="Times New Roman"/>
                <w:b w:val="0"/>
                <w:bCs w:val="0"/>
                <w:snapToGrid/>
                <w:color w:val="auto"/>
                <w:spacing w:val="0"/>
                <w:kern w:val="0"/>
                <w:position w:val="0"/>
                <w:sz w:val="24"/>
                <w:szCs w:val="24"/>
                <w:lang w:val="en-US" w:eastAsia="zh-CN"/>
              </w:rPr>
              <w:t>#脱胶、注塑二</w:t>
            </w:r>
            <w:r>
              <w:rPr>
                <w:rFonts w:hint="eastAsia" w:ascii="Times New Roman" w:hAnsi="Times New Roman" w:eastAsia="宋体" w:cs="Times New Roman"/>
                <w:b w:val="0"/>
                <w:bCs w:val="0"/>
                <w:snapToGrid/>
                <w:color w:val="auto"/>
                <w:spacing w:val="0"/>
                <w:kern w:val="0"/>
                <w:position w:val="0"/>
                <w:sz w:val="24"/>
                <w:szCs w:val="24"/>
                <w:lang w:val="en-US" w:eastAsia="zh-CN"/>
              </w:rPr>
              <w:t>活性炭</w:t>
            </w:r>
            <w:r>
              <w:rPr>
                <w:rFonts w:hint="eastAsia" w:cs="Times New Roman"/>
                <w:b w:val="0"/>
                <w:bCs w:val="0"/>
                <w:snapToGrid/>
                <w:color w:val="auto"/>
                <w:spacing w:val="0"/>
                <w:kern w:val="0"/>
                <w:position w:val="0"/>
                <w:sz w:val="24"/>
                <w:szCs w:val="24"/>
                <w:lang w:val="en-US" w:eastAsia="zh-CN"/>
              </w:rPr>
              <w:t>吸附</w:t>
            </w:r>
            <w:r>
              <w:rPr>
                <w:rFonts w:hint="eastAsia" w:ascii="Times New Roman" w:hAnsi="Times New Roman" w:eastAsia="宋体" w:cs="Times New Roman"/>
                <w:b w:val="0"/>
                <w:bCs w:val="0"/>
                <w:snapToGrid/>
                <w:color w:val="auto"/>
                <w:spacing w:val="0"/>
                <w:kern w:val="0"/>
                <w:position w:val="0"/>
                <w:sz w:val="24"/>
                <w:szCs w:val="24"/>
                <w:lang w:val="en-US" w:eastAsia="zh-CN"/>
              </w:rPr>
              <w:t>的有机废气量为</w:t>
            </w:r>
            <w:r>
              <w:rPr>
                <w:rFonts w:hint="eastAsia" w:cs="Times New Roman"/>
                <w:b w:val="0"/>
                <w:bCs w:val="0"/>
                <w:snapToGrid/>
                <w:color w:val="auto"/>
                <w:spacing w:val="0"/>
                <w:kern w:val="0"/>
                <w:position w:val="0"/>
                <w:sz w:val="24"/>
                <w:szCs w:val="24"/>
                <w:lang w:val="en-US" w:eastAsia="zh-CN"/>
              </w:rPr>
              <w:t>0.6912t</w:t>
            </w:r>
            <w:r>
              <w:rPr>
                <w:rFonts w:hint="eastAsia" w:ascii="Times New Roman" w:hAnsi="Times New Roman" w:eastAsia="宋体" w:cs="Times New Roman"/>
                <w:b w:val="0"/>
                <w:bCs w:val="0"/>
                <w:snapToGrid/>
                <w:color w:val="auto"/>
                <w:spacing w:val="0"/>
                <w:kern w:val="0"/>
                <w:position w:val="0"/>
                <w:sz w:val="24"/>
                <w:szCs w:val="24"/>
                <w:lang w:val="en-US" w:eastAsia="zh-CN"/>
              </w:rPr>
              <w:t>/a，</w:t>
            </w:r>
            <w:r>
              <w:rPr>
                <w:rFonts w:hint="default" w:ascii="Times New Roman" w:hAnsi="Times New Roman" w:eastAsia="宋体" w:cs="Times New Roman"/>
                <w:b w:val="0"/>
                <w:bCs w:val="0"/>
                <w:snapToGrid/>
                <w:color w:val="auto"/>
                <w:spacing w:val="0"/>
                <w:kern w:val="0"/>
                <w:position w:val="0"/>
                <w:sz w:val="24"/>
                <w:szCs w:val="24"/>
                <w:lang w:val="en-US" w:eastAsia="zh-CN"/>
              </w:rPr>
              <w:t>因此</w:t>
            </w:r>
            <w:r>
              <w:rPr>
                <w:rFonts w:hint="eastAsia" w:cs="Times New Roman"/>
                <w:b w:val="0"/>
                <w:bCs w:val="0"/>
                <w:snapToGrid/>
                <w:color w:val="auto"/>
                <w:spacing w:val="0"/>
                <w:kern w:val="0"/>
                <w:position w:val="0"/>
                <w:sz w:val="24"/>
                <w:szCs w:val="24"/>
                <w:lang w:val="en-US" w:eastAsia="zh-CN"/>
              </w:rPr>
              <w:t>二级</w:t>
            </w:r>
            <w:r>
              <w:rPr>
                <w:rFonts w:hint="default" w:ascii="Times New Roman" w:hAnsi="Times New Roman" w:eastAsia="宋体" w:cs="Times New Roman"/>
                <w:b w:val="0"/>
                <w:bCs w:val="0"/>
                <w:snapToGrid/>
                <w:color w:val="auto"/>
                <w:spacing w:val="0"/>
                <w:kern w:val="0"/>
                <w:position w:val="0"/>
                <w:sz w:val="24"/>
                <w:szCs w:val="24"/>
                <w:lang w:val="en-US" w:eastAsia="zh-CN"/>
              </w:rPr>
              <w:t>活性炭吸附装置能达到设计要求</w:t>
            </w:r>
            <w:r>
              <w:rPr>
                <w:rFonts w:hint="eastAsia" w:ascii="Times New Roman" w:hAnsi="Times New Roman" w:eastAsia="宋体" w:cs="Times New Roman"/>
                <w:b w:val="0"/>
                <w:bCs w:val="0"/>
                <w:snapToGrid/>
                <w:color w:val="auto"/>
                <w:spacing w:val="0"/>
                <w:kern w:val="0"/>
                <w:position w:val="0"/>
                <w:sz w:val="24"/>
                <w:szCs w:val="24"/>
                <w:lang w:val="en-US" w:eastAsia="zh-CN"/>
              </w:rPr>
              <w:t>，项目</w:t>
            </w:r>
            <w:r>
              <w:rPr>
                <w:rFonts w:hint="default" w:ascii="Times New Roman" w:hAnsi="Times New Roman" w:eastAsia="宋体" w:cs="Times New Roman"/>
                <w:b w:val="0"/>
                <w:bCs w:val="0"/>
                <w:snapToGrid/>
                <w:color w:val="auto"/>
                <w:spacing w:val="0"/>
                <w:kern w:val="0"/>
                <w:position w:val="0"/>
                <w:sz w:val="24"/>
                <w:szCs w:val="24"/>
                <w:lang w:val="en-US" w:eastAsia="zh-CN"/>
              </w:rPr>
              <w:t>产生废活性炭</w:t>
            </w:r>
            <w:r>
              <w:rPr>
                <w:rFonts w:hint="eastAsia" w:cs="Times New Roman"/>
                <w:b w:val="0"/>
                <w:bCs w:val="0"/>
                <w:snapToGrid/>
                <w:color w:val="auto"/>
                <w:spacing w:val="0"/>
                <w:kern w:val="0"/>
                <w:position w:val="0"/>
                <w:sz w:val="24"/>
                <w:szCs w:val="24"/>
                <w:lang w:val="en-US" w:eastAsia="zh-CN"/>
              </w:rPr>
              <w:t>（含</w:t>
            </w:r>
            <w:r>
              <w:rPr>
                <w:rFonts w:hint="eastAsia" w:ascii="Times New Roman" w:hAnsi="Times New Roman" w:eastAsia="宋体" w:cs="Times New Roman"/>
                <w:b w:val="0"/>
                <w:bCs w:val="0"/>
                <w:snapToGrid/>
                <w:color w:val="auto"/>
                <w:spacing w:val="0"/>
                <w:kern w:val="0"/>
                <w:position w:val="0"/>
                <w:sz w:val="24"/>
                <w:szCs w:val="24"/>
                <w:lang w:val="en-US" w:eastAsia="zh-CN"/>
              </w:rPr>
              <w:t>有机废气</w:t>
            </w:r>
            <w:r>
              <w:rPr>
                <w:rFonts w:hint="eastAsia" w:cs="Times New Roman"/>
                <w:b w:val="0"/>
                <w:bCs w:val="0"/>
                <w:snapToGrid/>
                <w:color w:val="auto"/>
                <w:spacing w:val="0"/>
                <w:kern w:val="0"/>
                <w:position w:val="0"/>
                <w:sz w:val="24"/>
                <w:szCs w:val="24"/>
                <w:lang w:val="en-US" w:eastAsia="zh-CN"/>
              </w:rPr>
              <w:t>）</w:t>
            </w:r>
            <w:r>
              <w:rPr>
                <w:rFonts w:hint="default" w:ascii="Times New Roman" w:hAnsi="Times New Roman" w:eastAsia="宋体" w:cs="Times New Roman"/>
                <w:b w:val="0"/>
                <w:bCs w:val="0"/>
                <w:snapToGrid/>
                <w:color w:val="auto"/>
                <w:spacing w:val="0"/>
                <w:kern w:val="0"/>
                <w:position w:val="0"/>
                <w:sz w:val="24"/>
                <w:szCs w:val="24"/>
                <w:lang w:val="en-US" w:eastAsia="zh-CN"/>
              </w:rPr>
              <w:t>约为</w:t>
            </w:r>
            <w:r>
              <w:rPr>
                <w:rFonts w:hint="eastAsia" w:cs="Times New Roman"/>
                <w:b w:val="0"/>
                <w:bCs w:val="0"/>
                <w:snapToGrid/>
                <w:color w:val="auto"/>
                <w:spacing w:val="0"/>
                <w:kern w:val="0"/>
                <w:position w:val="0"/>
                <w:sz w:val="24"/>
                <w:szCs w:val="24"/>
                <w:lang w:val="en-US" w:eastAsia="zh-CN"/>
              </w:rPr>
              <w:t>7.1942</w:t>
            </w:r>
            <w:r>
              <w:rPr>
                <w:rFonts w:hint="default" w:ascii="Times New Roman" w:hAnsi="Times New Roman" w:eastAsia="宋体" w:cs="Times New Roman"/>
                <w:b w:val="0"/>
                <w:bCs w:val="0"/>
                <w:snapToGrid/>
                <w:color w:val="auto"/>
                <w:spacing w:val="0"/>
                <w:kern w:val="0"/>
                <w:position w:val="0"/>
                <w:sz w:val="24"/>
                <w:szCs w:val="24"/>
                <w:lang w:val="en-US" w:eastAsia="zh-CN"/>
              </w:rPr>
              <w:t>t/a，经对照《国家危险废物名录》（</w:t>
            </w:r>
            <w:r>
              <w:rPr>
                <w:rFonts w:hint="eastAsia" w:ascii="Times New Roman" w:hAnsi="Times New Roman" w:eastAsia="宋体" w:cs="Times New Roman"/>
                <w:b w:val="0"/>
                <w:bCs w:val="0"/>
                <w:snapToGrid/>
                <w:color w:val="auto"/>
                <w:spacing w:val="0"/>
                <w:kern w:val="0"/>
                <w:position w:val="0"/>
                <w:sz w:val="24"/>
                <w:szCs w:val="24"/>
                <w:lang w:val="en-US" w:eastAsia="zh-CN"/>
              </w:rPr>
              <w:t>2025</w:t>
            </w:r>
            <w:r>
              <w:rPr>
                <w:rFonts w:hint="default" w:ascii="Times New Roman" w:hAnsi="Times New Roman" w:eastAsia="宋体" w:cs="Times New Roman"/>
                <w:b w:val="0"/>
                <w:bCs w:val="0"/>
                <w:snapToGrid/>
                <w:color w:val="auto"/>
                <w:spacing w:val="0"/>
                <w:kern w:val="0"/>
                <w:position w:val="0"/>
                <w:sz w:val="24"/>
                <w:szCs w:val="24"/>
                <w:lang w:val="en-US" w:eastAsia="zh-CN"/>
              </w:rPr>
              <w:t>版），属于危险废物HW49，危废代码</w:t>
            </w:r>
            <w:r>
              <w:rPr>
                <w:rFonts w:hint="eastAsia" w:cs="Times New Roman"/>
                <w:b w:val="0"/>
                <w:bCs w:val="0"/>
                <w:snapToGrid/>
                <w:color w:val="auto"/>
                <w:spacing w:val="0"/>
                <w:kern w:val="0"/>
                <w:position w:val="0"/>
                <w:sz w:val="24"/>
                <w:szCs w:val="24"/>
                <w:lang w:val="en-US" w:eastAsia="zh-CN"/>
              </w:rPr>
              <w:t>为</w:t>
            </w:r>
            <w:r>
              <w:rPr>
                <w:rFonts w:hint="default" w:ascii="Times New Roman" w:hAnsi="Times New Roman" w:eastAsia="宋体" w:cs="Times New Roman"/>
                <w:b w:val="0"/>
                <w:bCs w:val="0"/>
                <w:snapToGrid/>
                <w:color w:val="auto"/>
                <w:spacing w:val="0"/>
                <w:kern w:val="0"/>
                <w:position w:val="0"/>
                <w:sz w:val="24"/>
                <w:szCs w:val="24"/>
                <w:lang w:val="en-US" w:eastAsia="zh-CN"/>
              </w:rPr>
              <w:t>900-0</w:t>
            </w:r>
            <w:r>
              <w:rPr>
                <w:rFonts w:hint="eastAsia" w:ascii="Times New Roman" w:hAnsi="Times New Roman" w:eastAsia="宋体" w:cs="Times New Roman"/>
                <w:b w:val="0"/>
                <w:bCs w:val="0"/>
                <w:snapToGrid/>
                <w:color w:val="auto"/>
                <w:spacing w:val="0"/>
                <w:kern w:val="0"/>
                <w:position w:val="0"/>
                <w:sz w:val="24"/>
                <w:szCs w:val="24"/>
                <w:lang w:val="en-US" w:eastAsia="zh-CN"/>
              </w:rPr>
              <w:t>39</w:t>
            </w:r>
            <w:r>
              <w:rPr>
                <w:rFonts w:hint="default" w:ascii="Times New Roman" w:hAnsi="Times New Roman" w:eastAsia="宋体" w:cs="Times New Roman"/>
                <w:b w:val="0"/>
                <w:bCs w:val="0"/>
                <w:snapToGrid/>
                <w:color w:val="auto"/>
                <w:spacing w:val="0"/>
                <w:kern w:val="0"/>
                <w:position w:val="0"/>
                <w:sz w:val="24"/>
                <w:szCs w:val="24"/>
                <w:lang w:val="en-US" w:eastAsia="zh-CN"/>
              </w:rPr>
              <w:t>-49。于厂内危废暂存场所暂存后委托有资质单位妥善处置</w:t>
            </w:r>
            <w:r>
              <w:rPr>
                <w:rFonts w:hint="eastAsia" w:ascii="宋体" w:hAnsi="宋体"/>
                <w:color w:val="auto"/>
                <w:sz w:val="24"/>
                <w:highlight w:val="none"/>
                <w:lang w:eastAsia="zh-CN"/>
              </w:rPr>
              <w:t>。</w:t>
            </w:r>
          </w:p>
          <w:p w14:paraId="0450C3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②废机油</w:t>
            </w:r>
          </w:p>
          <w:p w14:paraId="137876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auto"/>
                <w:sz w:val="24"/>
                <w:highlight w:val="none"/>
                <w:lang w:eastAsia="zh-CN"/>
              </w:rPr>
            </w:pPr>
            <w:r>
              <w:rPr>
                <w:rFonts w:hint="eastAsia" w:ascii="Times New Roman" w:hAnsi="Times New Roman" w:cs="Times New Roman"/>
                <w:color w:val="auto"/>
                <w:sz w:val="24"/>
                <w:lang w:val="en-US" w:eastAsia="zh-CN"/>
              </w:rPr>
              <w:t>设备在</w:t>
            </w:r>
            <w:r>
              <w:rPr>
                <w:rFonts w:hint="default" w:ascii="Times New Roman" w:hAnsi="Times New Roman" w:cs="Times New Roman"/>
                <w:color w:val="auto"/>
                <w:sz w:val="24"/>
                <w:lang w:val="en-US" w:eastAsia="zh-CN"/>
              </w:rPr>
              <w:t>使用</w:t>
            </w:r>
            <w:r>
              <w:rPr>
                <w:rFonts w:hint="eastAsia" w:ascii="Times New Roman" w:hAnsi="Times New Roman" w:cs="Times New Roman"/>
                <w:color w:val="auto"/>
                <w:sz w:val="24"/>
                <w:lang w:val="en-US" w:eastAsia="zh-CN"/>
              </w:rPr>
              <w:t>维修过程中会</w:t>
            </w:r>
            <w:r>
              <w:rPr>
                <w:rFonts w:hint="default" w:ascii="Times New Roman" w:hAnsi="Times New Roman" w:cs="Times New Roman"/>
                <w:color w:val="auto"/>
                <w:sz w:val="24"/>
                <w:lang w:val="en-US" w:eastAsia="zh-CN"/>
              </w:rPr>
              <w:t>产生</w:t>
            </w:r>
            <w:r>
              <w:rPr>
                <w:rFonts w:hint="eastAsia" w:ascii="Times New Roman" w:hAnsi="Times New Roman" w:cs="Times New Roman"/>
                <w:color w:val="auto"/>
                <w:sz w:val="24"/>
                <w:lang w:val="en-US" w:eastAsia="zh-CN"/>
              </w:rPr>
              <w:t>少量废机油</w:t>
            </w:r>
            <w:r>
              <w:rPr>
                <w:rFonts w:hint="default" w:ascii="Times New Roman" w:hAnsi="Times New Roman" w:cs="Times New Roman"/>
                <w:color w:val="auto"/>
                <w:sz w:val="24"/>
                <w:lang w:val="en-US" w:eastAsia="zh-CN"/>
              </w:rPr>
              <w:t>，产生量约</w:t>
            </w:r>
            <w:r>
              <w:rPr>
                <w:rFonts w:hint="eastAsia" w:cs="Times New Roman"/>
                <w:color w:val="auto"/>
                <w:sz w:val="24"/>
                <w:lang w:val="en-US" w:eastAsia="zh-CN"/>
              </w:rPr>
              <w:t>1</w:t>
            </w:r>
            <w:r>
              <w:rPr>
                <w:rFonts w:hint="default" w:ascii="Times New Roman" w:hAnsi="Times New Roman" w:cs="Times New Roman"/>
                <w:color w:val="auto"/>
                <w:sz w:val="24"/>
                <w:lang w:val="en-US" w:eastAsia="zh-CN"/>
              </w:rPr>
              <w:t>t/a，对照《国家危险废物名录》（20</w:t>
            </w:r>
            <w:r>
              <w:rPr>
                <w:rFonts w:hint="eastAsia" w:ascii="Times New Roman" w:hAnsi="Times New Roman" w:cs="Times New Roman"/>
                <w:color w:val="auto"/>
                <w:sz w:val="24"/>
                <w:lang w:val="en-US" w:eastAsia="zh-CN"/>
              </w:rPr>
              <w:t>2</w:t>
            </w:r>
            <w:r>
              <w:rPr>
                <w:rFonts w:hint="eastAsia" w:cs="Times New Roman"/>
                <w:color w:val="auto"/>
                <w:sz w:val="24"/>
                <w:lang w:val="en-US" w:eastAsia="zh-CN"/>
              </w:rPr>
              <w:t>5</w:t>
            </w:r>
            <w:r>
              <w:rPr>
                <w:rFonts w:hint="default" w:ascii="Times New Roman" w:hAnsi="Times New Roman" w:cs="Times New Roman"/>
                <w:color w:val="auto"/>
                <w:sz w:val="24"/>
                <w:lang w:val="en-US" w:eastAsia="zh-CN"/>
              </w:rPr>
              <w:t>年版），属于危险废物HW0</w:t>
            </w:r>
            <w:r>
              <w:rPr>
                <w:rFonts w:hint="eastAsia" w:ascii="Times New Roman" w:hAnsi="Times New Roman" w:cs="Times New Roman"/>
                <w:color w:val="auto"/>
                <w:sz w:val="24"/>
                <w:lang w:val="en-US" w:eastAsia="zh-CN"/>
              </w:rPr>
              <w:t>8</w:t>
            </w:r>
            <w:r>
              <w:rPr>
                <w:rFonts w:hint="default" w:ascii="Times New Roman" w:hAnsi="Times New Roman" w:cs="Times New Roman"/>
                <w:color w:val="auto"/>
                <w:sz w:val="24"/>
                <w:lang w:val="en-US" w:eastAsia="zh-CN"/>
              </w:rPr>
              <w:t>，危废代码900-</w:t>
            </w:r>
            <w:r>
              <w:rPr>
                <w:rFonts w:hint="eastAsia" w:ascii="Times New Roman" w:hAnsi="Times New Roman" w:cs="Times New Roman"/>
                <w:color w:val="auto"/>
                <w:sz w:val="24"/>
                <w:lang w:val="en-US" w:eastAsia="zh-CN"/>
              </w:rPr>
              <w:t>2</w:t>
            </w:r>
            <w:r>
              <w:rPr>
                <w:rFonts w:hint="eastAsia" w:cs="Times New Roman"/>
                <w:color w:val="auto"/>
                <w:sz w:val="24"/>
                <w:lang w:val="en-US" w:eastAsia="zh-CN"/>
              </w:rPr>
              <w:t>49</w:t>
            </w:r>
            <w:r>
              <w:rPr>
                <w:rFonts w:hint="default" w:ascii="Times New Roman" w:hAnsi="Times New Roman" w:cs="Times New Roman"/>
                <w:color w:val="auto"/>
                <w:sz w:val="24"/>
                <w:lang w:val="en-US" w:eastAsia="zh-CN"/>
              </w:rPr>
              <w:t>-0</w:t>
            </w:r>
            <w:r>
              <w:rPr>
                <w:rFonts w:hint="eastAsia" w:ascii="Times New Roman" w:hAnsi="Times New Roman" w:cs="Times New Roman"/>
                <w:color w:val="auto"/>
                <w:sz w:val="24"/>
                <w:lang w:val="en-US" w:eastAsia="zh-CN"/>
              </w:rPr>
              <w:t>8。</w:t>
            </w:r>
            <w:r>
              <w:rPr>
                <w:rFonts w:hint="default" w:ascii="Times New Roman" w:hAnsi="Times New Roman" w:cs="Times New Roman"/>
                <w:color w:val="auto"/>
                <w:sz w:val="24"/>
              </w:rPr>
              <w:t>建设单位收集贮存于</w:t>
            </w:r>
            <w:r>
              <w:rPr>
                <w:rFonts w:hint="default" w:ascii="Times New Roman" w:hAnsi="Times New Roman" w:cs="Times New Roman"/>
                <w:color w:val="auto"/>
                <w:sz w:val="24"/>
                <w:highlight w:val="none"/>
                <w:lang w:eastAsia="zh-CN"/>
              </w:rPr>
              <w:t>危废间</w:t>
            </w:r>
            <w:r>
              <w:rPr>
                <w:rFonts w:hint="default" w:ascii="Times New Roman" w:hAnsi="Times New Roman" w:cs="Times New Roman"/>
                <w:color w:val="auto"/>
                <w:sz w:val="24"/>
              </w:rPr>
              <w:t>，定期交由</w:t>
            </w:r>
            <w:r>
              <w:rPr>
                <w:rFonts w:hint="default" w:ascii="Times New Roman" w:hAnsi="Times New Roman" w:cs="Times New Roman"/>
                <w:color w:val="auto"/>
                <w:sz w:val="24"/>
                <w:lang w:val="en-US" w:eastAsia="zh-CN"/>
              </w:rPr>
              <w:t>收集后委托有资质单位处理</w:t>
            </w:r>
            <w:r>
              <w:rPr>
                <w:rFonts w:hint="default" w:ascii="Times New Roman" w:hAnsi="Times New Roman" w:cs="Times New Roman"/>
                <w:color w:val="auto"/>
                <w:sz w:val="24"/>
              </w:rPr>
              <w:t>处置。</w:t>
            </w:r>
          </w:p>
          <w:p w14:paraId="203941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宋体" w:hAnsi="宋体"/>
                <w:color w:val="auto"/>
                <w:sz w:val="24"/>
                <w:highlight w:val="none"/>
                <w:lang w:val="en-US" w:eastAsia="zh-CN"/>
              </w:rPr>
              <w:t>③</w:t>
            </w:r>
            <w:r>
              <w:rPr>
                <w:rFonts w:hint="eastAsia" w:cs="Times New Roman"/>
                <w:color w:val="auto"/>
                <w:sz w:val="24"/>
                <w:szCs w:val="24"/>
                <w:lang w:val="en-US" w:eastAsia="zh-CN"/>
              </w:rPr>
              <w:t>废</w:t>
            </w:r>
            <w:r>
              <w:rPr>
                <w:rFonts w:hint="default" w:ascii="Times New Roman" w:hAnsi="Times New Roman" w:eastAsia="宋体" w:cs="Times New Roman"/>
                <w:color w:val="auto"/>
                <w:sz w:val="24"/>
                <w:szCs w:val="24"/>
                <w:lang w:val="en-US" w:eastAsia="zh-CN"/>
              </w:rPr>
              <w:t>镍催化剂</w:t>
            </w:r>
          </w:p>
          <w:p w14:paraId="2D36EF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auto"/>
                <w:sz w:val="24"/>
                <w:highlight w:val="none"/>
                <w:lang w:val="en-US" w:eastAsia="zh-CN"/>
              </w:rPr>
            </w:pPr>
            <w:r>
              <w:rPr>
                <w:rFonts w:hint="default" w:ascii="Times New Roman" w:hAnsi="Times New Roman" w:cs="Times New Roman"/>
                <w:color w:val="auto"/>
                <w:sz w:val="24"/>
                <w:lang w:val="en-US" w:eastAsia="zh-CN"/>
              </w:rPr>
              <w:t>在液氨转化为氢气的过程中，催化剂的使用可以显著提高反应效率并降低能耗。</w:t>
            </w:r>
            <w:r>
              <w:rPr>
                <w:rFonts w:hint="eastAsia" w:ascii="Times New Roman" w:hAnsi="Times New Roman" w:cs="Times New Roman"/>
                <w:color w:val="auto"/>
                <w:sz w:val="24"/>
                <w:lang w:val="en-US" w:eastAsia="zh-CN"/>
              </w:rPr>
              <w:t>本项目使用</w:t>
            </w:r>
            <w:r>
              <w:rPr>
                <w:rFonts w:hint="default" w:ascii="Times New Roman" w:hAnsi="Times New Roman" w:eastAsia="宋体" w:cs="Times New Roman"/>
                <w:color w:val="auto"/>
                <w:sz w:val="24"/>
                <w:szCs w:val="24"/>
                <w:lang w:val="en-US" w:eastAsia="zh-CN"/>
              </w:rPr>
              <w:t>镍催化剂</w:t>
            </w:r>
            <w:r>
              <w:rPr>
                <w:rFonts w:hint="eastAsia" w:ascii="Times New Roman" w:hAnsi="Times New Roman" w:eastAsia="宋体" w:cs="Times New Roman"/>
                <w:color w:val="auto"/>
                <w:sz w:val="24"/>
                <w:szCs w:val="24"/>
                <w:lang w:val="en-US" w:eastAsia="zh-CN"/>
              </w:rPr>
              <w:t>，根据建设单位提供资料，</w:t>
            </w:r>
            <w:r>
              <w:rPr>
                <w:rFonts w:hint="eastAsia" w:cs="Times New Roman"/>
                <w:color w:val="auto"/>
                <w:sz w:val="24"/>
                <w:szCs w:val="24"/>
                <w:lang w:val="en-US" w:eastAsia="zh-CN"/>
              </w:rPr>
              <w:t>废</w:t>
            </w:r>
            <w:r>
              <w:rPr>
                <w:rFonts w:hint="default" w:ascii="Times New Roman" w:hAnsi="Times New Roman" w:eastAsia="宋体" w:cs="Times New Roman"/>
                <w:color w:val="auto"/>
                <w:sz w:val="24"/>
                <w:szCs w:val="24"/>
                <w:lang w:val="en-US" w:eastAsia="zh-CN"/>
              </w:rPr>
              <w:t>镍催化剂</w:t>
            </w:r>
            <w:r>
              <w:rPr>
                <w:rFonts w:hint="default" w:ascii="Times New Roman" w:hAnsi="Times New Roman" w:cs="Times New Roman"/>
                <w:color w:val="auto"/>
                <w:sz w:val="24"/>
                <w:lang w:val="en-US" w:eastAsia="zh-CN"/>
              </w:rPr>
              <w:t>产生量约</w:t>
            </w:r>
            <w:r>
              <w:rPr>
                <w:rFonts w:hint="eastAsia" w:ascii="Times New Roman" w:hAnsi="Times New Roman" w:cs="Times New Roman"/>
                <w:color w:val="auto"/>
                <w:sz w:val="24"/>
                <w:lang w:val="en-US" w:eastAsia="zh-CN"/>
              </w:rPr>
              <w:t>0.</w:t>
            </w:r>
            <w:r>
              <w:rPr>
                <w:rFonts w:hint="eastAsia" w:cs="Times New Roman"/>
                <w:color w:val="auto"/>
                <w:sz w:val="24"/>
                <w:lang w:val="en-US" w:eastAsia="zh-CN"/>
              </w:rPr>
              <w:t>1</w:t>
            </w:r>
            <w:r>
              <w:rPr>
                <w:rFonts w:hint="default" w:ascii="Times New Roman" w:hAnsi="Times New Roman" w:cs="Times New Roman"/>
                <w:color w:val="auto"/>
                <w:sz w:val="24"/>
                <w:lang w:val="en-US" w:eastAsia="zh-CN"/>
              </w:rPr>
              <w:t>t/a，对照《国家危险废物名录》（20</w:t>
            </w:r>
            <w:r>
              <w:rPr>
                <w:rFonts w:hint="eastAsia" w:ascii="Times New Roman" w:hAnsi="Times New Roman" w:cs="Times New Roman"/>
                <w:color w:val="auto"/>
                <w:sz w:val="24"/>
                <w:lang w:val="en-US" w:eastAsia="zh-CN"/>
              </w:rPr>
              <w:t>2</w:t>
            </w:r>
            <w:r>
              <w:rPr>
                <w:rFonts w:hint="eastAsia" w:cs="Times New Roman"/>
                <w:color w:val="auto"/>
                <w:sz w:val="24"/>
                <w:lang w:val="en-US" w:eastAsia="zh-CN"/>
              </w:rPr>
              <w:t>5</w:t>
            </w:r>
            <w:r>
              <w:rPr>
                <w:rFonts w:hint="default" w:ascii="Times New Roman" w:hAnsi="Times New Roman" w:cs="Times New Roman"/>
                <w:color w:val="auto"/>
                <w:sz w:val="24"/>
                <w:lang w:val="en-US" w:eastAsia="zh-CN"/>
              </w:rPr>
              <w:t>年版），属于危险废物HW</w:t>
            </w:r>
            <w:r>
              <w:rPr>
                <w:rFonts w:hint="eastAsia" w:ascii="Times New Roman" w:hAnsi="Times New Roman" w:cs="Times New Roman"/>
                <w:color w:val="auto"/>
                <w:sz w:val="24"/>
                <w:lang w:val="en-US" w:eastAsia="zh-CN"/>
              </w:rPr>
              <w:t>46</w:t>
            </w:r>
            <w:r>
              <w:rPr>
                <w:rFonts w:hint="default" w:ascii="Times New Roman" w:hAnsi="Times New Roman" w:cs="Times New Roman"/>
                <w:color w:val="auto"/>
                <w:sz w:val="24"/>
                <w:lang w:val="en-US" w:eastAsia="zh-CN"/>
              </w:rPr>
              <w:t>，危废代码900-037-46</w:t>
            </w: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rPr>
              <w:t>建设单位收集贮存于</w:t>
            </w:r>
            <w:r>
              <w:rPr>
                <w:rFonts w:hint="default" w:ascii="Times New Roman" w:hAnsi="Times New Roman" w:cs="Times New Roman"/>
                <w:color w:val="auto"/>
                <w:sz w:val="24"/>
                <w:highlight w:val="none"/>
                <w:lang w:eastAsia="zh-CN"/>
              </w:rPr>
              <w:t>危废间</w:t>
            </w:r>
            <w:r>
              <w:rPr>
                <w:rFonts w:hint="default" w:ascii="Times New Roman" w:hAnsi="Times New Roman" w:cs="Times New Roman"/>
                <w:color w:val="auto"/>
                <w:sz w:val="24"/>
              </w:rPr>
              <w:t>，定期交由</w:t>
            </w:r>
            <w:r>
              <w:rPr>
                <w:rFonts w:hint="default" w:ascii="Times New Roman" w:hAnsi="Times New Roman" w:cs="Times New Roman"/>
                <w:color w:val="auto"/>
                <w:sz w:val="24"/>
                <w:lang w:val="en-US" w:eastAsia="zh-CN"/>
              </w:rPr>
              <w:t>收集后委托有资质单位处理</w:t>
            </w:r>
            <w:r>
              <w:rPr>
                <w:rFonts w:hint="default" w:ascii="Times New Roman" w:hAnsi="Times New Roman" w:cs="Times New Roman"/>
                <w:color w:val="auto"/>
                <w:sz w:val="24"/>
              </w:rPr>
              <w:t>处置。</w:t>
            </w:r>
          </w:p>
          <w:p w14:paraId="2D8ACB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④</w:t>
            </w:r>
            <w:r>
              <w:rPr>
                <w:rFonts w:ascii="宋体" w:hAnsi="宋体" w:eastAsia="宋体" w:cs="宋体"/>
                <w:color w:val="auto"/>
                <w:sz w:val="24"/>
                <w:szCs w:val="24"/>
              </w:rPr>
              <w:t>废弃含油抹布、劳保用品</w:t>
            </w:r>
          </w:p>
          <w:p w14:paraId="548BDA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olor w:val="auto"/>
                <w:sz w:val="24"/>
                <w:highlight w:val="none"/>
                <w:lang w:val="en-US" w:eastAsia="zh-CN"/>
              </w:rPr>
            </w:pPr>
            <w:r>
              <w:rPr>
                <w:rFonts w:hint="default" w:ascii="Times New Roman" w:hAnsi="Times New Roman" w:eastAsia="宋体" w:cs="Times New Roman"/>
                <w:color w:val="auto"/>
                <w:sz w:val="24"/>
                <w:szCs w:val="24"/>
              </w:rPr>
              <w:t>员工在工作期间会产生废弃含油抹布、劳保用品，根据建设单位提供资料，本项目废弃含油抹布、劳保用品产生量为0.0</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t/a。根据《国家危险废物名录》（20</w:t>
            </w:r>
            <w:r>
              <w:rPr>
                <w:rFonts w:hint="eastAsia" w:ascii="Times New Roman" w:hAnsi="Times New Roman" w:eastAsia="宋体" w:cs="Times New Roman"/>
                <w:color w:val="auto"/>
                <w:sz w:val="24"/>
                <w:szCs w:val="24"/>
                <w:lang w:val="en-US" w:eastAsia="zh-CN"/>
              </w:rPr>
              <w:t>25</w:t>
            </w:r>
            <w:r>
              <w:rPr>
                <w:rFonts w:hint="default" w:ascii="Times New Roman" w:hAnsi="Times New Roman" w:eastAsia="宋体" w:cs="Times New Roman"/>
                <w:color w:val="auto"/>
                <w:sz w:val="24"/>
                <w:szCs w:val="24"/>
              </w:rPr>
              <w:t>版），属于危险废物HW49，代码为900-041-049含有或沾染毒性、感染性危险废物的废弃包装物、</w:t>
            </w:r>
            <w:r>
              <w:rPr>
                <w:rFonts w:ascii="宋体" w:hAnsi="宋体" w:eastAsia="宋体" w:cs="宋体"/>
                <w:color w:val="auto"/>
                <w:sz w:val="24"/>
                <w:szCs w:val="24"/>
              </w:rPr>
              <w:t>容器、过滤吸附介质，于厂内危废暂存间暂存后委托</w:t>
            </w:r>
            <w:r>
              <w:rPr>
                <w:rFonts w:hint="eastAsia" w:ascii="宋体" w:hAnsi="宋体" w:cs="宋体"/>
                <w:color w:val="auto"/>
                <w:sz w:val="24"/>
                <w:szCs w:val="24"/>
                <w:lang w:eastAsia="zh-CN"/>
              </w:rPr>
              <w:t>有资质单位处理</w:t>
            </w:r>
            <w:r>
              <w:rPr>
                <w:rFonts w:ascii="宋体" w:hAnsi="宋体" w:eastAsia="宋体" w:cs="宋体"/>
                <w:color w:val="auto"/>
                <w:sz w:val="24"/>
                <w:szCs w:val="24"/>
              </w:rPr>
              <w:t>妥善处置。</w:t>
            </w:r>
          </w:p>
          <w:p w14:paraId="68B6D6D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b/>
                <w:bCs/>
                <w:snapToGrid/>
                <w:color w:val="auto"/>
                <w:spacing w:val="0"/>
                <w:kern w:val="0"/>
                <w:position w:val="0"/>
                <w:sz w:val="24"/>
                <w:szCs w:val="24"/>
              </w:rPr>
              <w:t>表</w:t>
            </w:r>
            <w:r>
              <w:rPr>
                <w:rFonts w:hint="default" w:ascii="Times New Roman" w:hAnsi="Times New Roman" w:eastAsia="宋体" w:cs="Times New Roman"/>
                <w:b/>
                <w:bCs/>
                <w:snapToGrid/>
                <w:color w:val="auto"/>
                <w:spacing w:val="0"/>
                <w:kern w:val="0"/>
                <w:position w:val="0"/>
                <w:sz w:val="24"/>
                <w:szCs w:val="24"/>
                <w:lang w:val="en-US" w:eastAsia="zh-CN"/>
              </w:rPr>
              <w:t>4.</w:t>
            </w:r>
            <w:r>
              <w:rPr>
                <w:rFonts w:hint="eastAsia" w:cs="Times New Roman"/>
                <w:b/>
                <w:bCs/>
                <w:snapToGrid/>
                <w:color w:val="auto"/>
                <w:spacing w:val="0"/>
                <w:kern w:val="0"/>
                <w:position w:val="0"/>
                <w:sz w:val="24"/>
                <w:szCs w:val="24"/>
                <w:lang w:val="en-US" w:eastAsia="zh-CN"/>
              </w:rPr>
              <w:t xml:space="preserve">12 </w:t>
            </w:r>
            <w:r>
              <w:rPr>
                <w:rFonts w:hint="default" w:ascii="Times New Roman" w:hAnsi="Times New Roman" w:eastAsia="宋体" w:cs="Times New Roman"/>
                <w:b/>
                <w:bCs/>
                <w:snapToGrid/>
                <w:color w:val="auto"/>
                <w:spacing w:val="0"/>
                <w:kern w:val="0"/>
                <w:position w:val="0"/>
                <w:sz w:val="24"/>
                <w:szCs w:val="24"/>
              </w:rPr>
              <w:t xml:space="preserve"> 项目固体废物产</w:t>
            </w:r>
            <w:r>
              <w:rPr>
                <w:rFonts w:hint="eastAsia" w:ascii="Times New Roman" w:hAnsi="Times New Roman" w:eastAsia="宋体" w:cs="Times New Roman"/>
                <w:b/>
                <w:bCs/>
                <w:snapToGrid/>
                <w:color w:val="auto"/>
                <w:spacing w:val="0"/>
                <w:kern w:val="0"/>
                <w:position w:val="0"/>
                <w:sz w:val="24"/>
                <w:szCs w:val="24"/>
                <w:lang w:eastAsia="zh-CN"/>
              </w:rPr>
              <w:t>排污</w:t>
            </w:r>
            <w:r>
              <w:rPr>
                <w:rFonts w:hint="default" w:ascii="Times New Roman" w:hAnsi="Times New Roman" w:eastAsia="宋体" w:cs="Times New Roman"/>
                <w:b/>
                <w:bCs/>
                <w:snapToGrid/>
                <w:color w:val="auto"/>
                <w:spacing w:val="0"/>
                <w:kern w:val="0"/>
                <w:position w:val="0"/>
                <w:sz w:val="24"/>
                <w:szCs w:val="24"/>
              </w:rPr>
              <w:t>情况</w:t>
            </w:r>
            <w:r>
              <w:rPr>
                <w:rFonts w:hint="eastAsia" w:ascii="Times New Roman" w:hAnsi="Times New Roman" w:eastAsia="宋体" w:cs="Times New Roman"/>
                <w:b/>
                <w:bCs/>
                <w:snapToGrid/>
                <w:color w:val="auto"/>
                <w:spacing w:val="0"/>
                <w:kern w:val="0"/>
                <w:position w:val="0"/>
                <w:sz w:val="24"/>
                <w:szCs w:val="24"/>
                <w:lang w:eastAsia="zh-CN"/>
              </w:rPr>
              <w:t>一览</w:t>
            </w:r>
            <w:r>
              <w:rPr>
                <w:rFonts w:hint="default" w:ascii="Times New Roman" w:hAnsi="Times New Roman" w:eastAsia="宋体" w:cs="Times New Roman"/>
                <w:b/>
                <w:bCs/>
                <w:snapToGrid/>
                <w:color w:val="auto"/>
                <w:spacing w:val="0"/>
                <w:kern w:val="0"/>
                <w:position w:val="0"/>
                <w:sz w:val="24"/>
                <w:szCs w:val="24"/>
              </w:rPr>
              <w:t>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675"/>
              <w:gridCol w:w="668"/>
              <w:gridCol w:w="518"/>
              <w:gridCol w:w="867"/>
              <w:gridCol w:w="520"/>
              <w:gridCol w:w="839"/>
              <w:gridCol w:w="890"/>
              <w:gridCol w:w="464"/>
              <w:gridCol w:w="890"/>
              <w:gridCol w:w="867"/>
              <w:gridCol w:w="586"/>
            </w:tblGrid>
            <w:tr w14:paraId="79F5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 w:type="pct"/>
                  <w:noWrap w:val="0"/>
                  <w:vAlign w:val="center"/>
                </w:tcPr>
                <w:p w14:paraId="634A764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序号</w:t>
                  </w:r>
                </w:p>
              </w:tc>
              <w:tc>
                <w:tcPr>
                  <w:tcW w:w="410" w:type="pct"/>
                  <w:noWrap w:val="0"/>
                  <w:vAlign w:val="center"/>
                </w:tcPr>
                <w:p w14:paraId="616FA36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产生环节</w:t>
                  </w:r>
                </w:p>
              </w:tc>
              <w:tc>
                <w:tcPr>
                  <w:tcW w:w="406" w:type="pct"/>
                  <w:noWrap w:val="0"/>
                  <w:vAlign w:val="center"/>
                </w:tcPr>
                <w:p w14:paraId="5266632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固废名称</w:t>
                  </w:r>
                </w:p>
              </w:tc>
              <w:tc>
                <w:tcPr>
                  <w:tcW w:w="315" w:type="pct"/>
                  <w:noWrap w:val="0"/>
                  <w:vAlign w:val="center"/>
                </w:tcPr>
                <w:p w14:paraId="7FBD581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属性</w:t>
                  </w:r>
                </w:p>
              </w:tc>
              <w:tc>
                <w:tcPr>
                  <w:tcW w:w="527" w:type="pct"/>
                  <w:noWrap w:val="0"/>
                  <w:vAlign w:val="center"/>
                </w:tcPr>
                <w:p w14:paraId="60EA3F0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主要有毒有害物质名称</w:t>
                  </w:r>
                </w:p>
              </w:tc>
              <w:tc>
                <w:tcPr>
                  <w:tcW w:w="316" w:type="pct"/>
                  <w:noWrap w:val="0"/>
                  <w:vAlign w:val="center"/>
                </w:tcPr>
                <w:p w14:paraId="63D948E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物理性状</w:t>
                  </w:r>
                </w:p>
              </w:tc>
              <w:tc>
                <w:tcPr>
                  <w:tcW w:w="510" w:type="pct"/>
                  <w:noWrap w:val="0"/>
                  <w:vAlign w:val="center"/>
                </w:tcPr>
                <w:p w14:paraId="56A1D95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环境危险特性</w:t>
                  </w:r>
                </w:p>
              </w:tc>
              <w:tc>
                <w:tcPr>
                  <w:tcW w:w="541" w:type="pct"/>
                  <w:noWrap w:val="0"/>
                  <w:vAlign w:val="center"/>
                </w:tcPr>
                <w:p w14:paraId="05A1C27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产生量（</w:t>
                  </w:r>
                  <w:r>
                    <w:rPr>
                      <w:rFonts w:hint="default" w:ascii="Times New Roman" w:hAnsi="Times New Roman" w:eastAsia="宋体" w:cs="Times New Roman"/>
                      <w:snapToGrid/>
                      <w:color w:val="auto"/>
                      <w:spacing w:val="0"/>
                      <w:kern w:val="0"/>
                      <w:position w:val="0"/>
                      <w:sz w:val="21"/>
                      <w:szCs w:val="21"/>
                      <w:lang w:val="en-US" w:eastAsia="zh-CN"/>
                    </w:rPr>
                    <w:t>t/a</w:t>
                  </w:r>
                  <w:r>
                    <w:rPr>
                      <w:rFonts w:hint="default" w:ascii="Times New Roman" w:hAnsi="Times New Roman" w:eastAsia="宋体" w:cs="Times New Roman"/>
                      <w:snapToGrid/>
                      <w:color w:val="auto"/>
                      <w:spacing w:val="0"/>
                      <w:kern w:val="0"/>
                      <w:position w:val="0"/>
                      <w:sz w:val="21"/>
                      <w:szCs w:val="21"/>
                      <w:lang w:eastAsia="zh-CN"/>
                    </w:rPr>
                    <w:t>）</w:t>
                  </w:r>
                </w:p>
              </w:tc>
              <w:tc>
                <w:tcPr>
                  <w:tcW w:w="282" w:type="pct"/>
                  <w:noWrap w:val="0"/>
                  <w:vAlign w:val="center"/>
                </w:tcPr>
                <w:p w14:paraId="7D140C8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贮存方式</w:t>
                  </w:r>
                </w:p>
              </w:tc>
              <w:tc>
                <w:tcPr>
                  <w:tcW w:w="541" w:type="pct"/>
                  <w:noWrap w:val="0"/>
                  <w:vAlign w:val="center"/>
                </w:tcPr>
                <w:p w14:paraId="04EAE19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利用处置方式和去向</w:t>
                  </w:r>
                </w:p>
              </w:tc>
              <w:tc>
                <w:tcPr>
                  <w:tcW w:w="527" w:type="pct"/>
                  <w:noWrap w:val="0"/>
                  <w:vAlign w:val="center"/>
                </w:tcPr>
                <w:p w14:paraId="21B127C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利用量或处置量（</w:t>
                  </w:r>
                  <w:r>
                    <w:rPr>
                      <w:rFonts w:hint="default" w:ascii="Times New Roman" w:hAnsi="Times New Roman" w:eastAsia="宋体" w:cs="Times New Roman"/>
                      <w:snapToGrid/>
                      <w:color w:val="auto"/>
                      <w:spacing w:val="0"/>
                      <w:kern w:val="0"/>
                      <w:position w:val="0"/>
                      <w:sz w:val="21"/>
                      <w:szCs w:val="21"/>
                      <w:lang w:val="en-US" w:eastAsia="zh-CN"/>
                    </w:rPr>
                    <w:t>t/a</w:t>
                  </w:r>
                  <w:r>
                    <w:rPr>
                      <w:rFonts w:hint="default" w:ascii="Times New Roman" w:hAnsi="Times New Roman" w:eastAsia="宋体" w:cs="Times New Roman"/>
                      <w:snapToGrid/>
                      <w:color w:val="auto"/>
                      <w:spacing w:val="0"/>
                      <w:kern w:val="0"/>
                      <w:position w:val="0"/>
                      <w:sz w:val="21"/>
                      <w:szCs w:val="21"/>
                      <w:lang w:eastAsia="zh-CN"/>
                    </w:rPr>
                    <w:t>）</w:t>
                  </w:r>
                </w:p>
              </w:tc>
              <w:tc>
                <w:tcPr>
                  <w:tcW w:w="356" w:type="pct"/>
                  <w:noWrap w:val="0"/>
                  <w:vAlign w:val="center"/>
                </w:tcPr>
                <w:p w14:paraId="5DC98EA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环境管理要求</w:t>
                  </w:r>
                </w:p>
              </w:tc>
            </w:tr>
            <w:tr w14:paraId="01B3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 w:type="pct"/>
                  <w:noWrap w:val="0"/>
                  <w:vAlign w:val="center"/>
                </w:tcPr>
                <w:p w14:paraId="7A08302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1</w:t>
                  </w:r>
                </w:p>
              </w:tc>
              <w:tc>
                <w:tcPr>
                  <w:tcW w:w="410" w:type="pct"/>
                  <w:shd w:val="clear" w:color="auto" w:fill="auto"/>
                  <w:noWrap w:val="0"/>
                  <w:vAlign w:val="center"/>
                </w:tcPr>
                <w:p w14:paraId="627D7FF4">
                  <w:pPr>
                    <w:keepNext w:val="0"/>
                    <w:keepLines w:val="0"/>
                    <w:pageBreakBefore w:val="0"/>
                    <w:widowControl/>
                    <w:suppressLineNumbers w:val="0"/>
                    <w:kinsoku/>
                    <w:wordWrap/>
                    <w:overflowPunct/>
                    <w:autoSpaceDE/>
                    <w:autoSpaceDN/>
                    <w:bidi w:val="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员工生活</w:t>
                  </w:r>
                </w:p>
              </w:tc>
              <w:tc>
                <w:tcPr>
                  <w:tcW w:w="406" w:type="pct"/>
                  <w:shd w:val="clear" w:color="auto" w:fill="auto"/>
                  <w:noWrap w:val="0"/>
                  <w:vAlign w:val="center"/>
                </w:tcPr>
                <w:p w14:paraId="1377BED0">
                  <w:pPr>
                    <w:keepNext w:val="0"/>
                    <w:keepLines w:val="0"/>
                    <w:pageBreakBefore w:val="0"/>
                    <w:widowControl/>
                    <w:suppressLineNumbers w:val="0"/>
                    <w:kinsoku/>
                    <w:wordWrap/>
                    <w:overflowPunct/>
                    <w:autoSpaceDE/>
                    <w:autoSpaceDN/>
                    <w:bidi w:val="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生活垃圾</w:t>
                  </w:r>
                </w:p>
              </w:tc>
              <w:tc>
                <w:tcPr>
                  <w:tcW w:w="315" w:type="pct"/>
                  <w:vMerge w:val="restart"/>
                  <w:noWrap w:val="0"/>
                  <w:vAlign w:val="center"/>
                </w:tcPr>
                <w:p w14:paraId="1361EEF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一般</w:t>
                  </w:r>
                </w:p>
                <w:p w14:paraId="511D927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固废</w:t>
                  </w:r>
                </w:p>
              </w:tc>
              <w:tc>
                <w:tcPr>
                  <w:tcW w:w="527" w:type="pct"/>
                  <w:noWrap w:val="0"/>
                  <w:vAlign w:val="center"/>
                </w:tcPr>
                <w:p w14:paraId="48B559E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w:t>
                  </w:r>
                </w:p>
              </w:tc>
              <w:tc>
                <w:tcPr>
                  <w:tcW w:w="316" w:type="pct"/>
                  <w:noWrap w:val="0"/>
                  <w:vAlign w:val="center"/>
                </w:tcPr>
                <w:p w14:paraId="7526FEE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固态</w:t>
                  </w:r>
                </w:p>
              </w:tc>
              <w:tc>
                <w:tcPr>
                  <w:tcW w:w="510" w:type="pct"/>
                  <w:noWrap w:val="0"/>
                  <w:vAlign w:val="center"/>
                </w:tcPr>
                <w:p w14:paraId="7C62537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w:t>
                  </w:r>
                </w:p>
              </w:tc>
              <w:tc>
                <w:tcPr>
                  <w:tcW w:w="541" w:type="pct"/>
                  <w:noWrap w:val="0"/>
                  <w:vAlign w:val="center"/>
                </w:tcPr>
                <w:p w14:paraId="04AAACFD">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eastAsia" w:cs="Times New Roman"/>
                      <w:snapToGrid/>
                      <w:color w:val="auto"/>
                      <w:spacing w:val="0"/>
                      <w:kern w:val="0"/>
                      <w:position w:val="0"/>
                      <w:sz w:val="21"/>
                      <w:szCs w:val="21"/>
                      <w:lang w:val="en-US" w:eastAsia="zh-CN"/>
                    </w:rPr>
                    <w:t>4.5</w:t>
                  </w:r>
                </w:p>
              </w:tc>
              <w:tc>
                <w:tcPr>
                  <w:tcW w:w="282" w:type="pct"/>
                  <w:noWrap w:val="0"/>
                  <w:vAlign w:val="center"/>
                </w:tcPr>
                <w:p w14:paraId="52315DE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val="en-US" w:eastAsia="zh-CN"/>
                    </w:rPr>
                    <w:t>袋装</w:t>
                  </w:r>
                </w:p>
              </w:tc>
              <w:tc>
                <w:tcPr>
                  <w:tcW w:w="541" w:type="pct"/>
                  <w:noWrap w:val="0"/>
                  <w:vAlign w:val="center"/>
                </w:tcPr>
                <w:p w14:paraId="09F06D7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bidi="ar-SA"/>
                    </w:rPr>
                  </w:pPr>
                  <w:r>
                    <w:rPr>
                      <w:rFonts w:hint="default" w:ascii="Times New Roman" w:hAnsi="Times New Roman" w:eastAsia="宋体" w:cs="Times New Roman"/>
                      <w:snapToGrid/>
                      <w:color w:val="auto"/>
                      <w:spacing w:val="0"/>
                      <w:kern w:val="0"/>
                      <w:position w:val="0"/>
                      <w:sz w:val="21"/>
                      <w:szCs w:val="21"/>
                    </w:rPr>
                    <w:t>环卫部门</w:t>
                  </w:r>
                </w:p>
              </w:tc>
              <w:tc>
                <w:tcPr>
                  <w:tcW w:w="527" w:type="pct"/>
                  <w:shd w:val="clear" w:color="auto" w:fill="auto"/>
                  <w:noWrap w:val="0"/>
                  <w:vAlign w:val="center"/>
                </w:tcPr>
                <w:p w14:paraId="5015332D">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eastAsia" w:cs="Times New Roman"/>
                      <w:snapToGrid/>
                      <w:color w:val="auto"/>
                      <w:spacing w:val="0"/>
                      <w:kern w:val="0"/>
                      <w:position w:val="0"/>
                      <w:sz w:val="21"/>
                      <w:szCs w:val="21"/>
                      <w:lang w:val="en-US" w:eastAsia="zh-CN"/>
                    </w:rPr>
                    <w:t>4.5</w:t>
                  </w:r>
                </w:p>
              </w:tc>
              <w:tc>
                <w:tcPr>
                  <w:tcW w:w="356" w:type="pct"/>
                  <w:noWrap w:val="0"/>
                  <w:vAlign w:val="center"/>
                </w:tcPr>
                <w:p w14:paraId="02BB28A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垃圾桶</w:t>
                  </w:r>
                </w:p>
              </w:tc>
            </w:tr>
            <w:tr w14:paraId="2A29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 w:type="pct"/>
                  <w:noWrap w:val="0"/>
                  <w:vAlign w:val="center"/>
                </w:tcPr>
                <w:p w14:paraId="495C23B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2</w:t>
                  </w:r>
                </w:p>
              </w:tc>
              <w:tc>
                <w:tcPr>
                  <w:tcW w:w="410" w:type="pct"/>
                  <w:shd w:val="clear" w:color="auto" w:fill="auto"/>
                  <w:noWrap w:val="0"/>
                  <w:vAlign w:val="center"/>
                </w:tcPr>
                <w:p w14:paraId="1BFB956D">
                  <w:pPr>
                    <w:keepNext w:val="0"/>
                    <w:keepLines w:val="0"/>
                    <w:pageBreakBefore w:val="0"/>
                    <w:widowControl/>
                    <w:suppressLineNumbers w:val="0"/>
                    <w:kinsoku/>
                    <w:wordWrap/>
                    <w:overflowPunct/>
                    <w:autoSpaceDE/>
                    <w:autoSpaceDN/>
                    <w:bidi w:val="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rPr>
                    <w:t>物料使用</w:t>
                  </w:r>
                </w:p>
              </w:tc>
              <w:tc>
                <w:tcPr>
                  <w:tcW w:w="406" w:type="pct"/>
                  <w:shd w:val="clear" w:color="auto" w:fill="auto"/>
                  <w:noWrap w:val="0"/>
                  <w:vAlign w:val="center"/>
                </w:tcPr>
                <w:p w14:paraId="75304BBA">
                  <w:pPr>
                    <w:keepNext w:val="0"/>
                    <w:keepLines w:val="0"/>
                    <w:pageBreakBefore w:val="0"/>
                    <w:widowControl/>
                    <w:suppressLineNumbers w:val="0"/>
                    <w:kinsoku/>
                    <w:wordWrap/>
                    <w:overflowPunct/>
                    <w:autoSpaceDE/>
                    <w:autoSpaceDN/>
                    <w:bidi w:val="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rPr>
                    <w:t>废包装袋</w:t>
                  </w:r>
                </w:p>
              </w:tc>
              <w:tc>
                <w:tcPr>
                  <w:tcW w:w="315" w:type="pct"/>
                  <w:vMerge w:val="continue"/>
                  <w:noWrap w:val="0"/>
                  <w:vAlign w:val="center"/>
                </w:tcPr>
                <w:p w14:paraId="174D4D7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p>
              </w:tc>
              <w:tc>
                <w:tcPr>
                  <w:tcW w:w="527" w:type="pct"/>
                  <w:noWrap w:val="0"/>
                  <w:vAlign w:val="center"/>
                </w:tcPr>
                <w:p w14:paraId="5116B28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316" w:type="pct"/>
                  <w:noWrap w:val="0"/>
                  <w:vAlign w:val="center"/>
                </w:tcPr>
                <w:p w14:paraId="2B6A4E6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固态</w:t>
                  </w:r>
                </w:p>
              </w:tc>
              <w:tc>
                <w:tcPr>
                  <w:tcW w:w="510" w:type="pct"/>
                  <w:noWrap w:val="0"/>
                  <w:vAlign w:val="center"/>
                </w:tcPr>
                <w:p w14:paraId="086A48E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541" w:type="pct"/>
                  <w:noWrap w:val="0"/>
                  <w:vAlign w:val="center"/>
                </w:tcPr>
                <w:p w14:paraId="66AAB825">
                  <w:pPr>
                    <w:keepNext w:val="0"/>
                    <w:keepLines w:val="0"/>
                    <w:pageBreakBefore w:val="0"/>
                    <w:kinsoku/>
                    <w:wordWrap/>
                    <w:overflowPunct/>
                    <w:topLinePunct w:val="0"/>
                    <w:autoSpaceDE/>
                    <w:autoSpaceDN/>
                    <w:bidi w:val="0"/>
                    <w:spacing w:line="240" w:lineRule="auto"/>
                    <w:jc w:val="center"/>
                    <w:textAlignment w:val="auto"/>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0.02</w:t>
                  </w:r>
                </w:p>
              </w:tc>
              <w:tc>
                <w:tcPr>
                  <w:tcW w:w="282" w:type="pct"/>
                  <w:noWrap w:val="0"/>
                  <w:vAlign w:val="center"/>
                </w:tcPr>
                <w:p w14:paraId="46B96E5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袋装</w:t>
                  </w:r>
                </w:p>
              </w:tc>
              <w:tc>
                <w:tcPr>
                  <w:tcW w:w="541" w:type="pct"/>
                  <w:vMerge w:val="restart"/>
                  <w:noWrap w:val="0"/>
                  <w:vAlign w:val="center"/>
                </w:tcPr>
                <w:p w14:paraId="508ABF9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统一收集后由资源利用单位回收利用</w:t>
                  </w:r>
                </w:p>
              </w:tc>
              <w:tc>
                <w:tcPr>
                  <w:tcW w:w="527" w:type="pct"/>
                  <w:shd w:val="clear" w:color="auto" w:fill="auto"/>
                  <w:noWrap w:val="0"/>
                  <w:vAlign w:val="center"/>
                </w:tcPr>
                <w:p w14:paraId="24E77E8C">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snapToGrid/>
                      <w:color w:val="auto"/>
                      <w:spacing w:val="0"/>
                      <w:kern w:val="0"/>
                      <w:position w:val="0"/>
                      <w:sz w:val="21"/>
                      <w:szCs w:val="21"/>
                      <w:lang w:val="en-US" w:eastAsia="zh-CN" w:bidi="ar-SA"/>
                    </w:rPr>
                  </w:pPr>
                  <w:r>
                    <w:rPr>
                      <w:rFonts w:hint="eastAsia" w:cs="Times New Roman"/>
                      <w:snapToGrid/>
                      <w:color w:val="auto"/>
                      <w:spacing w:val="0"/>
                      <w:kern w:val="0"/>
                      <w:position w:val="0"/>
                      <w:sz w:val="21"/>
                      <w:szCs w:val="21"/>
                      <w:lang w:val="en-US" w:eastAsia="zh-CN"/>
                    </w:rPr>
                    <w:t>0.02</w:t>
                  </w:r>
                </w:p>
              </w:tc>
              <w:tc>
                <w:tcPr>
                  <w:tcW w:w="356" w:type="pct"/>
                  <w:noWrap w:val="0"/>
                  <w:vAlign w:val="center"/>
                </w:tcPr>
                <w:p w14:paraId="0E7A946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p>
              </w:tc>
            </w:tr>
            <w:tr w14:paraId="0027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 w:type="pct"/>
                  <w:noWrap w:val="0"/>
                  <w:vAlign w:val="center"/>
                </w:tcPr>
                <w:p w14:paraId="2575800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3</w:t>
                  </w:r>
                </w:p>
              </w:tc>
              <w:tc>
                <w:tcPr>
                  <w:tcW w:w="410" w:type="pct"/>
                  <w:shd w:val="clear" w:color="auto" w:fill="auto"/>
                  <w:noWrap w:val="0"/>
                  <w:vAlign w:val="center"/>
                </w:tcPr>
                <w:p w14:paraId="275D92CC">
                  <w:pPr>
                    <w:keepNext w:val="0"/>
                    <w:keepLines w:val="0"/>
                    <w:pageBreakBefore w:val="0"/>
                    <w:widowControl/>
                    <w:suppressLineNumbers w:val="0"/>
                    <w:kinsoku/>
                    <w:wordWrap/>
                    <w:overflowPunct/>
                    <w:autoSpaceDE/>
                    <w:autoSpaceDN/>
                    <w:bidi w:val="0"/>
                    <w:spacing w:line="240" w:lineRule="auto"/>
                    <w:ind w:left="0" w:left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rPr>
                    <w:t>脱除粘结剂</w:t>
                  </w:r>
                </w:p>
              </w:tc>
              <w:tc>
                <w:tcPr>
                  <w:tcW w:w="406" w:type="pct"/>
                  <w:shd w:val="clear" w:color="auto" w:fill="auto"/>
                  <w:noWrap w:val="0"/>
                  <w:vAlign w:val="center"/>
                </w:tcPr>
                <w:p w14:paraId="769C2F51">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b w:val="0"/>
                      <w:bCs w:val="0"/>
                      <w:color w:val="auto"/>
                      <w:sz w:val="21"/>
                      <w:szCs w:val="21"/>
                      <w:highlight w:val="none"/>
                      <w:vertAlign w:val="baseline"/>
                      <w:lang w:val="en-US" w:eastAsia="zh-CN"/>
                    </w:rPr>
                    <w:t>回收粘结剂</w:t>
                  </w:r>
                </w:p>
              </w:tc>
              <w:tc>
                <w:tcPr>
                  <w:tcW w:w="315" w:type="pct"/>
                  <w:vMerge w:val="continue"/>
                  <w:noWrap w:val="0"/>
                  <w:vAlign w:val="center"/>
                </w:tcPr>
                <w:p w14:paraId="2E4A3D6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rPr>
                  </w:pPr>
                </w:p>
              </w:tc>
              <w:tc>
                <w:tcPr>
                  <w:tcW w:w="527" w:type="pct"/>
                  <w:noWrap w:val="0"/>
                  <w:vAlign w:val="center"/>
                </w:tcPr>
                <w:p w14:paraId="35596CE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default" w:ascii="Times New Roman" w:hAnsi="Times New Roman" w:eastAsia="宋体" w:cs="Times New Roman"/>
                      <w:snapToGrid/>
                      <w:color w:val="auto"/>
                      <w:spacing w:val="0"/>
                      <w:kern w:val="0"/>
                      <w:position w:val="0"/>
                      <w:sz w:val="21"/>
                      <w:szCs w:val="21"/>
                      <w:lang w:val="en-US" w:eastAsia="zh-CN"/>
                    </w:rPr>
                    <w:t>/</w:t>
                  </w:r>
                </w:p>
              </w:tc>
              <w:tc>
                <w:tcPr>
                  <w:tcW w:w="316" w:type="pct"/>
                  <w:noWrap w:val="0"/>
                  <w:vAlign w:val="center"/>
                </w:tcPr>
                <w:p w14:paraId="74FE50B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固态</w:t>
                  </w:r>
                </w:p>
              </w:tc>
              <w:tc>
                <w:tcPr>
                  <w:tcW w:w="510" w:type="pct"/>
                  <w:noWrap w:val="0"/>
                  <w:vAlign w:val="center"/>
                </w:tcPr>
                <w:p w14:paraId="5B172F5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default" w:ascii="Times New Roman" w:hAnsi="Times New Roman" w:eastAsia="宋体" w:cs="Times New Roman"/>
                      <w:snapToGrid/>
                      <w:color w:val="auto"/>
                      <w:spacing w:val="0"/>
                      <w:kern w:val="0"/>
                      <w:position w:val="0"/>
                      <w:sz w:val="21"/>
                      <w:szCs w:val="21"/>
                      <w:lang w:val="en-US" w:eastAsia="zh-CN"/>
                    </w:rPr>
                    <w:t>/</w:t>
                  </w:r>
                </w:p>
              </w:tc>
              <w:tc>
                <w:tcPr>
                  <w:tcW w:w="541" w:type="pct"/>
                  <w:noWrap w:val="0"/>
                  <w:vAlign w:val="center"/>
                </w:tcPr>
                <w:p w14:paraId="2653B058">
                  <w:pPr>
                    <w:keepNext w:val="0"/>
                    <w:keepLines w:val="0"/>
                    <w:pageBreakBefore w:val="0"/>
                    <w:kinsoku/>
                    <w:wordWrap/>
                    <w:overflowPunct/>
                    <w:topLinePunct w:val="0"/>
                    <w:autoSpaceDE/>
                    <w:autoSpaceDN/>
                    <w:bidi w:val="0"/>
                    <w:spacing w:line="240" w:lineRule="auto"/>
                    <w:jc w:val="center"/>
                    <w:textAlignment w:val="auto"/>
                    <w:rPr>
                      <w:rFonts w:hint="default"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0.06</w:t>
                  </w:r>
                </w:p>
              </w:tc>
              <w:tc>
                <w:tcPr>
                  <w:tcW w:w="282" w:type="pct"/>
                  <w:noWrap w:val="0"/>
                  <w:vAlign w:val="center"/>
                </w:tcPr>
                <w:p w14:paraId="6EA49E0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default" w:ascii="Times New Roman" w:hAnsi="Times New Roman" w:eastAsia="宋体" w:cs="Times New Roman"/>
                      <w:snapToGrid/>
                      <w:color w:val="auto"/>
                      <w:spacing w:val="0"/>
                      <w:kern w:val="0"/>
                      <w:position w:val="0"/>
                      <w:sz w:val="21"/>
                      <w:szCs w:val="21"/>
                      <w:lang w:val="en-US" w:eastAsia="zh-CN"/>
                    </w:rPr>
                    <w:t>袋装</w:t>
                  </w:r>
                </w:p>
              </w:tc>
              <w:tc>
                <w:tcPr>
                  <w:tcW w:w="541" w:type="pct"/>
                  <w:vMerge w:val="continue"/>
                  <w:noWrap w:val="0"/>
                  <w:vAlign w:val="center"/>
                </w:tcPr>
                <w:p w14:paraId="075CB4A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p>
              </w:tc>
              <w:tc>
                <w:tcPr>
                  <w:tcW w:w="527" w:type="pct"/>
                  <w:shd w:val="clear" w:color="auto" w:fill="auto"/>
                  <w:noWrap w:val="0"/>
                  <w:vAlign w:val="center"/>
                </w:tcPr>
                <w:p w14:paraId="2F5EBF4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0.06</w:t>
                  </w:r>
                </w:p>
              </w:tc>
              <w:tc>
                <w:tcPr>
                  <w:tcW w:w="356" w:type="pct"/>
                  <w:noWrap w:val="0"/>
                  <w:vAlign w:val="center"/>
                </w:tcPr>
                <w:p w14:paraId="751ECAB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容器</w:t>
                  </w:r>
                </w:p>
              </w:tc>
            </w:tr>
            <w:tr w14:paraId="3C83B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 w:type="pct"/>
                  <w:noWrap w:val="0"/>
                  <w:vAlign w:val="center"/>
                </w:tcPr>
                <w:p w14:paraId="639E040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4</w:t>
                  </w:r>
                </w:p>
              </w:tc>
              <w:tc>
                <w:tcPr>
                  <w:tcW w:w="410" w:type="pct"/>
                  <w:shd w:val="clear" w:color="auto" w:fill="auto"/>
                  <w:noWrap w:val="0"/>
                  <w:vAlign w:val="center"/>
                </w:tcPr>
                <w:p w14:paraId="57D47658">
                  <w:pPr>
                    <w:keepNext w:val="0"/>
                    <w:keepLines w:val="0"/>
                    <w:pageBreakBefore w:val="0"/>
                    <w:widowControl/>
                    <w:suppressLineNumbers w:val="0"/>
                    <w:kinsoku/>
                    <w:wordWrap/>
                    <w:overflowPunct/>
                    <w:autoSpaceDE/>
                    <w:autoSpaceDN/>
                    <w:bidi w:val="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rPr>
                    <w:t>钻孔</w:t>
                  </w:r>
                </w:p>
              </w:tc>
              <w:tc>
                <w:tcPr>
                  <w:tcW w:w="406" w:type="pct"/>
                  <w:shd w:val="clear" w:color="auto" w:fill="auto"/>
                  <w:noWrap w:val="0"/>
                  <w:vAlign w:val="center"/>
                </w:tcPr>
                <w:p w14:paraId="37003EB8">
                  <w:pPr>
                    <w:keepNext w:val="0"/>
                    <w:keepLines w:val="0"/>
                    <w:pageBreakBefore w:val="0"/>
                    <w:widowControl/>
                    <w:suppressLineNumbers w:val="0"/>
                    <w:kinsoku/>
                    <w:wordWrap/>
                    <w:overflowPunct/>
                    <w:autoSpaceDE/>
                    <w:autoSpaceDN/>
                    <w:bidi w:val="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rPr>
                    <w:t>边角料</w:t>
                  </w:r>
                </w:p>
              </w:tc>
              <w:tc>
                <w:tcPr>
                  <w:tcW w:w="315" w:type="pct"/>
                  <w:vMerge w:val="continue"/>
                  <w:noWrap w:val="0"/>
                  <w:vAlign w:val="center"/>
                </w:tcPr>
                <w:p w14:paraId="380C6BD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rPr>
                  </w:pPr>
                </w:p>
              </w:tc>
              <w:tc>
                <w:tcPr>
                  <w:tcW w:w="527" w:type="pct"/>
                  <w:noWrap w:val="0"/>
                  <w:vAlign w:val="center"/>
                </w:tcPr>
                <w:p w14:paraId="06E899E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default" w:ascii="Times New Roman" w:hAnsi="Times New Roman" w:eastAsia="宋体" w:cs="Times New Roman"/>
                      <w:snapToGrid/>
                      <w:color w:val="auto"/>
                      <w:spacing w:val="0"/>
                      <w:kern w:val="0"/>
                      <w:position w:val="0"/>
                      <w:sz w:val="21"/>
                      <w:szCs w:val="21"/>
                      <w:highlight w:val="none"/>
                      <w:lang w:val="en-US" w:eastAsia="zh-CN"/>
                    </w:rPr>
                    <w:t>/</w:t>
                  </w:r>
                </w:p>
              </w:tc>
              <w:tc>
                <w:tcPr>
                  <w:tcW w:w="316" w:type="pct"/>
                  <w:noWrap w:val="0"/>
                  <w:vAlign w:val="center"/>
                </w:tcPr>
                <w:p w14:paraId="097D9EF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default" w:ascii="Times New Roman" w:hAnsi="Times New Roman" w:eastAsia="宋体" w:cs="Times New Roman"/>
                      <w:snapToGrid/>
                      <w:color w:val="auto"/>
                      <w:spacing w:val="0"/>
                      <w:kern w:val="0"/>
                      <w:position w:val="0"/>
                      <w:sz w:val="21"/>
                      <w:szCs w:val="21"/>
                      <w:highlight w:val="none"/>
                      <w:lang w:val="en-US" w:eastAsia="zh-CN"/>
                    </w:rPr>
                    <w:t>固态</w:t>
                  </w:r>
                </w:p>
              </w:tc>
              <w:tc>
                <w:tcPr>
                  <w:tcW w:w="510" w:type="pct"/>
                  <w:noWrap w:val="0"/>
                  <w:vAlign w:val="center"/>
                </w:tcPr>
                <w:p w14:paraId="197D97F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default" w:ascii="Times New Roman" w:hAnsi="Times New Roman" w:eastAsia="宋体" w:cs="Times New Roman"/>
                      <w:snapToGrid/>
                      <w:color w:val="auto"/>
                      <w:spacing w:val="0"/>
                      <w:kern w:val="0"/>
                      <w:position w:val="0"/>
                      <w:sz w:val="21"/>
                      <w:szCs w:val="21"/>
                      <w:highlight w:val="none"/>
                      <w:lang w:val="en-US" w:eastAsia="zh-CN"/>
                    </w:rPr>
                    <w:t>/</w:t>
                  </w:r>
                </w:p>
              </w:tc>
              <w:tc>
                <w:tcPr>
                  <w:tcW w:w="541" w:type="pct"/>
                  <w:noWrap w:val="0"/>
                  <w:vAlign w:val="center"/>
                </w:tcPr>
                <w:p w14:paraId="7BD5CB4B">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0.1</w:t>
                  </w:r>
                </w:p>
              </w:tc>
              <w:tc>
                <w:tcPr>
                  <w:tcW w:w="282" w:type="pct"/>
                  <w:noWrap w:val="0"/>
                  <w:vAlign w:val="center"/>
                </w:tcPr>
                <w:p w14:paraId="2863A90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default" w:ascii="Times New Roman" w:hAnsi="Times New Roman" w:eastAsia="宋体" w:cs="Times New Roman"/>
                      <w:snapToGrid/>
                      <w:color w:val="auto"/>
                      <w:spacing w:val="0"/>
                      <w:kern w:val="0"/>
                      <w:position w:val="0"/>
                      <w:sz w:val="21"/>
                      <w:szCs w:val="21"/>
                      <w:lang w:val="en-US" w:eastAsia="zh-CN"/>
                    </w:rPr>
                    <w:t>袋装</w:t>
                  </w:r>
                </w:p>
              </w:tc>
              <w:tc>
                <w:tcPr>
                  <w:tcW w:w="541" w:type="pct"/>
                  <w:vMerge w:val="continue"/>
                  <w:noWrap w:val="0"/>
                  <w:vAlign w:val="center"/>
                </w:tcPr>
                <w:p w14:paraId="4977008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p>
              </w:tc>
              <w:tc>
                <w:tcPr>
                  <w:tcW w:w="527" w:type="pct"/>
                  <w:shd w:val="clear" w:color="auto" w:fill="auto"/>
                  <w:noWrap w:val="0"/>
                  <w:vAlign w:val="center"/>
                </w:tcPr>
                <w:p w14:paraId="7CFF6D39">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0.1</w:t>
                  </w:r>
                </w:p>
              </w:tc>
              <w:tc>
                <w:tcPr>
                  <w:tcW w:w="356" w:type="pct"/>
                  <w:vMerge w:val="restart"/>
                  <w:noWrap w:val="0"/>
                  <w:vAlign w:val="center"/>
                </w:tcPr>
                <w:p w14:paraId="78227AF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固废暂存间</w:t>
                  </w:r>
                </w:p>
              </w:tc>
            </w:tr>
            <w:tr w14:paraId="5304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 w:type="pct"/>
                  <w:noWrap w:val="0"/>
                  <w:vAlign w:val="center"/>
                </w:tcPr>
                <w:p w14:paraId="4B57D6F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5</w:t>
                  </w:r>
                </w:p>
              </w:tc>
              <w:tc>
                <w:tcPr>
                  <w:tcW w:w="410" w:type="pct"/>
                  <w:shd w:val="clear" w:color="auto" w:fill="auto"/>
                  <w:noWrap w:val="0"/>
                  <w:vAlign w:val="center"/>
                </w:tcPr>
                <w:p w14:paraId="7CE8CA7A">
                  <w:pPr>
                    <w:keepNext w:val="0"/>
                    <w:keepLines w:val="0"/>
                    <w:pageBreakBefore w:val="0"/>
                    <w:widowControl/>
                    <w:suppressLineNumbers w:val="0"/>
                    <w:kinsoku/>
                    <w:wordWrap/>
                    <w:overflowPunct/>
                    <w:autoSpaceDE/>
                    <w:autoSpaceDN/>
                    <w:bidi w:val="0"/>
                    <w:spacing w:line="240" w:lineRule="auto"/>
                    <w:ind w:left="0" w:left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包装</w:t>
                  </w:r>
                </w:p>
              </w:tc>
              <w:tc>
                <w:tcPr>
                  <w:tcW w:w="406" w:type="pct"/>
                  <w:shd w:val="clear" w:color="auto" w:fill="auto"/>
                  <w:noWrap w:val="0"/>
                  <w:vAlign w:val="center"/>
                </w:tcPr>
                <w:p w14:paraId="4244D24B">
                  <w:pPr>
                    <w:pStyle w:val="47"/>
                    <w:keepNext w:val="0"/>
                    <w:keepLines w:val="0"/>
                    <w:pageBreakBefore w:val="0"/>
                    <w:kinsoku/>
                    <w:wordWrap/>
                    <w:overflowPunct/>
                    <w:autoSpaceDE/>
                    <w:autoSpaceDN/>
                    <w:bidi w:val="0"/>
                    <w:spacing w:line="240" w:lineRule="auto"/>
                    <w:ind w:left="0" w:left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color w:val="auto"/>
                      <w:spacing w:val="8"/>
                      <w:sz w:val="21"/>
                      <w:szCs w:val="21"/>
                      <w:highlight w:val="none"/>
                    </w:rPr>
                    <w:t>废包装材料</w:t>
                  </w:r>
                </w:p>
              </w:tc>
              <w:tc>
                <w:tcPr>
                  <w:tcW w:w="315" w:type="pct"/>
                  <w:vMerge w:val="continue"/>
                  <w:noWrap w:val="0"/>
                  <w:vAlign w:val="center"/>
                </w:tcPr>
                <w:p w14:paraId="1EF9050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rPr>
                  </w:pPr>
                </w:p>
              </w:tc>
              <w:tc>
                <w:tcPr>
                  <w:tcW w:w="527" w:type="pct"/>
                  <w:noWrap w:val="0"/>
                  <w:vAlign w:val="center"/>
                </w:tcPr>
                <w:p w14:paraId="0A5B658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default" w:ascii="Times New Roman" w:hAnsi="Times New Roman" w:eastAsia="宋体" w:cs="Times New Roman"/>
                      <w:snapToGrid/>
                      <w:color w:val="auto"/>
                      <w:spacing w:val="0"/>
                      <w:kern w:val="0"/>
                      <w:position w:val="0"/>
                      <w:sz w:val="21"/>
                      <w:szCs w:val="21"/>
                      <w:highlight w:val="none"/>
                      <w:lang w:val="en-US" w:eastAsia="zh-CN"/>
                    </w:rPr>
                    <w:t>/</w:t>
                  </w:r>
                </w:p>
              </w:tc>
              <w:tc>
                <w:tcPr>
                  <w:tcW w:w="316" w:type="pct"/>
                  <w:noWrap w:val="0"/>
                  <w:vAlign w:val="center"/>
                </w:tcPr>
                <w:p w14:paraId="26362EE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default" w:ascii="Times New Roman" w:hAnsi="Times New Roman" w:eastAsia="宋体" w:cs="Times New Roman"/>
                      <w:snapToGrid/>
                      <w:color w:val="auto"/>
                      <w:spacing w:val="0"/>
                      <w:kern w:val="0"/>
                      <w:position w:val="0"/>
                      <w:sz w:val="21"/>
                      <w:szCs w:val="21"/>
                      <w:highlight w:val="none"/>
                      <w:lang w:val="en-US" w:eastAsia="zh-CN"/>
                    </w:rPr>
                    <w:t>固态</w:t>
                  </w:r>
                </w:p>
              </w:tc>
              <w:tc>
                <w:tcPr>
                  <w:tcW w:w="510" w:type="pct"/>
                  <w:noWrap w:val="0"/>
                  <w:vAlign w:val="center"/>
                </w:tcPr>
                <w:p w14:paraId="4D11A7C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default" w:ascii="Times New Roman" w:hAnsi="Times New Roman" w:eastAsia="宋体" w:cs="Times New Roman"/>
                      <w:snapToGrid/>
                      <w:color w:val="auto"/>
                      <w:spacing w:val="0"/>
                      <w:kern w:val="0"/>
                      <w:position w:val="0"/>
                      <w:sz w:val="21"/>
                      <w:szCs w:val="21"/>
                      <w:highlight w:val="none"/>
                      <w:lang w:val="en-US" w:eastAsia="zh-CN"/>
                    </w:rPr>
                    <w:t>/</w:t>
                  </w:r>
                </w:p>
              </w:tc>
              <w:tc>
                <w:tcPr>
                  <w:tcW w:w="541" w:type="pct"/>
                  <w:noWrap w:val="0"/>
                  <w:vAlign w:val="center"/>
                </w:tcPr>
                <w:p w14:paraId="25DDC96C">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0.01</w:t>
                  </w:r>
                </w:p>
              </w:tc>
              <w:tc>
                <w:tcPr>
                  <w:tcW w:w="282" w:type="pct"/>
                  <w:noWrap w:val="0"/>
                  <w:vAlign w:val="center"/>
                </w:tcPr>
                <w:p w14:paraId="29BC8B9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rPr>
                  </w:pPr>
                  <w:r>
                    <w:rPr>
                      <w:rFonts w:hint="default" w:ascii="Times New Roman" w:hAnsi="Times New Roman" w:eastAsia="宋体" w:cs="Times New Roman"/>
                      <w:snapToGrid/>
                      <w:color w:val="auto"/>
                      <w:spacing w:val="0"/>
                      <w:kern w:val="0"/>
                      <w:position w:val="0"/>
                      <w:sz w:val="21"/>
                      <w:szCs w:val="21"/>
                      <w:lang w:val="en-US" w:eastAsia="zh-CN"/>
                    </w:rPr>
                    <w:t>袋装</w:t>
                  </w:r>
                </w:p>
              </w:tc>
              <w:tc>
                <w:tcPr>
                  <w:tcW w:w="541" w:type="pct"/>
                  <w:vMerge w:val="continue"/>
                  <w:noWrap w:val="0"/>
                  <w:vAlign w:val="center"/>
                </w:tcPr>
                <w:p w14:paraId="7755641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p>
              </w:tc>
              <w:tc>
                <w:tcPr>
                  <w:tcW w:w="527" w:type="pct"/>
                  <w:shd w:val="clear" w:color="auto" w:fill="auto"/>
                  <w:noWrap w:val="0"/>
                  <w:vAlign w:val="center"/>
                </w:tcPr>
                <w:p w14:paraId="56EBFF84">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0.01</w:t>
                  </w:r>
                </w:p>
              </w:tc>
              <w:tc>
                <w:tcPr>
                  <w:tcW w:w="356" w:type="pct"/>
                  <w:vMerge w:val="continue"/>
                  <w:noWrap w:val="0"/>
                  <w:vAlign w:val="center"/>
                </w:tcPr>
                <w:p w14:paraId="2A04809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p>
              </w:tc>
            </w:tr>
            <w:tr w14:paraId="1EDE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 w:type="pct"/>
                  <w:shd w:val="clear" w:color="auto" w:fill="auto"/>
                  <w:noWrap w:val="0"/>
                  <w:vAlign w:val="center"/>
                </w:tcPr>
                <w:p w14:paraId="576A371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bidi="ar-SA"/>
                    </w:rPr>
                  </w:pPr>
                  <w:r>
                    <w:rPr>
                      <w:rFonts w:hint="eastAsia" w:cs="Times New Roman"/>
                      <w:snapToGrid/>
                      <w:color w:val="auto"/>
                      <w:spacing w:val="0"/>
                      <w:kern w:val="0"/>
                      <w:position w:val="0"/>
                      <w:sz w:val="21"/>
                      <w:szCs w:val="21"/>
                      <w:lang w:val="en-US" w:eastAsia="zh-CN" w:bidi="ar-SA"/>
                    </w:rPr>
                    <w:t>6</w:t>
                  </w:r>
                </w:p>
              </w:tc>
              <w:tc>
                <w:tcPr>
                  <w:tcW w:w="410" w:type="pct"/>
                  <w:vMerge w:val="restart"/>
                  <w:noWrap w:val="0"/>
                  <w:vAlign w:val="center"/>
                </w:tcPr>
                <w:p w14:paraId="5AF98E68">
                  <w:pPr>
                    <w:keepNext w:val="0"/>
                    <w:keepLines w:val="0"/>
                    <w:pageBreakBefore w:val="0"/>
                    <w:kinsoku/>
                    <w:wordWrap/>
                    <w:overflowPunct/>
                    <w:topLinePunct w:val="0"/>
                    <w:autoSpaceDE/>
                    <w:autoSpaceDN/>
                    <w:bidi w:val="0"/>
                    <w:spacing w:line="240" w:lineRule="auto"/>
                    <w:jc w:val="center"/>
                    <w:textAlignment w:val="auto"/>
                    <w:rPr>
                      <w:rFonts w:hint="default" w:cs="Times New Roman"/>
                      <w:snapToGrid/>
                      <w:color w:val="auto"/>
                      <w:spacing w:val="0"/>
                      <w:kern w:val="0"/>
                      <w:position w:val="0"/>
                      <w:sz w:val="21"/>
                      <w:szCs w:val="21"/>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废气处理</w:t>
                  </w:r>
                </w:p>
              </w:tc>
              <w:tc>
                <w:tcPr>
                  <w:tcW w:w="406" w:type="pct"/>
                  <w:shd w:val="clear" w:color="auto" w:fill="auto"/>
                  <w:noWrap w:val="0"/>
                  <w:vAlign w:val="center"/>
                </w:tcPr>
                <w:p w14:paraId="20221CBD">
                  <w:pPr>
                    <w:pStyle w:val="47"/>
                    <w:keepNext w:val="0"/>
                    <w:keepLines w:val="0"/>
                    <w:pageBreakBefore w:val="0"/>
                    <w:kinsoku/>
                    <w:wordWrap/>
                    <w:overflowPunct/>
                    <w:autoSpaceDE/>
                    <w:autoSpaceDN/>
                    <w:bidi w:val="0"/>
                    <w:spacing w:line="240" w:lineRule="auto"/>
                    <w:ind w:left="0" w:left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除尘器收集</w:t>
                  </w:r>
                  <w:r>
                    <w:rPr>
                      <w:rFonts w:hint="eastAsia" w:ascii="Times New Roman" w:hAnsi="Times New Roman" w:cs="Times New Roman"/>
                      <w:b w:val="0"/>
                      <w:bCs w:val="0"/>
                      <w:color w:val="auto"/>
                      <w:sz w:val="21"/>
                      <w:szCs w:val="21"/>
                      <w:highlight w:val="none"/>
                      <w:vertAlign w:val="baseline"/>
                      <w:lang w:val="en-US" w:eastAsia="zh-CN"/>
                    </w:rPr>
                    <w:t>颗粒物</w:t>
                  </w:r>
                </w:p>
              </w:tc>
              <w:tc>
                <w:tcPr>
                  <w:tcW w:w="315" w:type="pct"/>
                  <w:vMerge w:val="continue"/>
                  <w:noWrap w:val="0"/>
                  <w:vAlign w:val="center"/>
                </w:tcPr>
                <w:p w14:paraId="3977166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p>
              </w:tc>
              <w:tc>
                <w:tcPr>
                  <w:tcW w:w="527" w:type="pct"/>
                  <w:noWrap w:val="0"/>
                  <w:vAlign w:val="center"/>
                </w:tcPr>
                <w:p w14:paraId="6B843D8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316" w:type="pct"/>
                  <w:noWrap w:val="0"/>
                  <w:vAlign w:val="center"/>
                </w:tcPr>
                <w:p w14:paraId="084D681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固态</w:t>
                  </w:r>
                </w:p>
              </w:tc>
              <w:tc>
                <w:tcPr>
                  <w:tcW w:w="510" w:type="pct"/>
                  <w:noWrap w:val="0"/>
                  <w:vAlign w:val="center"/>
                </w:tcPr>
                <w:p w14:paraId="4B0330C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w:t>
                  </w:r>
                </w:p>
              </w:tc>
              <w:tc>
                <w:tcPr>
                  <w:tcW w:w="541" w:type="pct"/>
                  <w:noWrap w:val="0"/>
                  <w:vAlign w:val="center"/>
                </w:tcPr>
                <w:p w14:paraId="3EEEE28C">
                  <w:pPr>
                    <w:keepNext w:val="0"/>
                    <w:keepLines w:val="0"/>
                    <w:pageBreakBefore w:val="0"/>
                    <w:kinsoku/>
                    <w:wordWrap/>
                    <w:overflowPunct/>
                    <w:topLinePunct w:val="0"/>
                    <w:autoSpaceDE/>
                    <w:autoSpaceDN/>
                    <w:bidi w:val="0"/>
                    <w:spacing w:line="240" w:lineRule="auto"/>
                    <w:jc w:val="center"/>
                    <w:textAlignment w:val="auto"/>
                    <w:rPr>
                      <w:rFonts w:hint="default" w:cs="Times New Roman"/>
                      <w:snapToGrid/>
                      <w:color w:val="auto"/>
                      <w:spacing w:val="0"/>
                      <w:kern w:val="0"/>
                      <w:position w:val="0"/>
                      <w:sz w:val="21"/>
                      <w:szCs w:val="21"/>
                      <w:lang w:val="en-US" w:eastAsia="zh-CN"/>
                    </w:rPr>
                  </w:pPr>
                  <w:r>
                    <w:rPr>
                      <w:rFonts w:hint="eastAsia" w:cs="Times New Roman"/>
                      <w:b w:val="0"/>
                      <w:bCs w:val="0"/>
                      <w:color w:val="auto"/>
                      <w:kern w:val="2"/>
                      <w:sz w:val="21"/>
                      <w:szCs w:val="21"/>
                      <w:highlight w:val="none"/>
                      <w:vertAlign w:val="baseline"/>
                      <w:lang w:val="en-US" w:eastAsia="zh-CN" w:bidi="ar-SA"/>
                    </w:rPr>
                    <w:t>0.8571</w:t>
                  </w:r>
                </w:p>
              </w:tc>
              <w:tc>
                <w:tcPr>
                  <w:tcW w:w="282" w:type="pct"/>
                  <w:noWrap w:val="0"/>
                  <w:vAlign w:val="center"/>
                </w:tcPr>
                <w:p w14:paraId="3AD3864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袋装</w:t>
                  </w:r>
                </w:p>
              </w:tc>
              <w:tc>
                <w:tcPr>
                  <w:tcW w:w="541" w:type="pct"/>
                  <w:noWrap w:val="0"/>
                  <w:vAlign w:val="center"/>
                </w:tcPr>
                <w:p w14:paraId="71EF8FE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bidi="ar-SA"/>
                    </w:rPr>
                  </w:pPr>
                  <w:r>
                    <w:rPr>
                      <w:rFonts w:hint="default" w:ascii="Times New Roman" w:hAnsi="Times New Roman" w:eastAsia="宋体" w:cs="Times New Roman"/>
                      <w:snapToGrid/>
                      <w:color w:val="auto"/>
                      <w:spacing w:val="0"/>
                      <w:kern w:val="0"/>
                      <w:position w:val="0"/>
                      <w:sz w:val="21"/>
                      <w:szCs w:val="21"/>
                      <w:lang w:val="en-US" w:eastAsia="zh-CN" w:bidi="ar-SA"/>
                    </w:rPr>
                    <w:t>统一收集后回用于生产</w:t>
                  </w:r>
                </w:p>
              </w:tc>
              <w:tc>
                <w:tcPr>
                  <w:tcW w:w="527" w:type="pct"/>
                  <w:shd w:val="clear" w:color="auto" w:fill="auto"/>
                  <w:noWrap w:val="0"/>
                  <w:vAlign w:val="center"/>
                </w:tcPr>
                <w:p w14:paraId="3A901DA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bidi="ar-SA"/>
                    </w:rPr>
                  </w:pPr>
                  <w:r>
                    <w:rPr>
                      <w:rFonts w:hint="eastAsia" w:cs="Times New Roman"/>
                      <w:b w:val="0"/>
                      <w:bCs w:val="0"/>
                      <w:color w:val="auto"/>
                      <w:kern w:val="2"/>
                      <w:sz w:val="21"/>
                      <w:szCs w:val="21"/>
                      <w:highlight w:val="none"/>
                      <w:vertAlign w:val="baseline"/>
                      <w:lang w:val="en-US" w:eastAsia="zh-CN" w:bidi="ar-SA"/>
                    </w:rPr>
                    <w:t>0.8571</w:t>
                  </w:r>
                </w:p>
              </w:tc>
              <w:tc>
                <w:tcPr>
                  <w:tcW w:w="356" w:type="pct"/>
                  <w:vMerge w:val="continue"/>
                  <w:noWrap w:val="0"/>
                  <w:vAlign w:val="center"/>
                </w:tcPr>
                <w:p w14:paraId="365E5F6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p>
              </w:tc>
            </w:tr>
            <w:tr w14:paraId="1669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 w:type="pct"/>
                  <w:shd w:val="clear" w:color="auto" w:fill="auto"/>
                  <w:noWrap w:val="0"/>
                  <w:vAlign w:val="center"/>
                </w:tcPr>
                <w:p w14:paraId="42B9192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bidi="ar-SA"/>
                    </w:rPr>
                  </w:pPr>
                  <w:r>
                    <w:rPr>
                      <w:rFonts w:hint="eastAsia" w:cs="Times New Roman"/>
                      <w:snapToGrid/>
                      <w:color w:val="auto"/>
                      <w:spacing w:val="0"/>
                      <w:kern w:val="0"/>
                      <w:position w:val="0"/>
                      <w:sz w:val="21"/>
                      <w:szCs w:val="21"/>
                      <w:lang w:val="en-US" w:eastAsia="zh-CN" w:bidi="ar-SA"/>
                    </w:rPr>
                    <w:t>7</w:t>
                  </w:r>
                </w:p>
              </w:tc>
              <w:tc>
                <w:tcPr>
                  <w:tcW w:w="410" w:type="pct"/>
                  <w:vMerge w:val="continue"/>
                  <w:noWrap w:val="0"/>
                  <w:vAlign w:val="center"/>
                </w:tcPr>
                <w:p w14:paraId="25E1D3F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406" w:type="pct"/>
                  <w:shd w:val="clear" w:color="auto" w:fill="auto"/>
                  <w:noWrap w:val="0"/>
                  <w:vAlign w:val="center"/>
                </w:tcPr>
                <w:p w14:paraId="7AD511FE">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废活性炭</w:t>
                  </w:r>
                </w:p>
              </w:tc>
              <w:tc>
                <w:tcPr>
                  <w:tcW w:w="315" w:type="pct"/>
                  <w:vMerge w:val="restart"/>
                  <w:noWrap w:val="0"/>
                  <w:vAlign w:val="center"/>
                </w:tcPr>
                <w:p w14:paraId="464CE20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危险</w:t>
                  </w:r>
                </w:p>
                <w:p w14:paraId="2DF50D6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废物</w:t>
                  </w:r>
                </w:p>
              </w:tc>
              <w:tc>
                <w:tcPr>
                  <w:tcW w:w="527" w:type="pct"/>
                  <w:noWrap w:val="0"/>
                  <w:vAlign w:val="center"/>
                </w:tcPr>
                <w:p w14:paraId="37F5C01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bCs/>
                      <w:snapToGrid/>
                      <w:color w:val="auto"/>
                      <w:spacing w:val="0"/>
                      <w:kern w:val="0"/>
                      <w:position w:val="0"/>
                      <w:sz w:val="21"/>
                      <w:szCs w:val="21"/>
                      <w:lang w:val="en-US" w:eastAsia="zh-CN"/>
                    </w:rPr>
                    <w:t>活性炭、</w:t>
                  </w:r>
                  <w:r>
                    <w:rPr>
                      <w:rFonts w:hint="default" w:ascii="Times New Roman" w:hAnsi="Times New Roman" w:eastAsia="宋体" w:cs="Times New Roman"/>
                      <w:bCs/>
                      <w:snapToGrid/>
                      <w:color w:val="auto"/>
                      <w:spacing w:val="0"/>
                      <w:kern w:val="0"/>
                      <w:position w:val="0"/>
                      <w:sz w:val="21"/>
                      <w:szCs w:val="21"/>
                      <w:lang w:val="en-US" w:eastAsia="zh-CN"/>
                    </w:rPr>
                    <w:t>VOCs</w:t>
                  </w:r>
                </w:p>
              </w:tc>
              <w:tc>
                <w:tcPr>
                  <w:tcW w:w="316" w:type="pct"/>
                  <w:noWrap w:val="0"/>
                  <w:vAlign w:val="center"/>
                </w:tcPr>
                <w:p w14:paraId="3F09CC6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固态</w:t>
                  </w:r>
                </w:p>
              </w:tc>
              <w:tc>
                <w:tcPr>
                  <w:tcW w:w="510" w:type="pct"/>
                  <w:noWrap w:val="0"/>
                  <w:vAlign w:val="center"/>
                </w:tcPr>
                <w:p w14:paraId="523A82E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T</w:t>
                  </w:r>
                </w:p>
              </w:tc>
              <w:tc>
                <w:tcPr>
                  <w:tcW w:w="541" w:type="pct"/>
                  <w:noWrap w:val="0"/>
                  <w:vAlign w:val="center"/>
                </w:tcPr>
                <w:p w14:paraId="2BE4812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7.1942</w:t>
                  </w:r>
                </w:p>
              </w:tc>
              <w:tc>
                <w:tcPr>
                  <w:tcW w:w="282" w:type="pct"/>
                  <w:noWrap w:val="0"/>
                  <w:vAlign w:val="center"/>
                </w:tcPr>
                <w:p w14:paraId="2393C21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袋装</w:t>
                  </w:r>
                </w:p>
              </w:tc>
              <w:tc>
                <w:tcPr>
                  <w:tcW w:w="541" w:type="pct"/>
                  <w:vMerge w:val="restart"/>
                  <w:noWrap w:val="0"/>
                  <w:vAlign w:val="center"/>
                </w:tcPr>
                <w:p w14:paraId="0C8BF55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color w:val="auto"/>
                      <w:sz w:val="21"/>
                      <w:szCs w:val="21"/>
                      <w:lang w:eastAsia="zh-CN"/>
                    </w:rPr>
                    <w:t>委托有资质单位处理</w:t>
                  </w:r>
                  <w:r>
                    <w:rPr>
                      <w:rFonts w:hint="eastAsia" w:cs="Times New Roman"/>
                      <w:snapToGrid/>
                      <w:color w:val="auto"/>
                      <w:spacing w:val="0"/>
                      <w:kern w:val="0"/>
                      <w:position w:val="0"/>
                      <w:sz w:val="21"/>
                      <w:szCs w:val="21"/>
                      <w:lang w:eastAsia="zh-CN"/>
                    </w:rPr>
                    <w:t>处置</w:t>
                  </w:r>
                </w:p>
              </w:tc>
              <w:tc>
                <w:tcPr>
                  <w:tcW w:w="527" w:type="pct"/>
                  <w:shd w:val="clear" w:color="auto" w:fill="auto"/>
                  <w:noWrap w:val="0"/>
                  <w:vAlign w:val="center"/>
                </w:tcPr>
                <w:p w14:paraId="10CEF234">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bidi="ar-SA"/>
                    </w:rPr>
                  </w:pPr>
                  <w:r>
                    <w:rPr>
                      <w:rFonts w:hint="eastAsia" w:cs="Times New Roman"/>
                      <w:snapToGrid/>
                      <w:color w:val="auto"/>
                      <w:spacing w:val="0"/>
                      <w:kern w:val="0"/>
                      <w:position w:val="0"/>
                      <w:sz w:val="21"/>
                      <w:szCs w:val="21"/>
                      <w:lang w:val="en-US" w:eastAsia="zh-CN"/>
                    </w:rPr>
                    <w:t>7.1942</w:t>
                  </w:r>
                </w:p>
              </w:tc>
              <w:tc>
                <w:tcPr>
                  <w:tcW w:w="356" w:type="pct"/>
                  <w:vMerge w:val="restart"/>
                  <w:noWrap w:val="0"/>
                  <w:vAlign w:val="center"/>
                </w:tcPr>
                <w:p w14:paraId="2F03909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危废暂存间</w:t>
                  </w:r>
                </w:p>
              </w:tc>
            </w:tr>
            <w:tr w14:paraId="3EC5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 w:type="pct"/>
                  <w:shd w:val="clear" w:color="auto" w:fill="auto"/>
                  <w:noWrap w:val="0"/>
                  <w:vAlign w:val="center"/>
                </w:tcPr>
                <w:p w14:paraId="338D2A7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cs="Times New Roman"/>
                      <w:snapToGrid/>
                      <w:color w:val="auto"/>
                      <w:spacing w:val="0"/>
                      <w:kern w:val="0"/>
                      <w:position w:val="0"/>
                      <w:sz w:val="21"/>
                      <w:szCs w:val="21"/>
                      <w:lang w:val="en-US" w:eastAsia="zh-CN" w:bidi="ar-SA"/>
                    </w:rPr>
                  </w:pPr>
                  <w:r>
                    <w:rPr>
                      <w:rFonts w:hint="eastAsia" w:cs="Times New Roman"/>
                      <w:snapToGrid/>
                      <w:color w:val="auto"/>
                      <w:spacing w:val="0"/>
                      <w:kern w:val="0"/>
                      <w:position w:val="0"/>
                      <w:sz w:val="21"/>
                      <w:szCs w:val="21"/>
                      <w:lang w:val="en-US" w:eastAsia="zh-CN" w:bidi="ar-SA"/>
                    </w:rPr>
                    <w:t>8</w:t>
                  </w:r>
                </w:p>
              </w:tc>
              <w:tc>
                <w:tcPr>
                  <w:tcW w:w="410" w:type="pct"/>
                  <w:noWrap w:val="0"/>
                  <w:vAlign w:val="center"/>
                </w:tcPr>
                <w:p w14:paraId="2FDADA3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废镍催化剂</w:t>
                  </w:r>
                </w:p>
              </w:tc>
              <w:tc>
                <w:tcPr>
                  <w:tcW w:w="406" w:type="pct"/>
                  <w:shd w:val="clear" w:color="auto" w:fill="auto"/>
                  <w:noWrap w:val="0"/>
                  <w:vAlign w:val="center"/>
                </w:tcPr>
                <w:p w14:paraId="0E5BCBC4">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液氨分解</w:t>
                  </w:r>
                </w:p>
              </w:tc>
              <w:tc>
                <w:tcPr>
                  <w:tcW w:w="315" w:type="pct"/>
                  <w:vMerge w:val="continue"/>
                  <w:noWrap w:val="0"/>
                  <w:vAlign w:val="center"/>
                </w:tcPr>
                <w:p w14:paraId="47BA18E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eastAsia="zh-CN"/>
                    </w:rPr>
                  </w:pPr>
                </w:p>
              </w:tc>
              <w:tc>
                <w:tcPr>
                  <w:tcW w:w="527" w:type="pct"/>
                  <w:noWrap w:val="0"/>
                  <w:vAlign w:val="center"/>
                </w:tcPr>
                <w:p w14:paraId="4E6F79E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cs="Times New Roman"/>
                      <w:bCs/>
                      <w:snapToGrid/>
                      <w:color w:val="auto"/>
                      <w:spacing w:val="0"/>
                      <w:kern w:val="0"/>
                      <w:position w:val="0"/>
                      <w:sz w:val="21"/>
                      <w:szCs w:val="21"/>
                      <w:lang w:val="en-US" w:eastAsia="zh-CN"/>
                    </w:rPr>
                  </w:pPr>
                  <w:r>
                    <w:rPr>
                      <w:rFonts w:hint="default" w:ascii="Times New Roman" w:hAnsi="Times New Roman" w:eastAsia="宋体" w:cs="Times New Roman"/>
                      <w:color w:val="auto"/>
                      <w:sz w:val="21"/>
                      <w:szCs w:val="21"/>
                      <w:lang w:val="en-US" w:eastAsia="zh-CN"/>
                    </w:rPr>
                    <w:t>镍</w:t>
                  </w:r>
                </w:p>
              </w:tc>
              <w:tc>
                <w:tcPr>
                  <w:tcW w:w="316" w:type="pct"/>
                  <w:noWrap w:val="0"/>
                  <w:vAlign w:val="center"/>
                </w:tcPr>
                <w:p w14:paraId="7317661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固态</w:t>
                  </w:r>
                </w:p>
              </w:tc>
              <w:tc>
                <w:tcPr>
                  <w:tcW w:w="510" w:type="pct"/>
                  <w:noWrap w:val="0"/>
                  <w:vAlign w:val="center"/>
                </w:tcPr>
                <w:p w14:paraId="0BFD6B8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T，I</w:t>
                  </w:r>
                </w:p>
              </w:tc>
              <w:tc>
                <w:tcPr>
                  <w:tcW w:w="541" w:type="pct"/>
                  <w:noWrap w:val="0"/>
                  <w:vAlign w:val="center"/>
                </w:tcPr>
                <w:p w14:paraId="2353F2AD">
                  <w:pPr>
                    <w:keepNext w:val="0"/>
                    <w:keepLines w:val="0"/>
                    <w:pageBreakBefore w:val="0"/>
                    <w:kinsoku/>
                    <w:wordWrap/>
                    <w:overflowPunct/>
                    <w:topLinePunct w:val="0"/>
                    <w:autoSpaceDE/>
                    <w:autoSpaceDN/>
                    <w:bidi w:val="0"/>
                    <w:spacing w:line="240" w:lineRule="auto"/>
                    <w:jc w:val="center"/>
                    <w:textAlignment w:val="auto"/>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0.1</w:t>
                  </w:r>
                </w:p>
              </w:tc>
              <w:tc>
                <w:tcPr>
                  <w:tcW w:w="282" w:type="pct"/>
                  <w:noWrap w:val="0"/>
                  <w:vAlign w:val="center"/>
                </w:tcPr>
                <w:p w14:paraId="01E1C90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袋装</w:t>
                  </w:r>
                </w:p>
              </w:tc>
              <w:tc>
                <w:tcPr>
                  <w:tcW w:w="541" w:type="pct"/>
                  <w:vMerge w:val="continue"/>
                  <w:noWrap w:val="0"/>
                  <w:vAlign w:val="center"/>
                </w:tcPr>
                <w:p w14:paraId="3B4A2A8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p>
              </w:tc>
              <w:tc>
                <w:tcPr>
                  <w:tcW w:w="527" w:type="pct"/>
                  <w:shd w:val="clear" w:color="auto" w:fill="auto"/>
                  <w:noWrap w:val="0"/>
                  <w:vAlign w:val="center"/>
                </w:tcPr>
                <w:p w14:paraId="4DAF6EB2">
                  <w:pPr>
                    <w:keepNext w:val="0"/>
                    <w:keepLines w:val="0"/>
                    <w:pageBreakBefore w:val="0"/>
                    <w:kinsoku/>
                    <w:wordWrap/>
                    <w:overflowPunct/>
                    <w:topLinePunct w:val="0"/>
                    <w:autoSpaceDE/>
                    <w:autoSpaceDN/>
                    <w:bidi w:val="0"/>
                    <w:spacing w:line="240" w:lineRule="auto"/>
                    <w:jc w:val="center"/>
                    <w:textAlignment w:val="auto"/>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0.1</w:t>
                  </w:r>
                </w:p>
              </w:tc>
              <w:tc>
                <w:tcPr>
                  <w:tcW w:w="356" w:type="pct"/>
                  <w:vMerge w:val="continue"/>
                  <w:noWrap w:val="0"/>
                  <w:vAlign w:val="center"/>
                </w:tcPr>
                <w:p w14:paraId="45D6D0C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p>
              </w:tc>
            </w:tr>
            <w:tr w14:paraId="6DB0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 w:type="pct"/>
                  <w:shd w:val="clear" w:color="auto" w:fill="auto"/>
                  <w:noWrap w:val="0"/>
                  <w:vAlign w:val="center"/>
                </w:tcPr>
                <w:p w14:paraId="7A3AAEB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bidi="ar-SA"/>
                    </w:rPr>
                  </w:pPr>
                  <w:r>
                    <w:rPr>
                      <w:rFonts w:hint="eastAsia" w:cs="Times New Roman"/>
                      <w:snapToGrid/>
                      <w:color w:val="auto"/>
                      <w:spacing w:val="0"/>
                      <w:kern w:val="0"/>
                      <w:position w:val="0"/>
                      <w:sz w:val="21"/>
                      <w:szCs w:val="21"/>
                      <w:lang w:val="en-US" w:eastAsia="zh-CN" w:bidi="ar-SA"/>
                    </w:rPr>
                    <w:t>9</w:t>
                  </w:r>
                </w:p>
              </w:tc>
              <w:tc>
                <w:tcPr>
                  <w:tcW w:w="410" w:type="pct"/>
                  <w:shd w:val="clear" w:color="auto" w:fill="auto"/>
                  <w:noWrap w:val="0"/>
                  <w:vAlign w:val="center"/>
                </w:tcPr>
                <w:p w14:paraId="0C1A017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设备使用维护</w:t>
                  </w:r>
                </w:p>
              </w:tc>
              <w:tc>
                <w:tcPr>
                  <w:tcW w:w="406" w:type="pct"/>
                  <w:shd w:val="clear" w:color="auto" w:fill="auto"/>
                  <w:noWrap w:val="0"/>
                  <w:vAlign w:val="center"/>
                </w:tcPr>
                <w:p w14:paraId="167B71C1">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lang w:val="en-US" w:eastAsia="zh-CN"/>
                    </w:rPr>
                    <w:t>废机油</w:t>
                  </w:r>
                </w:p>
              </w:tc>
              <w:tc>
                <w:tcPr>
                  <w:tcW w:w="315" w:type="pct"/>
                  <w:vMerge w:val="continue"/>
                  <w:noWrap w:val="0"/>
                  <w:vAlign w:val="center"/>
                </w:tcPr>
                <w:p w14:paraId="4F79975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eastAsia="zh-CN"/>
                    </w:rPr>
                  </w:pPr>
                </w:p>
              </w:tc>
              <w:tc>
                <w:tcPr>
                  <w:tcW w:w="527" w:type="pct"/>
                  <w:noWrap w:val="0"/>
                  <w:vAlign w:val="center"/>
                </w:tcPr>
                <w:p w14:paraId="50AD57D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snapToGrid/>
                      <w:color w:val="auto"/>
                      <w:spacing w:val="0"/>
                      <w:kern w:val="0"/>
                      <w:position w:val="0"/>
                      <w:sz w:val="21"/>
                      <w:szCs w:val="21"/>
                      <w:lang w:val="en-US" w:eastAsia="zh-CN"/>
                    </w:rPr>
                  </w:pPr>
                  <w:r>
                    <w:rPr>
                      <w:rFonts w:hint="eastAsia" w:cs="Times New Roman"/>
                      <w:bCs/>
                      <w:snapToGrid/>
                      <w:color w:val="auto"/>
                      <w:spacing w:val="0"/>
                      <w:kern w:val="0"/>
                      <w:position w:val="0"/>
                      <w:sz w:val="21"/>
                      <w:szCs w:val="21"/>
                      <w:lang w:val="en-US" w:eastAsia="zh-CN"/>
                    </w:rPr>
                    <w:t>废有机溶剂</w:t>
                  </w:r>
                </w:p>
              </w:tc>
              <w:tc>
                <w:tcPr>
                  <w:tcW w:w="316" w:type="pct"/>
                  <w:noWrap w:val="0"/>
                  <w:vAlign w:val="center"/>
                </w:tcPr>
                <w:p w14:paraId="44716D3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液态</w:t>
                  </w:r>
                </w:p>
              </w:tc>
              <w:tc>
                <w:tcPr>
                  <w:tcW w:w="510" w:type="pct"/>
                  <w:noWrap w:val="0"/>
                  <w:vAlign w:val="center"/>
                </w:tcPr>
                <w:p w14:paraId="3AB1A0A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T，I</w:t>
                  </w:r>
                </w:p>
              </w:tc>
              <w:tc>
                <w:tcPr>
                  <w:tcW w:w="541" w:type="pct"/>
                  <w:noWrap w:val="0"/>
                  <w:vAlign w:val="center"/>
                </w:tcPr>
                <w:p w14:paraId="4C5B3EB3">
                  <w:pPr>
                    <w:keepNext w:val="0"/>
                    <w:keepLines w:val="0"/>
                    <w:pageBreakBefore w:val="0"/>
                    <w:kinsoku/>
                    <w:wordWrap/>
                    <w:overflowPunct/>
                    <w:topLinePunct w:val="0"/>
                    <w:autoSpaceDE/>
                    <w:autoSpaceDN/>
                    <w:bidi w:val="0"/>
                    <w:spacing w:line="240" w:lineRule="auto"/>
                    <w:jc w:val="center"/>
                    <w:textAlignment w:val="auto"/>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1</w:t>
                  </w:r>
                </w:p>
              </w:tc>
              <w:tc>
                <w:tcPr>
                  <w:tcW w:w="282" w:type="pct"/>
                  <w:noWrap w:val="0"/>
                  <w:vAlign w:val="center"/>
                </w:tcPr>
                <w:p w14:paraId="1073CD5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桶装</w:t>
                  </w:r>
                </w:p>
              </w:tc>
              <w:tc>
                <w:tcPr>
                  <w:tcW w:w="541" w:type="pct"/>
                  <w:vMerge w:val="continue"/>
                  <w:noWrap w:val="0"/>
                  <w:vAlign w:val="center"/>
                </w:tcPr>
                <w:p w14:paraId="084FB7C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eastAsia="zh-CN"/>
                    </w:rPr>
                  </w:pPr>
                </w:p>
              </w:tc>
              <w:tc>
                <w:tcPr>
                  <w:tcW w:w="527" w:type="pct"/>
                  <w:shd w:val="clear" w:color="auto" w:fill="auto"/>
                  <w:noWrap w:val="0"/>
                  <w:vAlign w:val="center"/>
                </w:tcPr>
                <w:p w14:paraId="1F5761D5">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snapToGrid/>
                      <w:color w:val="auto"/>
                      <w:spacing w:val="0"/>
                      <w:kern w:val="0"/>
                      <w:position w:val="0"/>
                      <w:sz w:val="21"/>
                      <w:szCs w:val="21"/>
                      <w:lang w:val="en-US" w:eastAsia="zh-CN" w:bidi="ar-SA"/>
                    </w:rPr>
                  </w:pPr>
                  <w:r>
                    <w:rPr>
                      <w:rFonts w:hint="eastAsia" w:cs="Times New Roman"/>
                      <w:snapToGrid/>
                      <w:color w:val="auto"/>
                      <w:spacing w:val="0"/>
                      <w:kern w:val="0"/>
                      <w:position w:val="0"/>
                      <w:sz w:val="21"/>
                      <w:szCs w:val="21"/>
                      <w:lang w:val="en-US" w:eastAsia="zh-CN"/>
                    </w:rPr>
                    <w:t>1</w:t>
                  </w:r>
                </w:p>
              </w:tc>
              <w:tc>
                <w:tcPr>
                  <w:tcW w:w="356" w:type="pct"/>
                  <w:vMerge w:val="continue"/>
                  <w:noWrap w:val="0"/>
                  <w:vAlign w:val="center"/>
                </w:tcPr>
                <w:p w14:paraId="2430E6E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p>
              </w:tc>
            </w:tr>
            <w:tr w14:paraId="2B70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 w:type="pct"/>
                  <w:shd w:val="clear" w:color="auto" w:fill="auto"/>
                  <w:noWrap w:val="0"/>
                  <w:vAlign w:val="center"/>
                </w:tcPr>
                <w:p w14:paraId="23ABF90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bidi="ar-SA"/>
                    </w:rPr>
                  </w:pPr>
                  <w:r>
                    <w:rPr>
                      <w:rFonts w:hint="eastAsia" w:cs="Times New Roman"/>
                      <w:snapToGrid/>
                      <w:color w:val="auto"/>
                      <w:spacing w:val="0"/>
                      <w:kern w:val="0"/>
                      <w:position w:val="0"/>
                      <w:sz w:val="21"/>
                      <w:szCs w:val="21"/>
                      <w:lang w:val="en-US" w:eastAsia="zh-CN" w:bidi="ar-SA"/>
                    </w:rPr>
                    <w:t>10</w:t>
                  </w:r>
                </w:p>
              </w:tc>
              <w:tc>
                <w:tcPr>
                  <w:tcW w:w="410" w:type="pct"/>
                  <w:noWrap w:val="0"/>
                  <w:vAlign w:val="center"/>
                </w:tcPr>
                <w:p w14:paraId="58DA6E3F">
                  <w:pPr>
                    <w:keepNext w:val="0"/>
                    <w:keepLines w:val="0"/>
                    <w:pageBreakBefore w:val="0"/>
                    <w:widowControl w:val="0"/>
                    <w:kinsoku/>
                    <w:wordWrap/>
                    <w:overflowPunct/>
                    <w:topLinePunct w:val="0"/>
                    <w:autoSpaceDE/>
                    <w:autoSpaceDN/>
                    <w:bidi w:val="0"/>
                    <w:spacing w:beforeAutospacing="0" w:afterAutospacing="0" w:line="240" w:lineRule="auto"/>
                    <w:ind w:firstLine="0" w:firstLineChars="0"/>
                    <w:jc w:val="center"/>
                    <w:textAlignment w:val="auto"/>
                    <w:rPr>
                      <w:rFonts w:hint="eastAsia" w:cs="Times New Roman"/>
                      <w:color w:val="auto"/>
                      <w:sz w:val="21"/>
                      <w:szCs w:val="21"/>
                      <w:lang w:val="en-US" w:eastAsia="zh-CN"/>
                    </w:rPr>
                  </w:pPr>
                  <w:r>
                    <w:rPr>
                      <w:rFonts w:hint="eastAsia" w:cs="Times New Roman"/>
                      <w:b w:val="0"/>
                      <w:bCs w:val="0"/>
                      <w:color w:val="auto"/>
                      <w:sz w:val="21"/>
                      <w:szCs w:val="21"/>
                      <w:highlight w:val="none"/>
                      <w:vertAlign w:val="baseline"/>
                      <w:lang w:val="en-US" w:eastAsia="zh-CN"/>
                    </w:rPr>
                    <w:t>员工工作</w:t>
                  </w:r>
                </w:p>
              </w:tc>
              <w:tc>
                <w:tcPr>
                  <w:tcW w:w="406" w:type="pct"/>
                  <w:shd w:val="clear" w:color="auto" w:fill="auto"/>
                  <w:noWrap w:val="0"/>
                  <w:vAlign w:val="center"/>
                </w:tcPr>
                <w:p w14:paraId="20AE6D19">
                  <w:pPr>
                    <w:keepNext w:val="0"/>
                    <w:keepLines w:val="0"/>
                    <w:pageBreakBefore w:val="0"/>
                    <w:widowControl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Cs/>
                      <w:color w:val="auto"/>
                      <w:kern w:val="2"/>
                      <w:sz w:val="21"/>
                      <w:szCs w:val="21"/>
                      <w:lang w:val="en-US" w:eastAsia="zh-CN" w:bidi="ar-SA"/>
                    </w:rPr>
                    <w:t>废弃含油抹布、劳保用品</w:t>
                  </w:r>
                </w:p>
              </w:tc>
              <w:tc>
                <w:tcPr>
                  <w:tcW w:w="315" w:type="pct"/>
                  <w:vMerge w:val="continue"/>
                  <w:noWrap w:val="0"/>
                  <w:vAlign w:val="center"/>
                </w:tcPr>
                <w:p w14:paraId="28A60D8F">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p>
              </w:tc>
              <w:tc>
                <w:tcPr>
                  <w:tcW w:w="527" w:type="pct"/>
                  <w:noWrap w:val="0"/>
                  <w:vAlign w:val="center"/>
                </w:tcPr>
                <w:p w14:paraId="289B9BD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cs="Times New Roman"/>
                      <w:bCs/>
                      <w:snapToGrid/>
                      <w:color w:val="auto"/>
                      <w:spacing w:val="0"/>
                      <w:kern w:val="0"/>
                      <w:position w:val="0"/>
                      <w:sz w:val="21"/>
                      <w:szCs w:val="21"/>
                      <w:lang w:val="en-US" w:eastAsia="zh-CN"/>
                    </w:rPr>
                  </w:pPr>
                  <w:r>
                    <w:rPr>
                      <w:rFonts w:hint="eastAsia" w:cs="Times New Roman"/>
                      <w:bCs/>
                      <w:color w:val="auto"/>
                      <w:kern w:val="2"/>
                      <w:sz w:val="21"/>
                      <w:szCs w:val="21"/>
                      <w:lang w:val="en-US" w:eastAsia="zh-CN" w:bidi="ar-SA"/>
                    </w:rPr>
                    <w:t>含油抹布、劳保用品</w:t>
                  </w:r>
                </w:p>
              </w:tc>
              <w:tc>
                <w:tcPr>
                  <w:tcW w:w="316" w:type="pct"/>
                  <w:noWrap w:val="0"/>
                  <w:vAlign w:val="center"/>
                </w:tcPr>
                <w:p w14:paraId="091E538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color w:val="auto"/>
                      <w:sz w:val="21"/>
                      <w:szCs w:val="21"/>
                      <w:lang w:val="en-US" w:eastAsia="zh-CN"/>
                    </w:rPr>
                    <w:t>固态</w:t>
                  </w:r>
                </w:p>
              </w:tc>
              <w:tc>
                <w:tcPr>
                  <w:tcW w:w="510" w:type="pct"/>
                  <w:noWrap w:val="0"/>
                  <w:vAlign w:val="center"/>
                </w:tcPr>
                <w:p w14:paraId="03108D1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color w:val="auto"/>
                      <w:sz w:val="21"/>
                      <w:szCs w:val="21"/>
                      <w:lang w:val="en-US" w:eastAsia="zh-CN"/>
                    </w:rPr>
                    <w:t>T/In</w:t>
                  </w:r>
                </w:p>
              </w:tc>
              <w:tc>
                <w:tcPr>
                  <w:tcW w:w="541" w:type="pct"/>
                  <w:noWrap w:val="0"/>
                  <w:vAlign w:val="center"/>
                </w:tcPr>
                <w:p w14:paraId="28FE3918">
                  <w:pPr>
                    <w:keepNext w:val="0"/>
                    <w:keepLines w:val="0"/>
                    <w:pageBreakBefore w:val="0"/>
                    <w:widowControl w:val="0"/>
                    <w:kinsoku/>
                    <w:wordWrap/>
                    <w:overflowPunct/>
                    <w:topLinePunct w:val="0"/>
                    <w:autoSpaceDE/>
                    <w:autoSpaceDN/>
                    <w:bidi w:val="0"/>
                    <w:spacing w:beforeAutospacing="0" w:afterAutospacing="0" w:line="240" w:lineRule="auto"/>
                    <w:ind w:firstLine="0" w:firstLineChars="0"/>
                    <w:jc w:val="center"/>
                    <w:textAlignment w:val="auto"/>
                    <w:rPr>
                      <w:rFonts w:hint="eastAsia" w:cs="Times New Roman"/>
                      <w:snapToGrid/>
                      <w:color w:val="auto"/>
                      <w:spacing w:val="0"/>
                      <w:kern w:val="0"/>
                      <w:position w:val="0"/>
                      <w:sz w:val="21"/>
                      <w:szCs w:val="21"/>
                      <w:lang w:val="en-US" w:eastAsia="zh-CN"/>
                    </w:rPr>
                  </w:pPr>
                  <w:r>
                    <w:rPr>
                      <w:rFonts w:hint="eastAsia" w:cs="Times New Roman"/>
                      <w:color w:val="auto"/>
                      <w:kern w:val="0"/>
                      <w:sz w:val="21"/>
                      <w:szCs w:val="21"/>
                      <w:lang w:val="en-US" w:eastAsia="zh-CN"/>
                    </w:rPr>
                    <w:t>0.05</w:t>
                  </w:r>
                </w:p>
              </w:tc>
              <w:tc>
                <w:tcPr>
                  <w:tcW w:w="282" w:type="pct"/>
                  <w:noWrap w:val="0"/>
                  <w:vAlign w:val="center"/>
                </w:tcPr>
                <w:p w14:paraId="64E2F81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color w:val="auto"/>
                      <w:sz w:val="21"/>
                      <w:szCs w:val="21"/>
                      <w:lang w:val="en-US" w:eastAsia="zh-CN"/>
                    </w:rPr>
                    <w:t>袋装</w:t>
                  </w:r>
                </w:p>
              </w:tc>
              <w:tc>
                <w:tcPr>
                  <w:tcW w:w="541" w:type="pct"/>
                  <w:vMerge w:val="continue"/>
                  <w:noWrap w:val="0"/>
                  <w:vAlign w:val="center"/>
                </w:tcPr>
                <w:p w14:paraId="73C04955">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p>
              </w:tc>
              <w:tc>
                <w:tcPr>
                  <w:tcW w:w="527" w:type="pct"/>
                  <w:shd w:val="clear" w:color="auto" w:fill="auto"/>
                  <w:noWrap w:val="0"/>
                  <w:vAlign w:val="center"/>
                </w:tcPr>
                <w:p w14:paraId="1C1D28CF">
                  <w:pPr>
                    <w:keepNext w:val="0"/>
                    <w:keepLines w:val="0"/>
                    <w:pageBreakBefore w:val="0"/>
                    <w:widowControl w:val="0"/>
                    <w:kinsoku/>
                    <w:wordWrap/>
                    <w:overflowPunct/>
                    <w:topLinePunct w:val="0"/>
                    <w:autoSpaceDE/>
                    <w:autoSpaceDN/>
                    <w:bidi w:val="0"/>
                    <w:spacing w:beforeAutospacing="0" w:afterAutospacing="0" w:line="240" w:lineRule="auto"/>
                    <w:ind w:firstLine="0" w:firstLineChars="0"/>
                    <w:jc w:val="center"/>
                    <w:textAlignment w:val="auto"/>
                    <w:rPr>
                      <w:rFonts w:hint="eastAsia" w:ascii="Times New Roman" w:hAnsi="Times New Roman" w:eastAsia="宋体" w:cs="Times New Roman"/>
                      <w:snapToGrid/>
                      <w:color w:val="auto"/>
                      <w:spacing w:val="0"/>
                      <w:kern w:val="0"/>
                      <w:position w:val="0"/>
                      <w:sz w:val="21"/>
                      <w:szCs w:val="21"/>
                      <w:lang w:val="en-US" w:eastAsia="zh-CN" w:bidi="ar-SA"/>
                    </w:rPr>
                  </w:pPr>
                  <w:r>
                    <w:rPr>
                      <w:rFonts w:hint="eastAsia" w:cs="Times New Roman"/>
                      <w:color w:val="auto"/>
                      <w:kern w:val="0"/>
                      <w:sz w:val="21"/>
                      <w:szCs w:val="21"/>
                      <w:lang w:val="en-US" w:eastAsia="zh-CN"/>
                    </w:rPr>
                    <w:t>0.05</w:t>
                  </w:r>
                </w:p>
              </w:tc>
              <w:tc>
                <w:tcPr>
                  <w:tcW w:w="356" w:type="pct"/>
                  <w:vMerge w:val="continue"/>
                  <w:noWrap w:val="0"/>
                  <w:vAlign w:val="center"/>
                </w:tcPr>
                <w:p w14:paraId="6130222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p>
              </w:tc>
            </w:tr>
          </w:tbl>
          <w:p w14:paraId="183E060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center"/>
              <w:textAlignment w:val="auto"/>
              <w:rPr>
                <w:rFonts w:hint="eastAsia"/>
                <w:color w:val="auto"/>
                <w:lang w:val="en-US" w:eastAsia="zh-CN"/>
              </w:rPr>
            </w:pPr>
            <w:r>
              <w:rPr>
                <w:rFonts w:hint="default" w:ascii="Times New Roman" w:hAnsi="Times New Roman" w:eastAsia="宋体" w:cs="Times New Roman"/>
                <w:b/>
                <w:bCs/>
                <w:color w:val="auto"/>
                <w:sz w:val="24"/>
                <w:szCs w:val="24"/>
              </w:rPr>
              <w:t>表</w:t>
            </w:r>
            <w:r>
              <w:rPr>
                <w:rFonts w:hint="default" w:ascii="Times New Roman" w:hAnsi="Times New Roman" w:eastAsia="宋体" w:cs="Times New Roman"/>
                <w:b/>
                <w:bCs/>
                <w:color w:val="auto"/>
                <w:sz w:val="24"/>
                <w:szCs w:val="24"/>
                <w:lang w:val="en-US" w:eastAsia="zh-CN"/>
              </w:rPr>
              <w:t>4.</w:t>
            </w:r>
            <w:r>
              <w:rPr>
                <w:rFonts w:hint="eastAsia" w:cs="Times New Roman"/>
                <w:b/>
                <w:bCs/>
                <w:color w:val="auto"/>
                <w:sz w:val="24"/>
                <w:szCs w:val="24"/>
                <w:lang w:val="en-US" w:eastAsia="zh-CN"/>
              </w:rPr>
              <w:t>13</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 xml:space="preserve"> 项目</w:t>
            </w:r>
            <w:r>
              <w:rPr>
                <w:rFonts w:hint="eastAsia" w:ascii="Times New Roman" w:hAnsi="Times New Roman" w:eastAsia="宋体" w:cs="Times New Roman"/>
                <w:b/>
                <w:bCs/>
                <w:color w:val="auto"/>
                <w:sz w:val="24"/>
                <w:szCs w:val="24"/>
                <w:lang w:eastAsia="zh-CN"/>
              </w:rPr>
              <w:t>一般工业固体废物</w:t>
            </w:r>
            <w:r>
              <w:rPr>
                <w:rFonts w:hint="default" w:ascii="Times New Roman" w:hAnsi="Times New Roman" w:eastAsia="宋体" w:cs="Times New Roman"/>
                <w:b/>
                <w:bCs/>
                <w:color w:val="auto"/>
                <w:sz w:val="24"/>
                <w:szCs w:val="24"/>
              </w:rPr>
              <w:t>产</w:t>
            </w:r>
            <w:r>
              <w:rPr>
                <w:rFonts w:hint="eastAsia" w:ascii="Times New Roman" w:hAnsi="Times New Roman" w:eastAsia="宋体" w:cs="Times New Roman"/>
                <w:b/>
                <w:bCs/>
                <w:color w:val="auto"/>
                <w:sz w:val="24"/>
                <w:szCs w:val="24"/>
                <w:lang w:eastAsia="zh-CN"/>
              </w:rPr>
              <w:t>生及处置统计一览</w:t>
            </w:r>
            <w:r>
              <w:rPr>
                <w:rFonts w:hint="default" w:ascii="Times New Roman" w:hAnsi="Times New Roman" w:eastAsia="宋体" w:cs="Times New Roman"/>
                <w:b/>
                <w:bCs/>
                <w:color w:val="auto"/>
                <w:sz w:val="24"/>
                <w:szCs w:val="24"/>
              </w:rPr>
              <w:t>表</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1092"/>
              <w:gridCol w:w="1002"/>
              <w:gridCol w:w="1006"/>
              <w:gridCol w:w="888"/>
              <w:gridCol w:w="731"/>
              <w:gridCol w:w="585"/>
              <w:gridCol w:w="709"/>
              <w:gridCol w:w="555"/>
              <w:gridCol w:w="1221"/>
            </w:tblGrid>
            <w:tr w14:paraId="285E7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noWrap w:val="0"/>
                  <w:vAlign w:val="center"/>
                </w:tcPr>
                <w:p w14:paraId="51E2F1F3">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序号</w:t>
                  </w:r>
                </w:p>
              </w:tc>
              <w:tc>
                <w:tcPr>
                  <w:tcW w:w="665" w:type="pct"/>
                  <w:noWrap w:val="0"/>
                  <w:vAlign w:val="center"/>
                </w:tcPr>
                <w:p w14:paraId="3D9B62E0">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一般工业固体废物</w:t>
                  </w:r>
                </w:p>
              </w:tc>
              <w:tc>
                <w:tcPr>
                  <w:tcW w:w="610" w:type="pct"/>
                  <w:noWrap w:val="0"/>
                  <w:vAlign w:val="center"/>
                </w:tcPr>
                <w:p w14:paraId="5FF5C803">
                  <w:pPr>
                    <w:adjustRightInd w:val="0"/>
                    <w:snapToGrid w:val="0"/>
                    <w:jc w:val="center"/>
                    <w:rPr>
                      <w:rFonts w:hint="default" w:ascii="Times New Roman" w:hAnsi="Times New Roman" w:eastAsia="宋体" w:cs="Times New Roman"/>
                      <w:color w:val="auto"/>
                      <w:sz w:val="21"/>
                      <w:szCs w:val="21"/>
                      <w:lang w:eastAsia="zh-CN"/>
                    </w:rPr>
                  </w:pPr>
                  <w:r>
                    <w:rPr>
                      <w:rFonts w:hint="eastAsia" w:cs="Times New Roman"/>
                      <w:color w:val="auto"/>
                      <w:sz w:val="21"/>
                      <w:szCs w:val="21"/>
                      <w:lang w:eastAsia="zh-CN"/>
                    </w:rPr>
                    <w:t>废物种类</w:t>
                  </w:r>
                </w:p>
              </w:tc>
              <w:tc>
                <w:tcPr>
                  <w:tcW w:w="612" w:type="pct"/>
                  <w:noWrap w:val="0"/>
                  <w:vAlign w:val="center"/>
                </w:tcPr>
                <w:p w14:paraId="2101E871">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废物</w:t>
                  </w:r>
                </w:p>
                <w:p w14:paraId="4CC122F1">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代码</w:t>
                  </w:r>
                </w:p>
              </w:tc>
              <w:tc>
                <w:tcPr>
                  <w:tcW w:w="541" w:type="pct"/>
                  <w:noWrap w:val="0"/>
                  <w:vAlign w:val="center"/>
                </w:tcPr>
                <w:p w14:paraId="38B2E5D9">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产生量（</w:t>
                  </w:r>
                  <w:r>
                    <w:rPr>
                      <w:rFonts w:hint="default" w:ascii="Times New Roman" w:hAnsi="Times New Roman" w:eastAsia="宋体" w:cs="Times New Roman"/>
                      <w:color w:val="auto"/>
                      <w:sz w:val="21"/>
                      <w:szCs w:val="21"/>
                      <w:lang w:val="en-US" w:eastAsia="zh-CN"/>
                    </w:rPr>
                    <w:t>t/a</w:t>
                  </w:r>
                  <w:r>
                    <w:rPr>
                      <w:rFonts w:hint="default" w:ascii="Times New Roman" w:hAnsi="Times New Roman" w:eastAsia="宋体" w:cs="Times New Roman"/>
                      <w:color w:val="auto"/>
                      <w:sz w:val="21"/>
                      <w:szCs w:val="21"/>
                      <w:lang w:eastAsia="zh-CN"/>
                    </w:rPr>
                    <w:t>）</w:t>
                  </w:r>
                </w:p>
              </w:tc>
              <w:tc>
                <w:tcPr>
                  <w:tcW w:w="445" w:type="pct"/>
                  <w:noWrap w:val="0"/>
                  <w:vAlign w:val="center"/>
                </w:tcPr>
                <w:p w14:paraId="4880A241">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产生工序及装置</w:t>
                  </w:r>
                </w:p>
              </w:tc>
              <w:tc>
                <w:tcPr>
                  <w:tcW w:w="356" w:type="pct"/>
                  <w:noWrap w:val="0"/>
                  <w:vAlign w:val="center"/>
                </w:tcPr>
                <w:p w14:paraId="09C1A0D6">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形态</w:t>
                  </w:r>
                </w:p>
              </w:tc>
              <w:tc>
                <w:tcPr>
                  <w:tcW w:w="431" w:type="pct"/>
                  <w:noWrap w:val="0"/>
                  <w:vAlign w:val="center"/>
                </w:tcPr>
                <w:p w14:paraId="02115875">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主要成分</w:t>
                  </w:r>
                </w:p>
              </w:tc>
              <w:tc>
                <w:tcPr>
                  <w:tcW w:w="338" w:type="pct"/>
                  <w:noWrap w:val="0"/>
                  <w:vAlign w:val="center"/>
                </w:tcPr>
                <w:p w14:paraId="3CC9942E">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产废周期</w:t>
                  </w:r>
                </w:p>
              </w:tc>
              <w:tc>
                <w:tcPr>
                  <w:tcW w:w="743" w:type="pct"/>
                  <w:noWrap w:val="0"/>
                  <w:vAlign w:val="center"/>
                </w:tcPr>
                <w:p w14:paraId="0FA4CB34">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防治措施</w:t>
                  </w:r>
                </w:p>
              </w:tc>
            </w:tr>
            <w:tr w14:paraId="1FD1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noWrap w:val="0"/>
                  <w:vAlign w:val="center"/>
                </w:tcPr>
                <w:p w14:paraId="0BA91F3D">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665" w:type="pct"/>
                  <w:shd w:val="clear" w:color="auto" w:fill="auto"/>
                  <w:noWrap w:val="0"/>
                  <w:vAlign w:val="center"/>
                </w:tcPr>
                <w:p w14:paraId="5C53F7B1">
                  <w:pPr>
                    <w:keepNext w:val="0"/>
                    <w:keepLines w:val="0"/>
                    <w:pageBreakBefore w:val="0"/>
                    <w:widowControl/>
                    <w:suppressLineNumbers w:val="0"/>
                    <w:kinsoku/>
                    <w:wordWrap/>
                    <w:overflowPunct/>
                    <w:autoSpaceDE/>
                    <w:autoSpaceDN/>
                    <w:bidi w:val="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生活垃圾</w:t>
                  </w:r>
                </w:p>
              </w:tc>
              <w:tc>
                <w:tcPr>
                  <w:tcW w:w="610" w:type="pct"/>
                  <w:noWrap w:val="0"/>
                  <w:vAlign w:val="center"/>
                </w:tcPr>
                <w:p w14:paraId="3102186C">
                  <w:pPr>
                    <w:keepNext w:val="0"/>
                    <w:keepLines w:val="0"/>
                    <w:pageBreakBefore w:val="0"/>
                    <w:widowControl/>
                    <w:kinsoku/>
                    <w:wordWrap/>
                    <w:overflowPunct/>
                    <w:topLinePunct w:val="0"/>
                    <w:autoSpaceDE/>
                    <w:autoSpaceDN/>
                    <w:bidi w:val="0"/>
                    <w:spacing w:line="240" w:lineRule="auto"/>
                    <w:jc w:val="center"/>
                    <w:textAlignment w:val="auto"/>
                    <w:rPr>
                      <w:rFonts w:hint="eastAsia"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highlight w:val="none"/>
                      <w:lang w:val="en-US" w:eastAsia="zh-CN" w:bidi="ar"/>
                    </w:rPr>
                    <w:t>SW64其他垃圾</w:t>
                  </w:r>
                </w:p>
              </w:tc>
              <w:tc>
                <w:tcPr>
                  <w:tcW w:w="612" w:type="pct"/>
                  <w:noWrap w:val="0"/>
                  <w:vAlign w:val="center"/>
                </w:tcPr>
                <w:p w14:paraId="1D72676C">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sz w:val="21"/>
                      <w:szCs w:val="21"/>
                      <w:highlight w:val="none"/>
                      <w:lang w:val="en-US" w:eastAsia="zh-CN"/>
                    </w:rPr>
                    <w:t>900-099-S64</w:t>
                  </w:r>
                </w:p>
              </w:tc>
              <w:tc>
                <w:tcPr>
                  <w:tcW w:w="541" w:type="pct"/>
                  <w:shd w:val="clear" w:color="auto" w:fill="auto"/>
                  <w:noWrap w:val="0"/>
                  <w:vAlign w:val="center"/>
                </w:tcPr>
                <w:p w14:paraId="5B26850D">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eastAsia" w:cs="Times New Roman"/>
                      <w:snapToGrid/>
                      <w:color w:val="auto"/>
                      <w:spacing w:val="0"/>
                      <w:kern w:val="0"/>
                      <w:position w:val="0"/>
                      <w:sz w:val="21"/>
                      <w:szCs w:val="21"/>
                      <w:lang w:val="en-US" w:eastAsia="zh-CN"/>
                    </w:rPr>
                    <w:t>4.5</w:t>
                  </w:r>
                </w:p>
              </w:tc>
              <w:tc>
                <w:tcPr>
                  <w:tcW w:w="445" w:type="pct"/>
                  <w:shd w:val="clear" w:color="auto" w:fill="auto"/>
                  <w:noWrap w:val="0"/>
                  <w:vAlign w:val="center"/>
                </w:tcPr>
                <w:p w14:paraId="663F33F2">
                  <w:pPr>
                    <w:keepNext w:val="0"/>
                    <w:keepLines w:val="0"/>
                    <w:pageBreakBefore w:val="0"/>
                    <w:widowControl/>
                    <w:suppressLineNumbers w:val="0"/>
                    <w:kinsoku/>
                    <w:wordWrap/>
                    <w:overflowPunct/>
                    <w:autoSpaceDE/>
                    <w:autoSpaceDN/>
                    <w:bidi w:val="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员工生活</w:t>
                  </w:r>
                </w:p>
              </w:tc>
              <w:tc>
                <w:tcPr>
                  <w:tcW w:w="356" w:type="pct"/>
                  <w:noWrap w:val="0"/>
                  <w:vAlign w:val="center"/>
                </w:tcPr>
                <w:p w14:paraId="5E51CA33">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固态</w:t>
                  </w:r>
                </w:p>
              </w:tc>
              <w:tc>
                <w:tcPr>
                  <w:tcW w:w="431" w:type="pct"/>
                  <w:noWrap w:val="0"/>
                  <w:vAlign w:val="center"/>
                </w:tcPr>
                <w:p w14:paraId="181A7027">
                  <w:pPr>
                    <w:adjustRightInd w:val="0"/>
                    <w:snapToGrid w:val="0"/>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cs="Times New Roman"/>
                      <w:b w:val="0"/>
                      <w:bCs w:val="0"/>
                      <w:color w:val="auto"/>
                      <w:sz w:val="21"/>
                      <w:szCs w:val="21"/>
                      <w:vertAlign w:val="baseline"/>
                      <w:lang w:val="en-US" w:eastAsia="zh-CN"/>
                    </w:rPr>
                    <w:t>果皮、纸屑</w:t>
                  </w:r>
                  <w:r>
                    <w:rPr>
                      <w:rFonts w:hint="default" w:ascii="Times New Roman" w:hAnsi="Times New Roman" w:eastAsia="宋体" w:cs="Times New Roman"/>
                      <w:b w:val="0"/>
                      <w:bCs w:val="0"/>
                      <w:color w:val="auto"/>
                      <w:sz w:val="21"/>
                      <w:szCs w:val="21"/>
                      <w:vertAlign w:val="baseline"/>
                      <w:lang w:val="en-US" w:eastAsia="zh-CN"/>
                    </w:rPr>
                    <w:t>等</w:t>
                  </w:r>
                </w:p>
              </w:tc>
              <w:tc>
                <w:tcPr>
                  <w:tcW w:w="338" w:type="pct"/>
                  <w:noWrap w:val="0"/>
                  <w:vAlign w:val="center"/>
                </w:tcPr>
                <w:p w14:paraId="186704BD">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1天</w:t>
                  </w:r>
                </w:p>
              </w:tc>
              <w:tc>
                <w:tcPr>
                  <w:tcW w:w="743" w:type="pct"/>
                  <w:noWrap w:val="0"/>
                  <w:vAlign w:val="center"/>
                </w:tcPr>
                <w:p w14:paraId="5FB7811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napToGrid/>
                      <w:color w:val="auto"/>
                      <w:spacing w:val="0"/>
                      <w:kern w:val="0"/>
                      <w:position w:val="0"/>
                      <w:sz w:val="21"/>
                      <w:szCs w:val="21"/>
                    </w:rPr>
                    <w:t>环卫部门</w:t>
                  </w:r>
                </w:p>
              </w:tc>
            </w:tr>
            <w:tr w14:paraId="1C5A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noWrap w:val="0"/>
                  <w:vAlign w:val="center"/>
                </w:tcPr>
                <w:p w14:paraId="77B6D75B">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p>
              </w:tc>
              <w:tc>
                <w:tcPr>
                  <w:tcW w:w="665" w:type="pct"/>
                  <w:shd w:val="clear" w:color="auto" w:fill="auto"/>
                  <w:noWrap w:val="0"/>
                  <w:vAlign w:val="center"/>
                </w:tcPr>
                <w:p w14:paraId="2AE1CF2C">
                  <w:pPr>
                    <w:keepNext w:val="0"/>
                    <w:keepLines w:val="0"/>
                    <w:pageBreakBefore w:val="0"/>
                    <w:widowControl/>
                    <w:suppressLineNumbers w:val="0"/>
                    <w:kinsoku/>
                    <w:wordWrap/>
                    <w:overflowPunct/>
                    <w:autoSpaceDE/>
                    <w:autoSpaceDN/>
                    <w:bidi w:val="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rPr>
                    <w:t>废包装袋</w:t>
                  </w:r>
                </w:p>
              </w:tc>
              <w:tc>
                <w:tcPr>
                  <w:tcW w:w="610" w:type="pct"/>
                  <w:shd w:val="clear" w:color="auto" w:fill="auto"/>
                  <w:noWrap w:val="0"/>
                  <w:vAlign w:val="center"/>
                </w:tcPr>
                <w:p w14:paraId="1300D326">
                  <w:pPr>
                    <w:adjustRightInd w:val="0"/>
                    <w:snapToGrid w:val="0"/>
                    <w:jc w:val="center"/>
                    <w:rPr>
                      <w:rFonts w:hint="eastAsia"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SW17</w:t>
                  </w:r>
                </w:p>
                <w:p w14:paraId="6DAFA924">
                  <w:pPr>
                    <w:adjustRightInd w:val="0"/>
                    <w:snapToGrid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可再生类废物</w:t>
                  </w:r>
                </w:p>
              </w:tc>
              <w:tc>
                <w:tcPr>
                  <w:tcW w:w="612" w:type="pct"/>
                  <w:shd w:val="clear" w:color="auto" w:fill="auto"/>
                  <w:noWrap w:val="0"/>
                  <w:vAlign w:val="center"/>
                </w:tcPr>
                <w:p w14:paraId="62D84BB2">
                  <w:pPr>
                    <w:adjustRightInd w:val="0"/>
                    <w:snapToGrid w:val="0"/>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900-003-S17</w:t>
                  </w:r>
                </w:p>
              </w:tc>
              <w:tc>
                <w:tcPr>
                  <w:tcW w:w="541" w:type="pct"/>
                  <w:shd w:val="clear" w:color="auto" w:fill="auto"/>
                  <w:noWrap w:val="0"/>
                  <w:vAlign w:val="center"/>
                </w:tcPr>
                <w:p w14:paraId="2147C95B">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bidi="ar-SA"/>
                    </w:rPr>
                  </w:pPr>
                  <w:r>
                    <w:rPr>
                      <w:rFonts w:hint="eastAsia" w:cs="Times New Roman"/>
                      <w:snapToGrid/>
                      <w:color w:val="auto"/>
                      <w:spacing w:val="0"/>
                      <w:kern w:val="0"/>
                      <w:position w:val="0"/>
                      <w:sz w:val="21"/>
                      <w:szCs w:val="21"/>
                      <w:lang w:val="en-US" w:eastAsia="zh-CN"/>
                    </w:rPr>
                    <w:t>0.02</w:t>
                  </w:r>
                </w:p>
              </w:tc>
              <w:tc>
                <w:tcPr>
                  <w:tcW w:w="445" w:type="pct"/>
                  <w:shd w:val="clear" w:color="auto" w:fill="auto"/>
                  <w:noWrap w:val="0"/>
                  <w:vAlign w:val="center"/>
                </w:tcPr>
                <w:p w14:paraId="3CEABFD9">
                  <w:pPr>
                    <w:keepNext w:val="0"/>
                    <w:keepLines w:val="0"/>
                    <w:pageBreakBefore w:val="0"/>
                    <w:widowControl/>
                    <w:suppressLineNumbers w:val="0"/>
                    <w:kinsoku/>
                    <w:wordWrap/>
                    <w:overflowPunct/>
                    <w:autoSpaceDE/>
                    <w:autoSpaceDN/>
                    <w:bidi w:val="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rPr>
                    <w:t>物料使用</w:t>
                  </w:r>
                </w:p>
              </w:tc>
              <w:tc>
                <w:tcPr>
                  <w:tcW w:w="356" w:type="pct"/>
                  <w:shd w:val="clear" w:color="auto" w:fill="auto"/>
                  <w:noWrap w:val="0"/>
                  <w:vAlign w:val="center"/>
                </w:tcPr>
                <w:p w14:paraId="28FA1AA0">
                  <w:pPr>
                    <w:adjustRightInd w:val="0"/>
                    <w:snapToGrid w:val="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val="en-US" w:eastAsia="zh-CN"/>
                    </w:rPr>
                    <w:t>固态</w:t>
                  </w:r>
                </w:p>
              </w:tc>
              <w:tc>
                <w:tcPr>
                  <w:tcW w:w="431" w:type="pct"/>
                  <w:shd w:val="clear" w:color="auto" w:fill="auto"/>
                  <w:noWrap w:val="0"/>
                  <w:vAlign w:val="center"/>
                </w:tcPr>
                <w:p w14:paraId="2B8248D8">
                  <w:pPr>
                    <w:spacing w:line="240" w:lineRule="auto"/>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cs="Times New Roman"/>
                      <w:b w:val="0"/>
                      <w:bCs w:val="0"/>
                      <w:color w:val="auto"/>
                      <w:kern w:val="2"/>
                      <w:sz w:val="21"/>
                      <w:szCs w:val="21"/>
                      <w:vertAlign w:val="baseline"/>
                      <w:lang w:val="en-US" w:eastAsia="zh-CN" w:bidi="ar-SA"/>
                    </w:rPr>
                    <w:t>废包装袋</w:t>
                  </w:r>
                </w:p>
              </w:tc>
              <w:tc>
                <w:tcPr>
                  <w:tcW w:w="338" w:type="pct"/>
                  <w:shd w:val="clear" w:color="auto" w:fill="auto"/>
                  <w:noWrap w:val="0"/>
                  <w:vAlign w:val="center"/>
                </w:tcPr>
                <w:p w14:paraId="422E561F">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1个月</w:t>
                  </w:r>
                </w:p>
              </w:tc>
              <w:tc>
                <w:tcPr>
                  <w:tcW w:w="743" w:type="pct"/>
                  <w:shd w:val="clear" w:color="auto" w:fill="auto"/>
                  <w:noWrap w:val="0"/>
                  <w:vAlign w:val="center"/>
                </w:tcPr>
                <w:p w14:paraId="7842CB8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bidi="ar-SA"/>
                    </w:rPr>
                  </w:pPr>
                  <w:r>
                    <w:rPr>
                      <w:rFonts w:hint="default" w:ascii="Times New Roman" w:hAnsi="Times New Roman" w:eastAsia="宋体" w:cs="Times New Roman"/>
                      <w:snapToGrid/>
                      <w:color w:val="auto"/>
                      <w:spacing w:val="0"/>
                      <w:kern w:val="0"/>
                      <w:position w:val="0"/>
                      <w:sz w:val="21"/>
                      <w:szCs w:val="21"/>
                      <w:highlight w:val="none"/>
                      <w:lang w:val="en-US" w:eastAsia="zh-CN" w:bidi="ar-SA"/>
                    </w:rPr>
                    <w:t>由资源利用单位回收利用</w:t>
                  </w:r>
                </w:p>
              </w:tc>
            </w:tr>
            <w:tr w14:paraId="29C5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noWrap w:val="0"/>
                  <w:vAlign w:val="center"/>
                </w:tcPr>
                <w:p w14:paraId="100DAC4A">
                  <w:pPr>
                    <w:adjustRightInd w:val="0"/>
                    <w:snapToGrid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3</w:t>
                  </w:r>
                </w:p>
              </w:tc>
              <w:tc>
                <w:tcPr>
                  <w:tcW w:w="665" w:type="pct"/>
                  <w:shd w:val="clear" w:color="auto" w:fill="auto"/>
                  <w:noWrap w:val="0"/>
                  <w:vAlign w:val="center"/>
                </w:tcPr>
                <w:p w14:paraId="0F7EEEF4">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b w:val="0"/>
                      <w:bCs w:val="0"/>
                      <w:color w:val="auto"/>
                      <w:sz w:val="21"/>
                      <w:szCs w:val="21"/>
                      <w:highlight w:val="none"/>
                      <w:vertAlign w:val="baseline"/>
                      <w:lang w:val="en-US" w:eastAsia="zh-CN"/>
                    </w:rPr>
                    <w:t>回收粘结剂</w:t>
                  </w:r>
                </w:p>
              </w:tc>
              <w:tc>
                <w:tcPr>
                  <w:tcW w:w="610" w:type="pct"/>
                  <w:noWrap w:val="0"/>
                  <w:vAlign w:val="center"/>
                </w:tcPr>
                <w:p w14:paraId="66E3AB90">
                  <w:pPr>
                    <w:adjustRightInd w:val="0"/>
                    <w:snapToGrid w:val="0"/>
                    <w:jc w:val="center"/>
                    <w:rPr>
                      <w:rFonts w:hint="eastAsia"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SW17</w:t>
                  </w:r>
                </w:p>
                <w:p w14:paraId="4857E12A">
                  <w:pPr>
                    <w:adjustRightInd w:val="0"/>
                    <w:snapToGrid w:val="0"/>
                    <w:jc w:val="center"/>
                    <w:rPr>
                      <w:rFonts w:hint="eastAsia"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可再生类废物</w:t>
                  </w:r>
                </w:p>
              </w:tc>
              <w:tc>
                <w:tcPr>
                  <w:tcW w:w="612" w:type="pct"/>
                  <w:noWrap w:val="0"/>
                  <w:vAlign w:val="center"/>
                </w:tcPr>
                <w:p w14:paraId="7D2CC223">
                  <w:pPr>
                    <w:adjustRightInd w:val="0"/>
                    <w:snapToGrid w:val="0"/>
                    <w:jc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900-099-</w:t>
                  </w:r>
                  <w:r>
                    <w:rPr>
                      <w:rFonts w:hint="default" w:ascii="Times New Roman" w:hAnsi="Times New Roman" w:eastAsia="宋体" w:cs="Times New Roman"/>
                      <w:color w:val="auto"/>
                      <w:kern w:val="0"/>
                      <w:sz w:val="21"/>
                      <w:szCs w:val="21"/>
                      <w:highlight w:val="none"/>
                      <w:lang w:val="en-US" w:eastAsia="zh-CN" w:bidi="ar"/>
                    </w:rPr>
                    <w:t>S17</w:t>
                  </w:r>
                </w:p>
              </w:tc>
              <w:tc>
                <w:tcPr>
                  <w:tcW w:w="541" w:type="pct"/>
                  <w:shd w:val="clear" w:color="auto" w:fill="auto"/>
                  <w:noWrap w:val="0"/>
                  <w:vAlign w:val="center"/>
                </w:tcPr>
                <w:p w14:paraId="2CD49D9D">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0.06</w:t>
                  </w:r>
                </w:p>
              </w:tc>
              <w:tc>
                <w:tcPr>
                  <w:tcW w:w="445" w:type="pct"/>
                  <w:shd w:val="clear" w:color="auto" w:fill="auto"/>
                  <w:noWrap w:val="0"/>
                  <w:vAlign w:val="center"/>
                </w:tcPr>
                <w:p w14:paraId="2FBAB3B9">
                  <w:pPr>
                    <w:keepNext w:val="0"/>
                    <w:keepLines w:val="0"/>
                    <w:pageBreakBefore w:val="0"/>
                    <w:widowControl/>
                    <w:suppressLineNumbers w:val="0"/>
                    <w:kinsoku/>
                    <w:wordWrap/>
                    <w:overflowPunct/>
                    <w:autoSpaceDE/>
                    <w:autoSpaceDN/>
                    <w:bidi w:val="0"/>
                    <w:spacing w:line="240" w:lineRule="auto"/>
                    <w:ind w:left="0" w:left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rPr>
                    <w:t>脱除粘结剂</w:t>
                  </w:r>
                </w:p>
              </w:tc>
              <w:tc>
                <w:tcPr>
                  <w:tcW w:w="356" w:type="pct"/>
                  <w:noWrap w:val="0"/>
                  <w:vAlign w:val="center"/>
                </w:tcPr>
                <w:p w14:paraId="20219198">
                  <w:pPr>
                    <w:adjustRightInd w:val="0"/>
                    <w:snapToGrid w:val="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val="en-US" w:eastAsia="zh-CN"/>
                    </w:rPr>
                    <w:t>固态</w:t>
                  </w:r>
                </w:p>
              </w:tc>
              <w:tc>
                <w:tcPr>
                  <w:tcW w:w="431" w:type="pct"/>
                  <w:noWrap w:val="0"/>
                  <w:vAlign w:val="center"/>
                </w:tcPr>
                <w:p w14:paraId="6452349B">
                  <w:pPr>
                    <w:spacing w:line="240" w:lineRule="auto"/>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cs="Times New Roman"/>
                      <w:b w:val="0"/>
                      <w:bCs w:val="0"/>
                      <w:color w:val="auto"/>
                      <w:kern w:val="2"/>
                      <w:sz w:val="21"/>
                      <w:szCs w:val="21"/>
                      <w:vertAlign w:val="baseline"/>
                      <w:lang w:val="en-US" w:eastAsia="zh-CN" w:bidi="ar-SA"/>
                    </w:rPr>
                    <w:t>石蜡等</w:t>
                  </w:r>
                </w:p>
              </w:tc>
              <w:tc>
                <w:tcPr>
                  <w:tcW w:w="338" w:type="pct"/>
                  <w:noWrap w:val="0"/>
                  <w:vAlign w:val="center"/>
                </w:tcPr>
                <w:p w14:paraId="69B22F87">
                  <w:pPr>
                    <w:adjustRightInd w:val="0"/>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6天</w:t>
                  </w:r>
                </w:p>
              </w:tc>
              <w:tc>
                <w:tcPr>
                  <w:tcW w:w="743" w:type="pct"/>
                  <w:noWrap w:val="0"/>
                  <w:vAlign w:val="center"/>
                </w:tcPr>
                <w:p w14:paraId="73DD57F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highlight w:val="none"/>
                      <w:lang w:val="en-US" w:eastAsia="zh-CN" w:bidi="ar-SA"/>
                    </w:rPr>
                    <w:t>由资源利用单位回收利用</w:t>
                  </w:r>
                </w:p>
              </w:tc>
            </w:tr>
            <w:tr w14:paraId="3273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noWrap w:val="0"/>
                  <w:vAlign w:val="center"/>
                </w:tcPr>
                <w:p w14:paraId="23023EA8">
                  <w:pPr>
                    <w:adjustRightInd w:val="0"/>
                    <w:snapToGrid w:val="0"/>
                    <w:jc w:val="center"/>
                    <w:rPr>
                      <w:rFonts w:hint="default" w:cs="Times New Roman"/>
                      <w:color w:val="auto"/>
                      <w:sz w:val="21"/>
                      <w:szCs w:val="21"/>
                      <w:lang w:val="en-US" w:eastAsia="zh-CN"/>
                    </w:rPr>
                  </w:pPr>
                  <w:r>
                    <w:rPr>
                      <w:rFonts w:hint="eastAsia" w:cs="Times New Roman"/>
                      <w:color w:val="auto"/>
                      <w:sz w:val="21"/>
                      <w:szCs w:val="21"/>
                      <w:lang w:val="en-US" w:eastAsia="zh-CN"/>
                    </w:rPr>
                    <w:t>4</w:t>
                  </w:r>
                </w:p>
              </w:tc>
              <w:tc>
                <w:tcPr>
                  <w:tcW w:w="665" w:type="pct"/>
                  <w:shd w:val="clear" w:color="auto" w:fill="auto"/>
                  <w:noWrap w:val="0"/>
                  <w:vAlign w:val="center"/>
                </w:tcPr>
                <w:p w14:paraId="0C14D186">
                  <w:pPr>
                    <w:keepNext w:val="0"/>
                    <w:keepLines w:val="0"/>
                    <w:pageBreakBefore w:val="0"/>
                    <w:widowControl/>
                    <w:suppressLineNumbers w:val="0"/>
                    <w:kinsoku/>
                    <w:wordWrap/>
                    <w:overflowPunct/>
                    <w:autoSpaceDE/>
                    <w:autoSpaceDN/>
                    <w:bidi w:val="0"/>
                    <w:jc w:val="center"/>
                    <w:textAlignment w:val="auto"/>
                    <w:rPr>
                      <w:rFonts w:hint="eastAsia"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rPr>
                    <w:t>边角料</w:t>
                  </w:r>
                </w:p>
              </w:tc>
              <w:tc>
                <w:tcPr>
                  <w:tcW w:w="610" w:type="pct"/>
                  <w:noWrap w:val="0"/>
                  <w:vAlign w:val="center"/>
                </w:tcPr>
                <w:p w14:paraId="1DBD9F18">
                  <w:pPr>
                    <w:adjustRightInd w:val="0"/>
                    <w:snapToGrid w:val="0"/>
                    <w:jc w:val="center"/>
                    <w:rPr>
                      <w:rFonts w:hint="eastAsia"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SW17</w:t>
                  </w:r>
                </w:p>
                <w:p w14:paraId="17DB984C">
                  <w:pPr>
                    <w:adjustRightInd w:val="0"/>
                    <w:snapToGrid w:val="0"/>
                    <w:jc w:val="center"/>
                    <w:rPr>
                      <w:rFonts w:hint="eastAsia" w:cs="Times New Roman"/>
                      <w:color w:val="auto"/>
                      <w:kern w:val="2"/>
                      <w:sz w:val="21"/>
                      <w:szCs w:val="24"/>
                      <w:lang w:val="en-US" w:eastAsia="zh-CN" w:bidi="ar-SA"/>
                    </w:rPr>
                  </w:pPr>
                  <w:r>
                    <w:rPr>
                      <w:rFonts w:hint="eastAsia" w:cs="Times New Roman"/>
                      <w:color w:val="auto"/>
                      <w:kern w:val="2"/>
                      <w:sz w:val="21"/>
                      <w:szCs w:val="24"/>
                      <w:highlight w:val="none"/>
                      <w:lang w:val="en-US" w:eastAsia="zh-CN" w:bidi="ar-SA"/>
                    </w:rPr>
                    <w:t>可再生类废物</w:t>
                  </w:r>
                </w:p>
              </w:tc>
              <w:tc>
                <w:tcPr>
                  <w:tcW w:w="612" w:type="pct"/>
                  <w:noWrap w:val="0"/>
                  <w:vAlign w:val="center"/>
                </w:tcPr>
                <w:p w14:paraId="43D9F7FC">
                  <w:pPr>
                    <w:adjustRightInd w:val="0"/>
                    <w:snapToGrid w:val="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highlight w:val="none"/>
                      <w:lang w:val="en-US" w:eastAsia="zh-CN" w:bidi="ar-SA"/>
                    </w:rPr>
                    <w:t>900-0</w:t>
                  </w:r>
                  <w:r>
                    <w:rPr>
                      <w:rFonts w:hint="eastAsia" w:cs="Times New Roman"/>
                      <w:color w:val="auto"/>
                      <w:kern w:val="2"/>
                      <w:sz w:val="21"/>
                      <w:szCs w:val="24"/>
                      <w:highlight w:val="none"/>
                      <w:lang w:val="en-US" w:eastAsia="zh-CN" w:bidi="ar-SA"/>
                    </w:rPr>
                    <w:t>02</w:t>
                  </w:r>
                  <w:r>
                    <w:rPr>
                      <w:rFonts w:hint="default" w:ascii="Times New Roman" w:hAnsi="Times New Roman" w:eastAsia="宋体" w:cs="Times New Roman"/>
                      <w:color w:val="auto"/>
                      <w:kern w:val="2"/>
                      <w:sz w:val="21"/>
                      <w:szCs w:val="24"/>
                      <w:highlight w:val="none"/>
                      <w:lang w:val="en-US" w:eastAsia="zh-CN" w:bidi="ar-SA"/>
                    </w:rPr>
                    <w:t>-S59</w:t>
                  </w:r>
                </w:p>
              </w:tc>
              <w:tc>
                <w:tcPr>
                  <w:tcW w:w="541" w:type="pct"/>
                  <w:shd w:val="clear" w:color="auto" w:fill="auto"/>
                  <w:noWrap w:val="0"/>
                  <w:vAlign w:val="center"/>
                </w:tcPr>
                <w:p w14:paraId="61B39A5D">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0.1</w:t>
                  </w:r>
                </w:p>
              </w:tc>
              <w:tc>
                <w:tcPr>
                  <w:tcW w:w="445" w:type="pct"/>
                  <w:shd w:val="clear" w:color="auto" w:fill="auto"/>
                  <w:noWrap w:val="0"/>
                  <w:vAlign w:val="center"/>
                </w:tcPr>
                <w:p w14:paraId="208893CE">
                  <w:pPr>
                    <w:keepNext w:val="0"/>
                    <w:keepLines w:val="0"/>
                    <w:pageBreakBefore w:val="0"/>
                    <w:widowControl/>
                    <w:suppressLineNumbers w:val="0"/>
                    <w:kinsoku/>
                    <w:wordWrap/>
                    <w:overflowPunct/>
                    <w:autoSpaceDE/>
                    <w:autoSpaceDN/>
                    <w:bidi w:val="0"/>
                    <w:jc w:val="center"/>
                    <w:textAlignment w:val="auto"/>
                    <w:rPr>
                      <w:rFonts w:hint="eastAsia"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rPr>
                    <w:t>钻孔</w:t>
                  </w:r>
                </w:p>
              </w:tc>
              <w:tc>
                <w:tcPr>
                  <w:tcW w:w="356" w:type="pct"/>
                  <w:noWrap w:val="0"/>
                  <w:vAlign w:val="center"/>
                </w:tcPr>
                <w:p w14:paraId="44FEF962">
                  <w:pPr>
                    <w:adjustRightInd w:val="0"/>
                    <w:snapToGrid w:val="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固态</w:t>
                  </w:r>
                </w:p>
              </w:tc>
              <w:tc>
                <w:tcPr>
                  <w:tcW w:w="431" w:type="pct"/>
                  <w:noWrap w:val="0"/>
                  <w:vAlign w:val="center"/>
                </w:tcPr>
                <w:p w14:paraId="2BB7D4FD">
                  <w:pPr>
                    <w:spacing w:line="240" w:lineRule="auto"/>
                    <w:jc w:val="center"/>
                    <w:rPr>
                      <w:rFonts w:hint="eastAsia" w:cs="Times New Roman"/>
                      <w:b w:val="0"/>
                      <w:bCs w:val="0"/>
                      <w:color w:val="auto"/>
                      <w:kern w:val="2"/>
                      <w:sz w:val="21"/>
                      <w:szCs w:val="21"/>
                      <w:vertAlign w:val="baseline"/>
                      <w:lang w:val="en-US" w:eastAsia="zh-CN" w:bidi="ar-SA"/>
                    </w:rPr>
                  </w:pPr>
                  <w:r>
                    <w:rPr>
                      <w:rFonts w:hint="eastAsia" w:cs="Times New Roman"/>
                      <w:b w:val="0"/>
                      <w:bCs w:val="0"/>
                      <w:color w:val="auto"/>
                      <w:kern w:val="2"/>
                      <w:sz w:val="21"/>
                      <w:szCs w:val="21"/>
                      <w:vertAlign w:val="baseline"/>
                      <w:lang w:val="en-US" w:eastAsia="zh-CN" w:bidi="ar-SA"/>
                    </w:rPr>
                    <w:t>钨、铜等</w:t>
                  </w:r>
                </w:p>
              </w:tc>
              <w:tc>
                <w:tcPr>
                  <w:tcW w:w="338" w:type="pct"/>
                  <w:noWrap w:val="0"/>
                  <w:vAlign w:val="center"/>
                </w:tcPr>
                <w:p w14:paraId="5863AFB9">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1个月</w:t>
                  </w:r>
                </w:p>
              </w:tc>
              <w:tc>
                <w:tcPr>
                  <w:tcW w:w="743" w:type="pct"/>
                  <w:noWrap w:val="0"/>
                  <w:vAlign w:val="center"/>
                </w:tcPr>
                <w:p w14:paraId="1AE71A1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highlight w:val="none"/>
                      <w:lang w:val="en-US" w:eastAsia="zh-CN" w:bidi="ar-SA"/>
                    </w:rPr>
                    <w:t>由资源利用单位回收利用</w:t>
                  </w:r>
                </w:p>
              </w:tc>
            </w:tr>
            <w:tr w14:paraId="77F5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noWrap w:val="0"/>
                  <w:vAlign w:val="center"/>
                </w:tcPr>
                <w:p w14:paraId="367435A6">
                  <w:pPr>
                    <w:adjustRightInd w:val="0"/>
                    <w:snapToGrid w:val="0"/>
                    <w:jc w:val="center"/>
                    <w:rPr>
                      <w:rFonts w:hint="default" w:cs="Times New Roman"/>
                      <w:color w:val="auto"/>
                      <w:sz w:val="21"/>
                      <w:szCs w:val="21"/>
                      <w:lang w:val="en-US" w:eastAsia="zh-CN"/>
                    </w:rPr>
                  </w:pPr>
                  <w:r>
                    <w:rPr>
                      <w:rFonts w:hint="eastAsia" w:cs="Times New Roman"/>
                      <w:color w:val="auto"/>
                      <w:sz w:val="21"/>
                      <w:szCs w:val="21"/>
                      <w:lang w:val="en-US" w:eastAsia="zh-CN"/>
                    </w:rPr>
                    <w:t>5</w:t>
                  </w:r>
                </w:p>
              </w:tc>
              <w:tc>
                <w:tcPr>
                  <w:tcW w:w="665" w:type="pct"/>
                  <w:shd w:val="clear" w:color="auto" w:fill="auto"/>
                  <w:noWrap w:val="0"/>
                  <w:vAlign w:val="center"/>
                </w:tcPr>
                <w:p w14:paraId="4810A704">
                  <w:pPr>
                    <w:pStyle w:val="47"/>
                    <w:keepNext w:val="0"/>
                    <w:keepLines w:val="0"/>
                    <w:pageBreakBefore w:val="0"/>
                    <w:kinsoku/>
                    <w:wordWrap/>
                    <w:overflowPunct/>
                    <w:autoSpaceDE/>
                    <w:autoSpaceDN/>
                    <w:bidi w:val="0"/>
                    <w:spacing w:line="240" w:lineRule="auto"/>
                    <w:ind w:left="0" w:leftChars="0"/>
                    <w:jc w:val="center"/>
                    <w:textAlignment w:val="auto"/>
                    <w:rPr>
                      <w:rFonts w:hint="eastAsia"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color w:val="auto"/>
                      <w:spacing w:val="8"/>
                      <w:sz w:val="21"/>
                      <w:szCs w:val="21"/>
                      <w:highlight w:val="none"/>
                    </w:rPr>
                    <w:t>废包装材料</w:t>
                  </w:r>
                </w:p>
              </w:tc>
              <w:tc>
                <w:tcPr>
                  <w:tcW w:w="610" w:type="pct"/>
                  <w:shd w:val="clear" w:color="auto" w:fill="auto"/>
                  <w:noWrap w:val="0"/>
                  <w:vAlign w:val="center"/>
                </w:tcPr>
                <w:p w14:paraId="022F0C4A">
                  <w:pPr>
                    <w:adjustRightInd w:val="0"/>
                    <w:snapToGrid w:val="0"/>
                    <w:jc w:val="center"/>
                    <w:rPr>
                      <w:rFonts w:hint="eastAsia"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SW17</w:t>
                  </w:r>
                </w:p>
                <w:p w14:paraId="088B9B4B">
                  <w:pPr>
                    <w:adjustRightInd w:val="0"/>
                    <w:snapToGrid w:val="0"/>
                    <w:jc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可再生类废物</w:t>
                  </w:r>
                </w:p>
              </w:tc>
              <w:tc>
                <w:tcPr>
                  <w:tcW w:w="612" w:type="pct"/>
                  <w:shd w:val="clear" w:color="auto" w:fill="auto"/>
                  <w:noWrap w:val="0"/>
                  <w:vAlign w:val="center"/>
                </w:tcPr>
                <w:p w14:paraId="109F2A18">
                  <w:pPr>
                    <w:adjustRightInd w:val="0"/>
                    <w:snapToGrid w:val="0"/>
                    <w:jc w:val="center"/>
                    <w:rPr>
                      <w:rFonts w:hint="eastAsia"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900-003-S17</w:t>
                  </w:r>
                </w:p>
              </w:tc>
              <w:tc>
                <w:tcPr>
                  <w:tcW w:w="541" w:type="pct"/>
                  <w:shd w:val="clear" w:color="auto" w:fill="auto"/>
                  <w:noWrap w:val="0"/>
                  <w:vAlign w:val="center"/>
                </w:tcPr>
                <w:p w14:paraId="41711023">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0.01</w:t>
                  </w:r>
                </w:p>
              </w:tc>
              <w:tc>
                <w:tcPr>
                  <w:tcW w:w="445" w:type="pct"/>
                  <w:shd w:val="clear" w:color="auto" w:fill="auto"/>
                  <w:noWrap w:val="0"/>
                  <w:vAlign w:val="center"/>
                </w:tcPr>
                <w:p w14:paraId="319A99B3">
                  <w:pPr>
                    <w:keepNext w:val="0"/>
                    <w:keepLines w:val="0"/>
                    <w:pageBreakBefore w:val="0"/>
                    <w:widowControl/>
                    <w:suppressLineNumbers w:val="0"/>
                    <w:kinsoku/>
                    <w:wordWrap/>
                    <w:overflowPunct/>
                    <w:autoSpaceDE/>
                    <w:autoSpaceDN/>
                    <w:bidi w:val="0"/>
                    <w:spacing w:line="240" w:lineRule="auto"/>
                    <w:ind w:left="0" w:leftChars="0"/>
                    <w:jc w:val="center"/>
                    <w:textAlignment w:val="auto"/>
                    <w:rPr>
                      <w:rFonts w:hint="eastAsia"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包装</w:t>
                  </w:r>
                </w:p>
              </w:tc>
              <w:tc>
                <w:tcPr>
                  <w:tcW w:w="356" w:type="pct"/>
                  <w:noWrap w:val="0"/>
                  <w:vAlign w:val="center"/>
                </w:tcPr>
                <w:p w14:paraId="7BB8E685">
                  <w:pPr>
                    <w:adjustRightInd w:val="0"/>
                    <w:snapToGrid w:val="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固态</w:t>
                  </w:r>
                </w:p>
              </w:tc>
              <w:tc>
                <w:tcPr>
                  <w:tcW w:w="431" w:type="pct"/>
                  <w:noWrap w:val="0"/>
                  <w:vAlign w:val="center"/>
                </w:tcPr>
                <w:p w14:paraId="4248EF16">
                  <w:pPr>
                    <w:spacing w:line="240" w:lineRule="auto"/>
                    <w:jc w:val="center"/>
                    <w:rPr>
                      <w:rFonts w:hint="default" w:cs="Times New Roman"/>
                      <w:b w:val="0"/>
                      <w:bCs w:val="0"/>
                      <w:color w:val="auto"/>
                      <w:kern w:val="2"/>
                      <w:sz w:val="21"/>
                      <w:szCs w:val="21"/>
                      <w:vertAlign w:val="baseline"/>
                      <w:lang w:val="en-US" w:eastAsia="zh-CN" w:bidi="ar-SA"/>
                    </w:rPr>
                  </w:pPr>
                  <w:r>
                    <w:rPr>
                      <w:rFonts w:hint="eastAsia" w:cs="Times New Roman"/>
                      <w:b w:val="0"/>
                      <w:bCs w:val="0"/>
                      <w:color w:val="auto"/>
                      <w:kern w:val="2"/>
                      <w:sz w:val="21"/>
                      <w:szCs w:val="21"/>
                      <w:vertAlign w:val="baseline"/>
                      <w:lang w:val="en-US" w:eastAsia="zh-CN" w:bidi="ar-SA"/>
                    </w:rPr>
                    <w:t>纸盒等</w:t>
                  </w:r>
                </w:p>
              </w:tc>
              <w:tc>
                <w:tcPr>
                  <w:tcW w:w="338" w:type="pct"/>
                  <w:noWrap w:val="0"/>
                  <w:vAlign w:val="center"/>
                </w:tcPr>
                <w:p w14:paraId="562821B6">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1个月</w:t>
                  </w:r>
                </w:p>
              </w:tc>
              <w:tc>
                <w:tcPr>
                  <w:tcW w:w="743" w:type="pct"/>
                  <w:noWrap w:val="0"/>
                  <w:vAlign w:val="center"/>
                </w:tcPr>
                <w:p w14:paraId="64B5E69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highlight w:val="none"/>
                      <w:lang w:val="en-US" w:eastAsia="zh-CN" w:bidi="ar-SA"/>
                    </w:rPr>
                    <w:t>由资源利用单位回收利用</w:t>
                  </w:r>
                </w:p>
              </w:tc>
            </w:tr>
            <w:tr w14:paraId="160F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noWrap w:val="0"/>
                  <w:vAlign w:val="center"/>
                </w:tcPr>
                <w:p w14:paraId="352EC56A">
                  <w:pPr>
                    <w:adjustRightInd w:val="0"/>
                    <w:snapToGrid w:val="0"/>
                    <w:jc w:val="center"/>
                    <w:rPr>
                      <w:rFonts w:hint="default" w:cs="Times New Roman"/>
                      <w:color w:val="auto"/>
                      <w:sz w:val="21"/>
                      <w:szCs w:val="21"/>
                      <w:lang w:val="en-US" w:eastAsia="zh-CN"/>
                    </w:rPr>
                  </w:pPr>
                  <w:r>
                    <w:rPr>
                      <w:rFonts w:hint="eastAsia" w:cs="Times New Roman"/>
                      <w:color w:val="auto"/>
                      <w:sz w:val="21"/>
                      <w:szCs w:val="21"/>
                      <w:lang w:val="en-US" w:eastAsia="zh-CN"/>
                    </w:rPr>
                    <w:t>6</w:t>
                  </w:r>
                </w:p>
              </w:tc>
              <w:tc>
                <w:tcPr>
                  <w:tcW w:w="665" w:type="pct"/>
                  <w:shd w:val="clear" w:color="auto" w:fill="auto"/>
                  <w:noWrap w:val="0"/>
                  <w:vAlign w:val="center"/>
                </w:tcPr>
                <w:p w14:paraId="3D98A837">
                  <w:pPr>
                    <w:pStyle w:val="47"/>
                    <w:keepNext w:val="0"/>
                    <w:keepLines w:val="0"/>
                    <w:pageBreakBefore w:val="0"/>
                    <w:kinsoku/>
                    <w:wordWrap/>
                    <w:overflowPunct/>
                    <w:autoSpaceDE/>
                    <w:autoSpaceDN/>
                    <w:bidi w:val="0"/>
                    <w:spacing w:line="240" w:lineRule="auto"/>
                    <w:ind w:left="0" w:left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除尘器收集</w:t>
                  </w:r>
                  <w:r>
                    <w:rPr>
                      <w:rFonts w:hint="eastAsia" w:ascii="Times New Roman" w:hAnsi="Times New Roman" w:cs="Times New Roman"/>
                      <w:b w:val="0"/>
                      <w:bCs w:val="0"/>
                      <w:color w:val="auto"/>
                      <w:sz w:val="21"/>
                      <w:szCs w:val="21"/>
                      <w:highlight w:val="none"/>
                      <w:vertAlign w:val="baseline"/>
                      <w:lang w:val="en-US" w:eastAsia="zh-CN"/>
                    </w:rPr>
                    <w:t>颗粒物</w:t>
                  </w:r>
                </w:p>
              </w:tc>
              <w:tc>
                <w:tcPr>
                  <w:tcW w:w="610" w:type="pct"/>
                  <w:noWrap w:val="0"/>
                  <w:vAlign w:val="center"/>
                </w:tcPr>
                <w:p w14:paraId="6E0DB8B0">
                  <w:pPr>
                    <w:adjustRightInd w:val="0"/>
                    <w:snapToGrid w:val="0"/>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SW59</w:t>
                  </w:r>
                </w:p>
                <w:p w14:paraId="6FEE9DA5">
                  <w:pPr>
                    <w:adjustRightInd w:val="0"/>
                    <w:snapToGrid w:val="0"/>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其他工业固体</w:t>
                  </w:r>
                </w:p>
                <w:p w14:paraId="57D94B47">
                  <w:pPr>
                    <w:numPr>
                      <w:ilvl w:val="0"/>
                      <w:numId w:val="0"/>
                    </w:numPr>
                    <w:adjustRightInd w:val="0"/>
                    <w:snapToGrid w:val="0"/>
                    <w:jc w:val="center"/>
                    <w:rPr>
                      <w:rFonts w:hint="eastAsia"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highlight w:val="none"/>
                      <w:lang w:val="en-US" w:eastAsia="zh-CN" w:bidi="ar-SA"/>
                    </w:rPr>
                    <w:t>废物</w:t>
                  </w:r>
                </w:p>
              </w:tc>
              <w:tc>
                <w:tcPr>
                  <w:tcW w:w="612" w:type="pct"/>
                  <w:noWrap w:val="0"/>
                  <w:vAlign w:val="center"/>
                </w:tcPr>
                <w:p w14:paraId="05980764">
                  <w:pPr>
                    <w:numPr>
                      <w:ilvl w:val="0"/>
                      <w:numId w:val="0"/>
                    </w:numPr>
                    <w:adjustRightInd w:val="0"/>
                    <w:snapToGrid w:val="0"/>
                    <w:jc w:val="center"/>
                    <w:rPr>
                      <w:rFonts w:hint="eastAsia" w:cs="Times New Roman"/>
                      <w:color w:val="auto"/>
                      <w:kern w:val="2"/>
                      <w:sz w:val="21"/>
                      <w:szCs w:val="24"/>
                      <w:lang w:val="en-US" w:eastAsia="zh-CN" w:bidi="ar-SA"/>
                    </w:rPr>
                  </w:pPr>
                  <w:r>
                    <w:rPr>
                      <w:rFonts w:hint="eastAsia" w:cs="Times New Roman"/>
                      <w:color w:val="auto"/>
                      <w:kern w:val="2"/>
                      <w:sz w:val="21"/>
                      <w:szCs w:val="24"/>
                      <w:lang w:val="en-US" w:eastAsia="zh-CN" w:bidi="ar-SA"/>
                    </w:rPr>
                    <w:t>900-099-S59</w:t>
                  </w:r>
                </w:p>
              </w:tc>
              <w:tc>
                <w:tcPr>
                  <w:tcW w:w="541" w:type="pct"/>
                  <w:shd w:val="clear" w:color="auto" w:fill="auto"/>
                  <w:noWrap w:val="0"/>
                  <w:vAlign w:val="center"/>
                </w:tcPr>
                <w:p w14:paraId="3D40002A">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bidi="ar-SA"/>
                    </w:rPr>
                  </w:pPr>
                  <w:r>
                    <w:rPr>
                      <w:rFonts w:hint="eastAsia" w:cs="Times New Roman"/>
                      <w:b w:val="0"/>
                      <w:bCs w:val="0"/>
                      <w:color w:val="auto"/>
                      <w:kern w:val="2"/>
                      <w:sz w:val="21"/>
                      <w:szCs w:val="21"/>
                      <w:highlight w:val="none"/>
                      <w:vertAlign w:val="baseline"/>
                      <w:lang w:val="en-US" w:eastAsia="zh-CN" w:bidi="ar-SA"/>
                    </w:rPr>
                    <w:t>0.8571</w:t>
                  </w:r>
                </w:p>
              </w:tc>
              <w:tc>
                <w:tcPr>
                  <w:tcW w:w="445" w:type="pct"/>
                  <w:shd w:val="clear" w:color="auto" w:fill="auto"/>
                  <w:noWrap w:val="0"/>
                  <w:vAlign w:val="center"/>
                </w:tcPr>
                <w:p w14:paraId="60D7BA26">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snapToGrid/>
                      <w:color w:val="auto"/>
                      <w:spacing w:val="0"/>
                      <w:kern w:val="0"/>
                      <w:position w:val="0"/>
                      <w:sz w:val="21"/>
                      <w:szCs w:val="21"/>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废气处理</w:t>
                  </w:r>
                </w:p>
              </w:tc>
              <w:tc>
                <w:tcPr>
                  <w:tcW w:w="356" w:type="pct"/>
                  <w:noWrap w:val="0"/>
                  <w:vAlign w:val="center"/>
                </w:tcPr>
                <w:p w14:paraId="78446352">
                  <w:pPr>
                    <w:adjustRightInd w:val="0"/>
                    <w:snapToGrid w:val="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固态</w:t>
                  </w:r>
                </w:p>
              </w:tc>
              <w:tc>
                <w:tcPr>
                  <w:tcW w:w="431" w:type="pct"/>
                  <w:noWrap w:val="0"/>
                  <w:vAlign w:val="center"/>
                </w:tcPr>
                <w:p w14:paraId="3F52342D">
                  <w:pPr>
                    <w:spacing w:line="240" w:lineRule="auto"/>
                    <w:jc w:val="center"/>
                    <w:rPr>
                      <w:rFonts w:hint="default" w:cs="Times New Roman"/>
                      <w:b w:val="0"/>
                      <w:bCs w:val="0"/>
                      <w:color w:val="auto"/>
                      <w:kern w:val="2"/>
                      <w:sz w:val="21"/>
                      <w:szCs w:val="21"/>
                      <w:vertAlign w:val="baseline"/>
                      <w:lang w:val="en-US" w:eastAsia="zh-CN" w:bidi="ar-SA"/>
                    </w:rPr>
                  </w:pPr>
                  <w:r>
                    <w:rPr>
                      <w:rFonts w:hint="eastAsia" w:cs="Times New Roman"/>
                      <w:b w:val="0"/>
                      <w:bCs w:val="0"/>
                      <w:color w:val="auto"/>
                      <w:kern w:val="2"/>
                      <w:sz w:val="21"/>
                      <w:szCs w:val="21"/>
                      <w:vertAlign w:val="baseline"/>
                      <w:lang w:val="en-US" w:eastAsia="zh-CN" w:bidi="ar-SA"/>
                    </w:rPr>
                    <w:t>工业粉尘</w:t>
                  </w:r>
                </w:p>
              </w:tc>
              <w:tc>
                <w:tcPr>
                  <w:tcW w:w="338" w:type="pct"/>
                  <w:noWrap w:val="0"/>
                  <w:vAlign w:val="center"/>
                </w:tcPr>
                <w:p w14:paraId="6D69BF6B">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个月</w:t>
                  </w:r>
                </w:p>
              </w:tc>
              <w:tc>
                <w:tcPr>
                  <w:tcW w:w="743" w:type="pct"/>
                  <w:noWrap w:val="0"/>
                  <w:vAlign w:val="center"/>
                </w:tcPr>
                <w:p w14:paraId="35BAEA4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bidi="ar-SA"/>
                    </w:rPr>
                  </w:pPr>
                  <w:r>
                    <w:rPr>
                      <w:rFonts w:hint="default" w:ascii="Times New Roman" w:hAnsi="Times New Roman" w:eastAsia="宋体" w:cs="Times New Roman"/>
                      <w:snapToGrid/>
                      <w:color w:val="auto"/>
                      <w:spacing w:val="0"/>
                      <w:kern w:val="0"/>
                      <w:position w:val="0"/>
                      <w:sz w:val="21"/>
                      <w:szCs w:val="21"/>
                      <w:lang w:val="en-US" w:eastAsia="zh-CN" w:bidi="ar-SA"/>
                    </w:rPr>
                    <w:t>统一收集后回用于生产</w:t>
                  </w:r>
                </w:p>
              </w:tc>
            </w:tr>
          </w:tbl>
          <w:p w14:paraId="1F61D1C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center"/>
              <w:textAlignment w:val="auto"/>
              <w:rPr>
                <w:rFonts w:hint="eastAsia"/>
                <w:snapToGrid/>
                <w:color w:val="auto"/>
                <w:spacing w:val="0"/>
                <w:kern w:val="0"/>
                <w:position w:val="0"/>
                <w:lang w:val="en-US" w:eastAsia="zh-CN"/>
              </w:rPr>
            </w:pPr>
            <w:r>
              <w:rPr>
                <w:rFonts w:hint="default" w:ascii="Times New Roman" w:hAnsi="Times New Roman" w:eastAsia="宋体" w:cs="Times New Roman"/>
                <w:b/>
                <w:bCs/>
                <w:snapToGrid/>
                <w:color w:val="auto"/>
                <w:spacing w:val="0"/>
                <w:kern w:val="0"/>
                <w:position w:val="0"/>
                <w:sz w:val="24"/>
                <w:szCs w:val="24"/>
              </w:rPr>
              <w:t>表</w:t>
            </w:r>
            <w:r>
              <w:rPr>
                <w:rFonts w:hint="default" w:ascii="Times New Roman" w:hAnsi="Times New Roman" w:eastAsia="宋体" w:cs="Times New Roman"/>
                <w:b/>
                <w:bCs/>
                <w:snapToGrid/>
                <w:color w:val="auto"/>
                <w:spacing w:val="0"/>
                <w:kern w:val="0"/>
                <w:position w:val="0"/>
                <w:sz w:val="24"/>
                <w:szCs w:val="24"/>
                <w:lang w:val="en-US" w:eastAsia="zh-CN"/>
              </w:rPr>
              <w:t>4.</w:t>
            </w:r>
            <w:r>
              <w:rPr>
                <w:rFonts w:hint="eastAsia" w:ascii="Times New Roman" w:hAnsi="Times New Roman" w:eastAsia="宋体" w:cs="Times New Roman"/>
                <w:b/>
                <w:bCs/>
                <w:snapToGrid/>
                <w:color w:val="auto"/>
                <w:spacing w:val="0"/>
                <w:kern w:val="0"/>
                <w:position w:val="0"/>
                <w:sz w:val="24"/>
                <w:szCs w:val="24"/>
                <w:lang w:val="en-US" w:eastAsia="zh-CN"/>
              </w:rPr>
              <w:t>1</w:t>
            </w:r>
            <w:r>
              <w:rPr>
                <w:rFonts w:hint="eastAsia" w:cs="Times New Roman"/>
                <w:b/>
                <w:bCs/>
                <w:snapToGrid/>
                <w:color w:val="auto"/>
                <w:spacing w:val="0"/>
                <w:kern w:val="0"/>
                <w:position w:val="0"/>
                <w:sz w:val="24"/>
                <w:szCs w:val="24"/>
                <w:lang w:val="en-US" w:eastAsia="zh-CN"/>
              </w:rPr>
              <w:t xml:space="preserve">4 </w:t>
            </w:r>
            <w:r>
              <w:rPr>
                <w:rFonts w:hint="default" w:ascii="Times New Roman" w:hAnsi="Times New Roman" w:eastAsia="宋体" w:cs="Times New Roman"/>
                <w:b/>
                <w:bCs/>
                <w:snapToGrid/>
                <w:color w:val="auto"/>
                <w:spacing w:val="0"/>
                <w:kern w:val="0"/>
                <w:position w:val="0"/>
                <w:sz w:val="24"/>
                <w:szCs w:val="24"/>
              </w:rPr>
              <w:t xml:space="preserve"> 项目</w:t>
            </w:r>
            <w:r>
              <w:rPr>
                <w:rFonts w:hint="eastAsia" w:ascii="Times New Roman" w:hAnsi="Times New Roman" w:eastAsia="宋体" w:cs="Times New Roman"/>
                <w:b/>
                <w:bCs/>
                <w:snapToGrid/>
                <w:color w:val="auto"/>
                <w:spacing w:val="0"/>
                <w:kern w:val="0"/>
                <w:position w:val="0"/>
                <w:sz w:val="24"/>
                <w:szCs w:val="24"/>
                <w:lang w:eastAsia="zh-CN"/>
              </w:rPr>
              <w:t>危险</w:t>
            </w:r>
            <w:r>
              <w:rPr>
                <w:rFonts w:hint="default" w:ascii="Times New Roman" w:hAnsi="Times New Roman" w:eastAsia="宋体" w:cs="Times New Roman"/>
                <w:b/>
                <w:bCs/>
                <w:snapToGrid/>
                <w:color w:val="auto"/>
                <w:spacing w:val="0"/>
                <w:kern w:val="0"/>
                <w:position w:val="0"/>
                <w:sz w:val="24"/>
                <w:szCs w:val="24"/>
              </w:rPr>
              <w:t>废物产</w:t>
            </w:r>
            <w:r>
              <w:rPr>
                <w:rFonts w:hint="eastAsia" w:ascii="Times New Roman" w:hAnsi="Times New Roman" w:eastAsia="宋体" w:cs="Times New Roman"/>
                <w:b/>
                <w:bCs/>
                <w:snapToGrid/>
                <w:color w:val="auto"/>
                <w:spacing w:val="0"/>
                <w:kern w:val="0"/>
                <w:position w:val="0"/>
                <w:sz w:val="24"/>
                <w:szCs w:val="24"/>
                <w:lang w:eastAsia="zh-CN"/>
              </w:rPr>
              <w:t>生及处置统计一览</w:t>
            </w:r>
            <w:r>
              <w:rPr>
                <w:rFonts w:hint="default" w:ascii="Times New Roman" w:hAnsi="Times New Roman" w:eastAsia="宋体" w:cs="Times New Roman"/>
                <w:b/>
                <w:bCs/>
                <w:snapToGrid/>
                <w:color w:val="auto"/>
                <w:spacing w:val="0"/>
                <w:kern w:val="0"/>
                <w:position w:val="0"/>
                <w:sz w:val="24"/>
                <w:szCs w:val="24"/>
              </w:rPr>
              <w:t>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689"/>
              <w:gridCol w:w="898"/>
              <w:gridCol w:w="1199"/>
              <w:gridCol w:w="847"/>
              <w:gridCol w:w="802"/>
              <w:gridCol w:w="426"/>
              <w:gridCol w:w="743"/>
              <w:gridCol w:w="650"/>
              <w:gridCol w:w="702"/>
              <w:gridCol w:w="832"/>
            </w:tblGrid>
            <w:tr w14:paraId="3EB1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 w:type="pct"/>
                  <w:noWrap w:val="0"/>
                  <w:vAlign w:val="center"/>
                </w:tcPr>
                <w:p w14:paraId="45C7537D">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序号</w:t>
                  </w:r>
                </w:p>
              </w:tc>
              <w:tc>
                <w:tcPr>
                  <w:tcW w:w="419" w:type="pct"/>
                  <w:noWrap w:val="0"/>
                  <w:vAlign w:val="center"/>
                </w:tcPr>
                <w:p w14:paraId="32990EDD">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危险废物</w:t>
                  </w:r>
                </w:p>
              </w:tc>
              <w:tc>
                <w:tcPr>
                  <w:tcW w:w="546" w:type="pct"/>
                  <w:noWrap w:val="0"/>
                  <w:vAlign w:val="center"/>
                </w:tcPr>
                <w:p w14:paraId="54281293">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危险废物类别</w:t>
                  </w:r>
                </w:p>
              </w:tc>
              <w:tc>
                <w:tcPr>
                  <w:tcW w:w="730" w:type="pct"/>
                  <w:noWrap w:val="0"/>
                  <w:vAlign w:val="center"/>
                </w:tcPr>
                <w:p w14:paraId="1401443A">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废物代码</w:t>
                  </w:r>
                </w:p>
              </w:tc>
              <w:tc>
                <w:tcPr>
                  <w:tcW w:w="515" w:type="pct"/>
                  <w:noWrap w:val="0"/>
                  <w:vAlign w:val="center"/>
                </w:tcPr>
                <w:p w14:paraId="0CA29A64">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产生量（</w:t>
                  </w:r>
                  <w:r>
                    <w:rPr>
                      <w:rFonts w:hint="default" w:ascii="Times New Roman" w:hAnsi="Times New Roman" w:eastAsia="宋体" w:cs="Times New Roman"/>
                      <w:snapToGrid/>
                      <w:color w:val="auto"/>
                      <w:spacing w:val="0"/>
                      <w:kern w:val="0"/>
                      <w:position w:val="0"/>
                      <w:sz w:val="21"/>
                      <w:szCs w:val="21"/>
                      <w:lang w:val="en-US" w:eastAsia="zh-CN"/>
                    </w:rPr>
                    <w:t>t/a</w:t>
                  </w:r>
                  <w:r>
                    <w:rPr>
                      <w:rFonts w:hint="default" w:ascii="Times New Roman" w:hAnsi="Times New Roman" w:eastAsia="宋体" w:cs="Times New Roman"/>
                      <w:snapToGrid/>
                      <w:color w:val="auto"/>
                      <w:spacing w:val="0"/>
                      <w:kern w:val="0"/>
                      <w:position w:val="0"/>
                      <w:sz w:val="21"/>
                      <w:szCs w:val="21"/>
                      <w:lang w:eastAsia="zh-CN"/>
                    </w:rPr>
                    <w:t>）</w:t>
                  </w:r>
                </w:p>
              </w:tc>
              <w:tc>
                <w:tcPr>
                  <w:tcW w:w="488" w:type="pct"/>
                  <w:noWrap w:val="0"/>
                  <w:vAlign w:val="center"/>
                </w:tcPr>
                <w:p w14:paraId="04C211E2">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产生工序及装置</w:t>
                  </w:r>
                </w:p>
              </w:tc>
              <w:tc>
                <w:tcPr>
                  <w:tcW w:w="259" w:type="pct"/>
                  <w:noWrap w:val="0"/>
                  <w:vAlign w:val="center"/>
                </w:tcPr>
                <w:p w14:paraId="19E4D674">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形态</w:t>
                  </w:r>
                </w:p>
              </w:tc>
              <w:tc>
                <w:tcPr>
                  <w:tcW w:w="452" w:type="pct"/>
                  <w:noWrap w:val="0"/>
                  <w:vAlign w:val="center"/>
                </w:tcPr>
                <w:p w14:paraId="1F1DA395">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主要成分</w:t>
                  </w:r>
                </w:p>
              </w:tc>
              <w:tc>
                <w:tcPr>
                  <w:tcW w:w="395" w:type="pct"/>
                  <w:noWrap w:val="0"/>
                  <w:vAlign w:val="center"/>
                </w:tcPr>
                <w:p w14:paraId="4878F42C">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产废周期</w:t>
                  </w:r>
                </w:p>
              </w:tc>
              <w:tc>
                <w:tcPr>
                  <w:tcW w:w="427" w:type="pct"/>
                  <w:noWrap w:val="0"/>
                  <w:vAlign w:val="center"/>
                </w:tcPr>
                <w:p w14:paraId="3DF7F0ED">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危险特性</w:t>
                  </w:r>
                </w:p>
              </w:tc>
              <w:tc>
                <w:tcPr>
                  <w:tcW w:w="506" w:type="pct"/>
                  <w:noWrap w:val="0"/>
                  <w:vAlign w:val="center"/>
                </w:tcPr>
                <w:p w14:paraId="2ED7EDB2">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default" w:ascii="Times New Roman" w:hAnsi="Times New Roman" w:eastAsia="宋体" w:cs="Times New Roman"/>
                      <w:snapToGrid/>
                      <w:color w:val="auto"/>
                      <w:spacing w:val="0"/>
                      <w:kern w:val="0"/>
                      <w:position w:val="0"/>
                      <w:sz w:val="21"/>
                      <w:szCs w:val="21"/>
                      <w:lang w:eastAsia="zh-CN"/>
                    </w:rPr>
                    <w:t>防治措施</w:t>
                  </w:r>
                </w:p>
              </w:tc>
            </w:tr>
            <w:tr w14:paraId="2B69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 w:type="pct"/>
                  <w:noWrap w:val="0"/>
                  <w:vAlign w:val="center"/>
                </w:tcPr>
                <w:p w14:paraId="6EEEC745">
                  <w:pPr>
                    <w:adjustRightInd w:val="0"/>
                    <w:snapToGrid w:val="0"/>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1</w:t>
                  </w:r>
                </w:p>
              </w:tc>
              <w:tc>
                <w:tcPr>
                  <w:tcW w:w="419" w:type="pct"/>
                  <w:noWrap w:val="0"/>
                  <w:vAlign w:val="center"/>
                </w:tcPr>
                <w:p w14:paraId="54FB35E9">
                  <w:pPr>
                    <w:jc w:val="center"/>
                    <w:rPr>
                      <w:rFonts w:hint="default" w:eastAsia="宋体"/>
                      <w:color w:val="auto"/>
                      <w:szCs w:val="21"/>
                      <w:lang w:val="en-US" w:eastAsia="zh-CN"/>
                    </w:rPr>
                  </w:pPr>
                  <w:r>
                    <w:rPr>
                      <w:rFonts w:hint="eastAsia" w:cs="Times New Roman"/>
                      <w:color w:val="auto"/>
                      <w:sz w:val="21"/>
                      <w:szCs w:val="21"/>
                      <w:lang w:val="en-US" w:eastAsia="zh-CN"/>
                    </w:rPr>
                    <w:t>废活性炭</w:t>
                  </w:r>
                </w:p>
              </w:tc>
              <w:tc>
                <w:tcPr>
                  <w:tcW w:w="546" w:type="pct"/>
                  <w:noWrap w:val="0"/>
                  <w:vAlign w:val="center"/>
                </w:tcPr>
                <w:p w14:paraId="236F63E3">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HW49其他废物</w:t>
                  </w:r>
                </w:p>
              </w:tc>
              <w:tc>
                <w:tcPr>
                  <w:tcW w:w="730" w:type="pct"/>
                  <w:noWrap w:val="0"/>
                  <w:vAlign w:val="center"/>
                </w:tcPr>
                <w:p w14:paraId="3CEEC9E2">
                  <w:pPr>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900-0</w:t>
                  </w:r>
                  <w:r>
                    <w:rPr>
                      <w:rFonts w:hint="eastAsia" w:cs="Times New Roman"/>
                      <w:color w:val="auto"/>
                      <w:sz w:val="21"/>
                      <w:szCs w:val="21"/>
                      <w:lang w:val="en-US" w:eastAsia="zh-CN"/>
                    </w:rPr>
                    <w:t>39</w:t>
                  </w:r>
                  <w:r>
                    <w:rPr>
                      <w:rFonts w:hint="default" w:ascii="Times New Roman" w:hAnsi="Times New Roman" w:cs="Times New Roman"/>
                      <w:color w:val="auto"/>
                      <w:sz w:val="21"/>
                      <w:szCs w:val="21"/>
                      <w:lang w:val="en-US" w:eastAsia="zh-CN"/>
                    </w:rPr>
                    <w:t>-49</w:t>
                  </w:r>
                </w:p>
              </w:tc>
              <w:tc>
                <w:tcPr>
                  <w:tcW w:w="515" w:type="pct"/>
                  <w:noWrap w:val="0"/>
                  <w:vAlign w:val="center"/>
                </w:tcPr>
                <w:p w14:paraId="2F26355F">
                  <w:pPr>
                    <w:spacing w:line="240" w:lineRule="exact"/>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7.1942</w:t>
                  </w:r>
                </w:p>
              </w:tc>
              <w:tc>
                <w:tcPr>
                  <w:tcW w:w="488" w:type="pct"/>
                  <w:noWrap w:val="0"/>
                  <w:vAlign w:val="center"/>
                </w:tcPr>
                <w:p w14:paraId="6482B11C">
                  <w:pPr>
                    <w:spacing w:line="240" w:lineRule="auto"/>
                    <w:jc w:val="cente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盛装原料</w:t>
                  </w:r>
                </w:p>
              </w:tc>
              <w:tc>
                <w:tcPr>
                  <w:tcW w:w="259" w:type="pct"/>
                  <w:noWrap w:val="0"/>
                  <w:vAlign w:val="center"/>
                </w:tcPr>
                <w:p w14:paraId="27509C89">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固态</w:t>
                  </w:r>
                </w:p>
              </w:tc>
              <w:tc>
                <w:tcPr>
                  <w:tcW w:w="452" w:type="pct"/>
                  <w:noWrap w:val="0"/>
                  <w:vAlign w:val="center"/>
                </w:tcPr>
                <w:p w14:paraId="5E3D3522">
                  <w:pPr>
                    <w:adjustRightInd w:val="0"/>
                    <w:snapToGrid w:val="0"/>
                    <w:jc w:val="center"/>
                    <w:rPr>
                      <w:rFonts w:hint="default" w:cs="Times New Roman"/>
                      <w:bCs/>
                      <w:snapToGrid/>
                      <w:color w:val="auto"/>
                      <w:spacing w:val="0"/>
                      <w:kern w:val="0"/>
                      <w:position w:val="0"/>
                      <w:sz w:val="21"/>
                      <w:szCs w:val="21"/>
                      <w:lang w:val="en-US" w:eastAsia="zh-CN"/>
                    </w:rPr>
                  </w:pPr>
                  <w:r>
                    <w:rPr>
                      <w:rFonts w:hint="default" w:ascii="Times New Roman" w:hAnsi="Times New Roman" w:eastAsia="宋体" w:cs="Times New Roman"/>
                      <w:bCs/>
                      <w:snapToGrid/>
                      <w:color w:val="auto"/>
                      <w:spacing w:val="0"/>
                      <w:kern w:val="0"/>
                      <w:position w:val="0"/>
                      <w:sz w:val="21"/>
                      <w:szCs w:val="21"/>
                      <w:lang w:val="en-US" w:eastAsia="zh-CN"/>
                    </w:rPr>
                    <w:t>VOCs</w:t>
                  </w:r>
                </w:p>
              </w:tc>
              <w:tc>
                <w:tcPr>
                  <w:tcW w:w="395" w:type="pct"/>
                  <w:noWrap w:val="0"/>
                  <w:vAlign w:val="center"/>
                </w:tcPr>
                <w:p w14:paraId="614F920E">
                  <w:pPr>
                    <w:adjustRightInd w:val="0"/>
                    <w:snapToGrid w:val="0"/>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2个月</w:t>
                  </w:r>
                </w:p>
              </w:tc>
              <w:tc>
                <w:tcPr>
                  <w:tcW w:w="427" w:type="pct"/>
                  <w:noWrap w:val="0"/>
                  <w:vAlign w:val="center"/>
                </w:tcPr>
                <w:p w14:paraId="7854263B">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T</w:t>
                  </w:r>
                </w:p>
              </w:tc>
              <w:tc>
                <w:tcPr>
                  <w:tcW w:w="506" w:type="pct"/>
                  <w:vMerge w:val="restart"/>
                  <w:noWrap w:val="0"/>
                  <w:vAlign w:val="center"/>
                </w:tcPr>
                <w:p w14:paraId="703E43E0">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r>
                    <w:rPr>
                      <w:rFonts w:hint="eastAsia" w:cs="Times New Roman"/>
                      <w:snapToGrid/>
                      <w:color w:val="auto"/>
                      <w:spacing w:val="0"/>
                      <w:kern w:val="0"/>
                      <w:position w:val="0"/>
                      <w:sz w:val="21"/>
                      <w:szCs w:val="21"/>
                      <w:lang w:eastAsia="zh-CN"/>
                    </w:rPr>
                    <w:t>委托有资质单位处理处置</w:t>
                  </w:r>
                </w:p>
              </w:tc>
            </w:tr>
            <w:tr w14:paraId="1D56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 w:type="pct"/>
                  <w:noWrap w:val="0"/>
                  <w:vAlign w:val="center"/>
                </w:tcPr>
                <w:p w14:paraId="38E7C6C6">
                  <w:pPr>
                    <w:adjustRightInd w:val="0"/>
                    <w:snapToGrid w:val="0"/>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2</w:t>
                  </w:r>
                </w:p>
              </w:tc>
              <w:tc>
                <w:tcPr>
                  <w:tcW w:w="419" w:type="pct"/>
                  <w:noWrap w:val="0"/>
                  <w:vAlign w:val="center"/>
                </w:tcPr>
                <w:p w14:paraId="7ADAEAF7">
                  <w:pPr>
                    <w:jc w:val="center"/>
                    <w:rPr>
                      <w:rFonts w:hint="eastAsia"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废镍催化剂</w:t>
                  </w:r>
                </w:p>
              </w:tc>
              <w:tc>
                <w:tcPr>
                  <w:tcW w:w="546" w:type="pct"/>
                  <w:noWrap w:val="0"/>
                  <w:vAlign w:val="center"/>
                </w:tcPr>
                <w:p w14:paraId="20766594">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HW46含镍废物</w:t>
                  </w:r>
                </w:p>
              </w:tc>
              <w:tc>
                <w:tcPr>
                  <w:tcW w:w="730" w:type="pct"/>
                  <w:noWrap w:val="0"/>
                  <w:vAlign w:val="center"/>
                </w:tcPr>
                <w:p w14:paraId="47262D08">
                  <w:pPr>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900-037-46</w:t>
                  </w:r>
                </w:p>
              </w:tc>
              <w:tc>
                <w:tcPr>
                  <w:tcW w:w="515" w:type="pct"/>
                  <w:noWrap w:val="0"/>
                  <w:vAlign w:val="center"/>
                </w:tcPr>
                <w:p w14:paraId="40BE5A81">
                  <w:pPr>
                    <w:spacing w:line="240" w:lineRule="exact"/>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0.1</w:t>
                  </w:r>
                </w:p>
              </w:tc>
              <w:tc>
                <w:tcPr>
                  <w:tcW w:w="488" w:type="pct"/>
                  <w:noWrap w:val="0"/>
                  <w:vAlign w:val="center"/>
                </w:tcPr>
                <w:p w14:paraId="7DDD94AD">
                  <w:pPr>
                    <w:spacing w:line="240" w:lineRule="auto"/>
                    <w:jc w:val="center"/>
                    <w:rPr>
                      <w:rFonts w:hint="eastAsia" w:cs="Times New Roman"/>
                      <w:b w:val="0"/>
                      <w:bCs w:val="0"/>
                      <w:snapToGrid/>
                      <w:color w:val="auto"/>
                      <w:spacing w:val="0"/>
                      <w:kern w:val="0"/>
                      <w:position w:val="0"/>
                      <w:sz w:val="21"/>
                      <w:szCs w:val="21"/>
                      <w:vertAlign w:val="baseline"/>
                      <w:lang w:val="en-US" w:eastAsia="zh-CN"/>
                    </w:rPr>
                  </w:pPr>
                  <w:r>
                    <w:rPr>
                      <w:rFonts w:hint="eastAsia" w:cs="Times New Roman"/>
                      <w:color w:val="auto"/>
                      <w:sz w:val="21"/>
                      <w:szCs w:val="21"/>
                      <w:lang w:val="en-US" w:eastAsia="zh-CN"/>
                    </w:rPr>
                    <w:t>液氨分解</w:t>
                  </w:r>
                </w:p>
              </w:tc>
              <w:tc>
                <w:tcPr>
                  <w:tcW w:w="259" w:type="pct"/>
                  <w:noWrap w:val="0"/>
                  <w:vAlign w:val="center"/>
                </w:tcPr>
                <w:p w14:paraId="35E4FB2E">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固态</w:t>
                  </w:r>
                </w:p>
              </w:tc>
              <w:tc>
                <w:tcPr>
                  <w:tcW w:w="452" w:type="pct"/>
                  <w:noWrap w:val="0"/>
                  <w:vAlign w:val="center"/>
                </w:tcPr>
                <w:p w14:paraId="0BD547D8">
                  <w:pPr>
                    <w:adjustRightInd w:val="0"/>
                    <w:snapToGrid w:val="0"/>
                    <w:jc w:val="center"/>
                    <w:rPr>
                      <w:rFonts w:hint="default" w:ascii="Times New Roman" w:hAnsi="Times New Roman" w:eastAsia="宋体" w:cs="Times New Roman"/>
                      <w:bCs/>
                      <w:snapToGrid/>
                      <w:color w:val="auto"/>
                      <w:spacing w:val="0"/>
                      <w:kern w:val="0"/>
                      <w:position w:val="0"/>
                      <w:sz w:val="21"/>
                      <w:szCs w:val="21"/>
                      <w:lang w:val="en-US" w:eastAsia="zh-CN"/>
                    </w:rPr>
                  </w:pPr>
                  <w:r>
                    <w:rPr>
                      <w:rFonts w:hint="default" w:ascii="Times New Roman" w:hAnsi="Times New Roman" w:eastAsia="宋体" w:cs="Times New Roman"/>
                      <w:color w:val="auto"/>
                      <w:sz w:val="21"/>
                      <w:szCs w:val="21"/>
                      <w:lang w:val="en-US" w:eastAsia="zh-CN"/>
                    </w:rPr>
                    <w:t>镍</w:t>
                  </w:r>
                </w:p>
              </w:tc>
              <w:tc>
                <w:tcPr>
                  <w:tcW w:w="395" w:type="pct"/>
                  <w:noWrap w:val="0"/>
                  <w:vAlign w:val="center"/>
                </w:tcPr>
                <w:p w14:paraId="583A7782">
                  <w:pPr>
                    <w:adjustRightInd w:val="0"/>
                    <w:snapToGrid w:val="0"/>
                    <w:jc w:val="center"/>
                    <w:rPr>
                      <w:rFonts w:hint="eastAsia" w:cs="Times New Roman"/>
                      <w:snapToGrid/>
                      <w:color w:val="auto"/>
                      <w:spacing w:val="0"/>
                      <w:kern w:val="0"/>
                      <w:position w:val="0"/>
                      <w:sz w:val="21"/>
                      <w:szCs w:val="21"/>
                      <w:lang w:val="en-US" w:eastAsia="zh-CN"/>
                    </w:rPr>
                  </w:pPr>
                  <w:r>
                    <w:rPr>
                      <w:rFonts w:hint="default" w:ascii="Times New Roman" w:hAnsi="Times New Roman" w:eastAsia="宋体" w:cs="Times New Roman"/>
                      <w:color w:val="auto"/>
                      <w:sz w:val="21"/>
                      <w:szCs w:val="21"/>
                      <w:lang w:val="en-US" w:eastAsia="zh-CN"/>
                    </w:rPr>
                    <w:t>1</w:t>
                  </w:r>
                  <w:r>
                    <w:rPr>
                      <w:rFonts w:hint="eastAsia" w:ascii="Times New Roman" w:hAnsi="Times New Roman" w:eastAsia="宋体" w:cs="Times New Roman"/>
                      <w:color w:val="auto"/>
                      <w:sz w:val="21"/>
                      <w:szCs w:val="21"/>
                      <w:lang w:val="en-US" w:eastAsia="zh-CN"/>
                    </w:rPr>
                    <w:t>年</w:t>
                  </w:r>
                </w:p>
              </w:tc>
              <w:tc>
                <w:tcPr>
                  <w:tcW w:w="427" w:type="pct"/>
                  <w:noWrap w:val="0"/>
                  <w:vAlign w:val="center"/>
                </w:tcPr>
                <w:p w14:paraId="3E36ACF4">
                  <w:pPr>
                    <w:adjustRightInd w:val="0"/>
                    <w:snapToGrid w:val="0"/>
                    <w:jc w:val="center"/>
                    <w:rPr>
                      <w:rFonts w:hint="eastAsia"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T，I</w:t>
                  </w:r>
                </w:p>
              </w:tc>
              <w:tc>
                <w:tcPr>
                  <w:tcW w:w="506" w:type="pct"/>
                  <w:vMerge w:val="continue"/>
                  <w:noWrap w:val="0"/>
                  <w:vAlign w:val="center"/>
                </w:tcPr>
                <w:p w14:paraId="2B640E75">
                  <w:pPr>
                    <w:adjustRightInd w:val="0"/>
                    <w:snapToGrid w:val="0"/>
                    <w:jc w:val="center"/>
                    <w:rPr>
                      <w:rFonts w:hint="eastAsia" w:cs="Times New Roman"/>
                      <w:snapToGrid/>
                      <w:color w:val="auto"/>
                      <w:spacing w:val="0"/>
                      <w:kern w:val="0"/>
                      <w:position w:val="0"/>
                      <w:sz w:val="21"/>
                      <w:szCs w:val="21"/>
                      <w:lang w:eastAsia="zh-CN"/>
                    </w:rPr>
                  </w:pPr>
                </w:p>
              </w:tc>
            </w:tr>
            <w:tr w14:paraId="3579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 w:type="pct"/>
                  <w:noWrap w:val="0"/>
                  <w:vAlign w:val="center"/>
                </w:tcPr>
                <w:p w14:paraId="6F5A8F99">
                  <w:pPr>
                    <w:adjustRightInd w:val="0"/>
                    <w:snapToGrid w:val="0"/>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3</w:t>
                  </w:r>
                </w:p>
              </w:tc>
              <w:tc>
                <w:tcPr>
                  <w:tcW w:w="419" w:type="pct"/>
                  <w:noWrap w:val="0"/>
                  <w:vAlign w:val="center"/>
                </w:tcPr>
                <w:p w14:paraId="394EB27F">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废机油</w:t>
                  </w:r>
                </w:p>
              </w:tc>
              <w:tc>
                <w:tcPr>
                  <w:tcW w:w="546" w:type="pct"/>
                  <w:noWrap w:val="0"/>
                  <w:vAlign w:val="center"/>
                </w:tcPr>
                <w:p w14:paraId="1814A755">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HW08</w:t>
                  </w:r>
                  <w:r>
                    <w:rPr>
                      <w:rFonts w:hint="eastAsia" w:ascii="宋体" w:hAnsi="宋体"/>
                      <w:color w:val="auto"/>
                      <w:kern w:val="0"/>
                      <w:szCs w:val="21"/>
                    </w:rPr>
                    <w:t>废矿物油与含矿物油废物</w:t>
                  </w:r>
                </w:p>
              </w:tc>
              <w:tc>
                <w:tcPr>
                  <w:tcW w:w="730" w:type="pct"/>
                  <w:noWrap w:val="0"/>
                  <w:vAlign w:val="center"/>
                </w:tcPr>
                <w:p w14:paraId="62112DA9">
                  <w:pPr>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900-249-08</w:t>
                  </w:r>
                </w:p>
              </w:tc>
              <w:tc>
                <w:tcPr>
                  <w:tcW w:w="515" w:type="pct"/>
                  <w:noWrap w:val="0"/>
                  <w:vAlign w:val="center"/>
                </w:tcPr>
                <w:p w14:paraId="353559AE">
                  <w:pPr>
                    <w:keepNext w:val="0"/>
                    <w:keepLines w:val="0"/>
                    <w:pageBreakBefore w:val="0"/>
                    <w:kinsoku/>
                    <w:wordWrap/>
                    <w:overflowPunct/>
                    <w:topLinePunct w:val="0"/>
                    <w:autoSpaceDE/>
                    <w:autoSpaceDN/>
                    <w:bidi w:val="0"/>
                    <w:spacing w:line="240" w:lineRule="auto"/>
                    <w:jc w:val="center"/>
                    <w:textAlignment w:val="auto"/>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1</w:t>
                  </w:r>
                </w:p>
              </w:tc>
              <w:tc>
                <w:tcPr>
                  <w:tcW w:w="488" w:type="pct"/>
                  <w:noWrap w:val="0"/>
                  <w:vAlign w:val="center"/>
                </w:tcPr>
                <w:p w14:paraId="77B6B455">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设备使用维护</w:t>
                  </w:r>
                </w:p>
              </w:tc>
              <w:tc>
                <w:tcPr>
                  <w:tcW w:w="259" w:type="pct"/>
                  <w:noWrap w:val="0"/>
                  <w:vAlign w:val="center"/>
                </w:tcPr>
                <w:p w14:paraId="5991BC4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液态</w:t>
                  </w:r>
                </w:p>
              </w:tc>
              <w:tc>
                <w:tcPr>
                  <w:tcW w:w="452" w:type="pct"/>
                  <w:noWrap w:val="0"/>
                  <w:vAlign w:val="center"/>
                </w:tcPr>
                <w:p w14:paraId="2C7794E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cs="Times New Roman"/>
                      <w:bCs/>
                      <w:snapToGrid/>
                      <w:color w:val="auto"/>
                      <w:spacing w:val="0"/>
                      <w:kern w:val="0"/>
                      <w:position w:val="0"/>
                      <w:sz w:val="21"/>
                      <w:szCs w:val="21"/>
                      <w:lang w:val="en-US" w:eastAsia="zh-CN"/>
                    </w:rPr>
                  </w:pPr>
                  <w:r>
                    <w:rPr>
                      <w:rFonts w:hint="eastAsia" w:cs="Times New Roman"/>
                      <w:bCs/>
                      <w:snapToGrid/>
                      <w:color w:val="auto"/>
                      <w:spacing w:val="0"/>
                      <w:kern w:val="0"/>
                      <w:position w:val="0"/>
                      <w:sz w:val="21"/>
                      <w:szCs w:val="21"/>
                      <w:lang w:val="en-US" w:eastAsia="zh-CN"/>
                    </w:rPr>
                    <w:t>矿物油</w:t>
                  </w:r>
                </w:p>
              </w:tc>
              <w:tc>
                <w:tcPr>
                  <w:tcW w:w="395" w:type="pct"/>
                  <w:noWrap w:val="0"/>
                  <w:vAlign w:val="center"/>
                </w:tcPr>
                <w:p w14:paraId="77588EB2">
                  <w:pPr>
                    <w:adjustRightInd w:val="0"/>
                    <w:snapToGrid w:val="0"/>
                    <w:jc w:val="center"/>
                    <w:rPr>
                      <w:rFonts w:hint="eastAsia"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3个月</w:t>
                  </w:r>
                </w:p>
              </w:tc>
              <w:tc>
                <w:tcPr>
                  <w:tcW w:w="427" w:type="pct"/>
                  <w:noWrap w:val="0"/>
                  <w:vAlign w:val="center"/>
                </w:tcPr>
                <w:p w14:paraId="228D55B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T，I</w:t>
                  </w:r>
                </w:p>
              </w:tc>
              <w:tc>
                <w:tcPr>
                  <w:tcW w:w="506" w:type="pct"/>
                  <w:vMerge w:val="continue"/>
                  <w:noWrap w:val="0"/>
                  <w:vAlign w:val="center"/>
                </w:tcPr>
                <w:p w14:paraId="2507CF97">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p>
              </w:tc>
            </w:tr>
            <w:tr w14:paraId="4EBB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 w:type="pct"/>
                  <w:noWrap w:val="0"/>
                  <w:vAlign w:val="center"/>
                </w:tcPr>
                <w:p w14:paraId="4FD4E980">
                  <w:pPr>
                    <w:adjustRightInd w:val="0"/>
                    <w:snapToGrid w:val="0"/>
                    <w:jc w:val="center"/>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4</w:t>
                  </w:r>
                </w:p>
              </w:tc>
              <w:tc>
                <w:tcPr>
                  <w:tcW w:w="419" w:type="pct"/>
                  <w:noWrap w:val="0"/>
                  <w:vAlign w:val="center"/>
                </w:tcPr>
                <w:p w14:paraId="1C90E2A4">
                  <w:pPr>
                    <w:keepNext w:val="0"/>
                    <w:keepLines w:val="0"/>
                    <w:pageBreakBefore w:val="0"/>
                    <w:widowControl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Cs/>
                      <w:color w:val="auto"/>
                      <w:kern w:val="2"/>
                      <w:sz w:val="21"/>
                      <w:szCs w:val="21"/>
                      <w:lang w:val="en-US" w:eastAsia="zh-CN" w:bidi="ar-SA"/>
                    </w:rPr>
                    <w:t>废弃含油抹布、劳保用品</w:t>
                  </w:r>
                </w:p>
              </w:tc>
              <w:tc>
                <w:tcPr>
                  <w:tcW w:w="546" w:type="pct"/>
                  <w:noWrap w:val="0"/>
                  <w:vAlign w:val="center"/>
                </w:tcPr>
                <w:p w14:paraId="1094F9F6">
                  <w:pPr>
                    <w:adjustRightInd w:val="0"/>
                    <w:snapToGrid w:val="0"/>
                    <w:jc w:val="center"/>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snapToGrid/>
                      <w:color w:val="auto"/>
                      <w:spacing w:val="0"/>
                      <w:kern w:val="0"/>
                      <w:position w:val="0"/>
                      <w:sz w:val="21"/>
                      <w:szCs w:val="21"/>
                      <w:lang w:val="en-US" w:eastAsia="zh-CN"/>
                    </w:rPr>
                    <w:t>HW49</w:t>
                  </w:r>
                  <w:r>
                    <w:rPr>
                      <w:rFonts w:hint="eastAsia" w:ascii="宋体" w:hAnsi="宋体"/>
                      <w:color w:val="auto"/>
                      <w:kern w:val="0"/>
                      <w:szCs w:val="21"/>
                    </w:rPr>
                    <w:t>其他废物</w:t>
                  </w:r>
                </w:p>
              </w:tc>
              <w:tc>
                <w:tcPr>
                  <w:tcW w:w="730" w:type="pct"/>
                  <w:noWrap w:val="0"/>
                  <w:vAlign w:val="center"/>
                </w:tcPr>
                <w:p w14:paraId="4229E33E">
                  <w:pPr>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900-041-49</w:t>
                  </w:r>
                </w:p>
              </w:tc>
              <w:tc>
                <w:tcPr>
                  <w:tcW w:w="515" w:type="pct"/>
                  <w:noWrap w:val="0"/>
                  <w:vAlign w:val="center"/>
                </w:tcPr>
                <w:p w14:paraId="743B27F0">
                  <w:pPr>
                    <w:keepNext w:val="0"/>
                    <w:keepLines w:val="0"/>
                    <w:pageBreakBefore w:val="0"/>
                    <w:widowControl w:val="0"/>
                    <w:kinsoku/>
                    <w:wordWrap/>
                    <w:overflowPunct/>
                    <w:topLinePunct w:val="0"/>
                    <w:autoSpaceDE/>
                    <w:autoSpaceDN/>
                    <w:bidi w:val="0"/>
                    <w:spacing w:beforeAutospacing="0" w:afterAutospacing="0" w:line="240" w:lineRule="auto"/>
                    <w:ind w:firstLine="0" w:firstLineChars="0"/>
                    <w:jc w:val="center"/>
                    <w:textAlignment w:val="auto"/>
                    <w:rPr>
                      <w:rFonts w:hint="eastAsia" w:cs="Times New Roman"/>
                      <w:snapToGrid/>
                      <w:color w:val="auto"/>
                      <w:spacing w:val="0"/>
                      <w:kern w:val="0"/>
                      <w:position w:val="0"/>
                      <w:sz w:val="21"/>
                      <w:szCs w:val="21"/>
                      <w:lang w:val="en-US" w:eastAsia="zh-CN"/>
                    </w:rPr>
                  </w:pPr>
                  <w:r>
                    <w:rPr>
                      <w:rFonts w:hint="eastAsia" w:cs="Times New Roman"/>
                      <w:color w:val="auto"/>
                      <w:kern w:val="0"/>
                      <w:sz w:val="21"/>
                      <w:szCs w:val="21"/>
                      <w:lang w:val="en-US" w:eastAsia="zh-CN"/>
                    </w:rPr>
                    <w:t>0.05</w:t>
                  </w:r>
                </w:p>
              </w:tc>
              <w:tc>
                <w:tcPr>
                  <w:tcW w:w="488" w:type="pct"/>
                  <w:noWrap w:val="0"/>
                  <w:vAlign w:val="center"/>
                </w:tcPr>
                <w:p w14:paraId="7AB9CFC9">
                  <w:pPr>
                    <w:keepNext w:val="0"/>
                    <w:keepLines w:val="0"/>
                    <w:pageBreakBefore w:val="0"/>
                    <w:widowControl w:val="0"/>
                    <w:kinsoku/>
                    <w:wordWrap/>
                    <w:overflowPunct/>
                    <w:topLinePunct w:val="0"/>
                    <w:autoSpaceDE/>
                    <w:autoSpaceDN/>
                    <w:bidi w:val="0"/>
                    <w:spacing w:beforeAutospacing="0" w:afterAutospacing="0" w:line="240" w:lineRule="auto"/>
                    <w:ind w:firstLine="0" w:firstLineChars="0"/>
                    <w:jc w:val="center"/>
                    <w:textAlignment w:val="auto"/>
                    <w:rPr>
                      <w:rFonts w:hint="eastAsia" w:cs="Times New Roman"/>
                      <w:color w:val="auto"/>
                      <w:sz w:val="21"/>
                      <w:szCs w:val="21"/>
                      <w:lang w:val="en-US" w:eastAsia="zh-CN"/>
                    </w:rPr>
                  </w:pPr>
                  <w:r>
                    <w:rPr>
                      <w:rFonts w:hint="eastAsia" w:cs="Times New Roman"/>
                      <w:color w:val="auto"/>
                      <w:spacing w:val="0"/>
                      <w:sz w:val="21"/>
                      <w:szCs w:val="21"/>
                      <w:lang w:val="en-US" w:eastAsia="zh-CN"/>
                    </w:rPr>
                    <w:t>员工生产</w:t>
                  </w:r>
                </w:p>
              </w:tc>
              <w:tc>
                <w:tcPr>
                  <w:tcW w:w="259" w:type="pct"/>
                  <w:noWrap w:val="0"/>
                  <w:vAlign w:val="center"/>
                </w:tcPr>
                <w:p w14:paraId="20F0B41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color w:val="auto"/>
                      <w:sz w:val="21"/>
                      <w:szCs w:val="21"/>
                      <w:lang w:val="en-US" w:eastAsia="zh-CN"/>
                    </w:rPr>
                    <w:t>固态</w:t>
                  </w:r>
                </w:p>
              </w:tc>
              <w:tc>
                <w:tcPr>
                  <w:tcW w:w="452" w:type="pct"/>
                  <w:noWrap w:val="0"/>
                  <w:vAlign w:val="center"/>
                </w:tcPr>
                <w:p w14:paraId="52FE422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cs="Times New Roman"/>
                      <w:bCs/>
                      <w:snapToGrid/>
                      <w:color w:val="auto"/>
                      <w:spacing w:val="0"/>
                      <w:kern w:val="0"/>
                      <w:position w:val="0"/>
                      <w:sz w:val="21"/>
                      <w:szCs w:val="21"/>
                      <w:lang w:val="en-US" w:eastAsia="zh-CN"/>
                    </w:rPr>
                  </w:pPr>
                  <w:r>
                    <w:rPr>
                      <w:rFonts w:hint="eastAsia" w:cs="Times New Roman"/>
                      <w:bCs/>
                      <w:color w:val="auto"/>
                      <w:kern w:val="2"/>
                      <w:sz w:val="21"/>
                      <w:szCs w:val="21"/>
                      <w:lang w:val="en-US" w:eastAsia="zh-CN" w:bidi="ar-SA"/>
                    </w:rPr>
                    <w:t>含油抹布、劳保用品</w:t>
                  </w:r>
                </w:p>
              </w:tc>
              <w:tc>
                <w:tcPr>
                  <w:tcW w:w="395" w:type="pct"/>
                  <w:noWrap w:val="0"/>
                  <w:vAlign w:val="center"/>
                </w:tcPr>
                <w:p w14:paraId="61696CF1">
                  <w:pPr>
                    <w:adjustRightInd w:val="0"/>
                    <w:snapToGrid w:val="0"/>
                    <w:jc w:val="center"/>
                    <w:rPr>
                      <w:rFonts w:hint="eastAsia" w:cs="Times New Roman"/>
                      <w:snapToGrid/>
                      <w:color w:val="auto"/>
                      <w:spacing w:val="0"/>
                      <w:kern w:val="0"/>
                      <w:position w:val="0"/>
                      <w:sz w:val="21"/>
                      <w:szCs w:val="21"/>
                      <w:lang w:val="en-US" w:eastAsia="zh-CN"/>
                    </w:rPr>
                  </w:pPr>
                  <w:r>
                    <w:rPr>
                      <w:rFonts w:hint="default" w:ascii="Times New Roman" w:hAnsi="Times New Roman" w:eastAsia="宋体" w:cs="Times New Roman"/>
                      <w:color w:val="auto"/>
                      <w:sz w:val="21"/>
                      <w:szCs w:val="21"/>
                      <w:lang w:val="en-US" w:eastAsia="zh-CN"/>
                    </w:rPr>
                    <w:t>1天</w:t>
                  </w:r>
                </w:p>
              </w:tc>
              <w:tc>
                <w:tcPr>
                  <w:tcW w:w="427" w:type="pct"/>
                  <w:noWrap w:val="0"/>
                  <w:vAlign w:val="center"/>
                </w:tcPr>
                <w:p w14:paraId="39DCC75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default" w:ascii="Times New Roman" w:hAnsi="Times New Roman" w:eastAsia="宋体" w:cs="Times New Roman"/>
                      <w:snapToGrid/>
                      <w:color w:val="auto"/>
                      <w:spacing w:val="0"/>
                      <w:kern w:val="0"/>
                      <w:position w:val="0"/>
                      <w:sz w:val="21"/>
                      <w:szCs w:val="21"/>
                      <w:lang w:val="en-US" w:eastAsia="zh-CN"/>
                    </w:rPr>
                  </w:pPr>
                  <w:r>
                    <w:rPr>
                      <w:rFonts w:hint="default" w:ascii="Times New Roman" w:hAnsi="Times New Roman" w:eastAsia="宋体" w:cs="Times New Roman"/>
                      <w:color w:val="auto"/>
                      <w:sz w:val="21"/>
                      <w:szCs w:val="21"/>
                      <w:lang w:val="en-US" w:eastAsia="zh-CN"/>
                    </w:rPr>
                    <w:t>T/In</w:t>
                  </w:r>
                </w:p>
              </w:tc>
              <w:tc>
                <w:tcPr>
                  <w:tcW w:w="506" w:type="pct"/>
                  <w:vMerge w:val="continue"/>
                  <w:noWrap w:val="0"/>
                  <w:vAlign w:val="center"/>
                </w:tcPr>
                <w:p w14:paraId="21F62593">
                  <w:pPr>
                    <w:adjustRightInd w:val="0"/>
                    <w:snapToGrid w:val="0"/>
                    <w:jc w:val="center"/>
                    <w:rPr>
                      <w:rFonts w:hint="default" w:ascii="Times New Roman" w:hAnsi="Times New Roman" w:eastAsia="宋体" w:cs="Times New Roman"/>
                      <w:snapToGrid/>
                      <w:color w:val="auto"/>
                      <w:spacing w:val="0"/>
                      <w:kern w:val="0"/>
                      <w:position w:val="0"/>
                      <w:sz w:val="21"/>
                      <w:szCs w:val="21"/>
                      <w:lang w:eastAsia="zh-CN"/>
                    </w:rPr>
                  </w:pPr>
                </w:p>
              </w:tc>
            </w:tr>
          </w:tbl>
          <w:p w14:paraId="3690417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textAlignment w:val="auto"/>
              <w:rPr>
                <w:rFonts w:hint="eastAsia"/>
                <w:b/>
                <w:bCs/>
                <w:snapToGrid/>
                <w:color w:val="auto"/>
                <w:spacing w:val="0"/>
                <w:kern w:val="0"/>
                <w:position w:val="0"/>
                <w:sz w:val="24"/>
                <w:szCs w:val="24"/>
                <w:lang w:val="en-US" w:eastAsia="zh-CN"/>
              </w:rPr>
            </w:pPr>
            <w:r>
              <w:rPr>
                <w:rFonts w:hint="eastAsia"/>
                <w:b/>
                <w:bCs/>
                <w:snapToGrid/>
                <w:color w:val="auto"/>
                <w:spacing w:val="0"/>
                <w:kern w:val="0"/>
                <w:position w:val="0"/>
                <w:sz w:val="24"/>
                <w:szCs w:val="24"/>
                <w:lang w:val="en-US" w:eastAsia="zh-CN"/>
              </w:rPr>
              <w:t>环境管理要求：</w:t>
            </w:r>
          </w:p>
          <w:p w14:paraId="464882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snapToGrid/>
                <w:color w:val="auto"/>
                <w:spacing w:val="0"/>
                <w:kern w:val="0"/>
                <w:position w:val="0"/>
                <w:sz w:val="24"/>
                <w:szCs w:val="24"/>
              </w:rPr>
            </w:pPr>
            <w:r>
              <w:rPr>
                <w:snapToGrid/>
                <w:color w:val="auto"/>
                <w:spacing w:val="0"/>
                <w:kern w:val="0"/>
                <w:position w:val="0"/>
                <w:sz w:val="24"/>
                <w:szCs w:val="24"/>
              </w:rPr>
              <w:t>本项目产生的</w:t>
            </w:r>
            <w:r>
              <w:rPr>
                <w:rFonts w:hint="eastAsia" w:ascii="Times New Roman" w:hAnsi="Times New Roman" w:eastAsia="宋体" w:cs="Times New Roman"/>
                <w:snapToGrid/>
                <w:color w:val="auto"/>
                <w:spacing w:val="0"/>
                <w:kern w:val="0"/>
                <w:position w:val="0"/>
                <w:sz w:val="24"/>
                <w:szCs w:val="24"/>
                <w:lang w:eastAsia="zh-CN"/>
              </w:rPr>
              <w:t>一般工业固体废物</w:t>
            </w:r>
            <w:r>
              <w:rPr>
                <w:rFonts w:hint="eastAsia" w:cs="Times New Roman"/>
                <w:snapToGrid/>
                <w:color w:val="auto"/>
                <w:spacing w:val="0"/>
                <w:kern w:val="0"/>
                <w:position w:val="0"/>
                <w:sz w:val="24"/>
                <w:szCs w:val="24"/>
                <w:lang w:eastAsia="zh-CN"/>
              </w:rPr>
              <w:t>，</w:t>
            </w:r>
            <w:r>
              <w:rPr>
                <w:rFonts w:hint="eastAsia" w:ascii="Times New Roman" w:hAnsi="Times New Roman" w:cs="Times New Roman"/>
                <w:b w:val="0"/>
                <w:bCs w:val="0"/>
                <w:color w:val="auto"/>
                <w:sz w:val="24"/>
                <w:szCs w:val="24"/>
                <w:lang w:val="en-US" w:eastAsia="zh-CN"/>
              </w:rPr>
              <w:t>废包装袋</w:t>
            </w:r>
            <w:r>
              <w:rPr>
                <w:rFonts w:hint="eastAsia" w:cs="Times New Roman"/>
                <w:b w:val="0"/>
                <w:bCs w:val="0"/>
                <w:color w:val="auto"/>
                <w:sz w:val="24"/>
                <w:szCs w:val="24"/>
                <w:highlight w:val="none"/>
                <w:lang w:val="en-US" w:eastAsia="zh-CN"/>
              </w:rPr>
              <w:t>、</w:t>
            </w:r>
            <w:r>
              <w:rPr>
                <w:rFonts w:hint="eastAsia" w:ascii="Times New Roman" w:hAnsi="Times New Roman" w:cs="Times New Roman"/>
                <w:b w:val="0"/>
                <w:bCs w:val="0"/>
                <w:color w:val="auto"/>
                <w:sz w:val="24"/>
                <w:szCs w:val="24"/>
                <w:lang w:val="en-US" w:eastAsia="zh-CN"/>
              </w:rPr>
              <w:t>回收粘结剂、</w:t>
            </w:r>
            <w:r>
              <w:rPr>
                <w:rFonts w:hint="default" w:ascii="Times New Roman" w:hAnsi="Times New Roman" w:eastAsia="宋体" w:cs="Times New Roman"/>
                <w:b w:val="0"/>
                <w:bCs w:val="0"/>
                <w:color w:val="auto"/>
                <w:sz w:val="24"/>
                <w:szCs w:val="24"/>
                <w:lang w:val="en-US" w:eastAsia="zh-CN"/>
              </w:rPr>
              <w:t>废包装材料</w:t>
            </w:r>
            <w:r>
              <w:rPr>
                <w:rFonts w:hint="default" w:ascii="Times New Roman" w:hAnsi="Times New Roman" w:cs="Times New Roman"/>
                <w:b w:val="0"/>
                <w:bCs w:val="0"/>
                <w:color w:val="auto"/>
                <w:sz w:val="24"/>
                <w:szCs w:val="24"/>
                <w:highlight w:val="none"/>
                <w:lang w:val="en-US" w:eastAsia="zh-CN"/>
              </w:rPr>
              <w:t>统一收集后由资源利用单位回收利用</w:t>
            </w:r>
            <w:r>
              <w:rPr>
                <w:rFonts w:hint="eastAsia" w:cs="Times New Roman"/>
                <w:b w:val="0"/>
                <w:bCs w:val="0"/>
                <w:color w:val="auto"/>
                <w:sz w:val="24"/>
                <w:szCs w:val="24"/>
                <w:highlight w:val="none"/>
                <w:lang w:val="en-US" w:eastAsia="zh-CN"/>
              </w:rPr>
              <w:t>，</w:t>
            </w:r>
            <w:r>
              <w:rPr>
                <w:rFonts w:hint="eastAsia" w:cs="Times New Roman"/>
                <w:b w:val="0"/>
                <w:bCs w:val="0"/>
                <w:snapToGrid/>
                <w:color w:val="auto"/>
                <w:spacing w:val="0"/>
                <w:kern w:val="0"/>
                <w:position w:val="0"/>
                <w:sz w:val="24"/>
                <w:szCs w:val="24"/>
                <w:highlight w:val="none"/>
                <w:lang w:val="en-US" w:eastAsia="zh-CN"/>
              </w:rPr>
              <w:t>除尘器收集颗粒物</w:t>
            </w:r>
            <w:r>
              <w:rPr>
                <w:rFonts w:hint="default" w:ascii="Times New Roman" w:hAnsi="Times New Roman" w:eastAsia="宋体" w:cs="Times New Roman"/>
                <w:b w:val="0"/>
                <w:bCs w:val="0"/>
                <w:color w:val="auto"/>
                <w:sz w:val="24"/>
                <w:szCs w:val="24"/>
                <w:lang w:val="en-US" w:eastAsia="zh-CN"/>
              </w:rPr>
              <w:t>统一收集后回用于生产</w:t>
            </w:r>
            <w:r>
              <w:rPr>
                <w:rFonts w:hint="eastAsia"/>
                <w:snapToGrid/>
                <w:color w:val="auto"/>
                <w:spacing w:val="0"/>
                <w:kern w:val="0"/>
                <w:position w:val="0"/>
                <w:sz w:val="24"/>
                <w:lang w:val="en-US" w:eastAsia="zh-CN"/>
              </w:rPr>
              <w:t>；</w:t>
            </w:r>
            <w:r>
              <w:rPr>
                <w:rFonts w:hint="default" w:ascii="Times New Roman" w:hAnsi="Times New Roman" w:eastAsia="宋体" w:cs="Times New Roman"/>
                <w:b w:val="0"/>
                <w:bCs w:val="0"/>
                <w:color w:val="auto"/>
                <w:sz w:val="24"/>
                <w:szCs w:val="24"/>
                <w:lang w:val="en-US" w:eastAsia="zh-CN"/>
              </w:rPr>
              <w:t>废活性炭</w:t>
            </w:r>
            <w:r>
              <w:rPr>
                <w:rFonts w:hint="eastAsia" w:cs="Times New Roman"/>
                <w:b w:val="0"/>
                <w:bCs w:val="0"/>
                <w:color w:val="auto"/>
                <w:sz w:val="24"/>
                <w:szCs w:val="24"/>
                <w:highlight w:val="none"/>
                <w:lang w:val="en-US" w:eastAsia="zh-CN"/>
              </w:rPr>
              <w:t>、废机油、废镍催化剂、废弃含油抹布、劳保用品</w:t>
            </w:r>
            <w:r>
              <w:rPr>
                <w:rFonts w:hint="default" w:ascii="Times New Roman" w:hAnsi="Times New Roman" w:cs="Times New Roman"/>
                <w:b w:val="0"/>
                <w:bCs w:val="0"/>
                <w:snapToGrid/>
                <w:color w:val="auto"/>
                <w:spacing w:val="0"/>
                <w:kern w:val="0"/>
                <w:position w:val="0"/>
                <w:sz w:val="24"/>
                <w:lang w:val="en-US" w:eastAsia="zh-CN"/>
              </w:rPr>
              <w:t>于厂内危废暂存间暂存后委托有资质单位妥善处置</w:t>
            </w:r>
            <w:r>
              <w:rPr>
                <w:rFonts w:hint="eastAsia" w:cs="Times New Roman"/>
                <w:b w:val="0"/>
                <w:bCs w:val="0"/>
                <w:snapToGrid/>
                <w:color w:val="auto"/>
                <w:spacing w:val="0"/>
                <w:kern w:val="0"/>
                <w:position w:val="0"/>
                <w:sz w:val="24"/>
                <w:lang w:val="en-US" w:eastAsia="zh-CN"/>
              </w:rPr>
              <w:t>；</w:t>
            </w:r>
            <w:r>
              <w:rPr>
                <w:rFonts w:hint="eastAsia"/>
                <w:snapToGrid/>
                <w:color w:val="auto"/>
                <w:spacing w:val="0"/>
                <w:kern w:val="0"/>
                <w:position w:val="0"/>
                <w:sz w:val="24"/>
                <w:szCs w:val="24"/>
              </w:rPr>
              <w:t>生活垃圾委托环卫部门统一处理</w:t>
            </w:r>
            <w:r>
              <w:rPr>
                <w:snapToGrid/>
                <w:color w:val="auto"/>
                <w:spacing w:val="0"/>
                <w:kern w:val="0"/>
                <w:position w:val="0"/>
                <w:sz w:val="24"/>
                <w:szCs w:val="24"/>
              </w:rPr>
              <w:t>。</w:t>
            </w:r>
          </w:p>
          <w:p w14:paraId="58A85991">
            <w:pPr>
              <w:adjustRightInd w:val="0"/>
              <w:snapToGrid w:val="0"/>
              <w:spacing w:line="360" w:lineRule="auto"/>
              <w:ind w:firstLine="482" w:firstLineChars="200"/>
              <w:rPr>
                <w:b/>
                <w:color w:val="auto"/>
                <w:sz w:val="24"/>
                <w:highlight w:val="none"/>
              </w:rPr>
            </w:pPr>
            <w:r>
              <w:rPr>
                <w:b/>
                <w:color w:val="auto"/>
                <w:sz w:val="24"/>
                <w:highlight w:val="none"/>
              </w:rPr>
              <w:t>A、生活垃圾</w:t>
            </w:r>
          </w:p>
          <w:p w14:paraId="32EDE3C5">
            <w:pPr>
              <w:pStyle w:val="12"/>
              <w:spacing w:before="0" w:after="0" w:line="360" w:lineRule="auto"/>
              <w:ind w:right="0" w:firstLine="480" w:firstLineChars="200"/>
              <w:rPr>
                <w:color w:val="auto"/>
                <w:sz w:val="24"/>
                <w:szCs w:val="28"/>
                <w:highlight w:val="none"/>
              </w:rPr>
            </w:pPr>
            <w:r>
              <w:rPr>
                <w:color w:val="auto"/>
                <w:sz w:val="24"/>
                <w:szCs w:val="28"/>
                <w:highlight w:val="none"/>
              </w:rPr>
              <w:t>生活垃圾分类收集后定期由环卫部门清运处置。</w:t>
            </w:r>
          </w:p>
          <w:p w14:paraId="74F70FFE">
            <w:pPr>
              <w:adjustRightInd w:val="0"/>
              <w:snapToGrid w:val="0"/>
              <w:spacing w:line="360" w:lineRule="auto"/>
              <w:ind w:firstLine="482" w:firstLineChars="200"/>
              <w:rPr>
                <w:b/>
                <w:color w:val="auto"/>
                <w:sz w:val="24"/>
                <w:highlight w:val="none"/>
              </w:rPr>
            </w:pPr>
            <w:r>
              <w:rPr>
                <w:b/>
                <w:color w:val="auto"/>
                <w:sz w:val="24"/>
                <w:highlight w:val="none"/>
              </w:rPr>
              <w:t>B、一般固废要求</w:t>
            </w:r>
          </w:p>
          <w:p w14:paraId="000895D1">
            <w:pPr>
              <w:adjustRightInd w:val="0"/>
              <w:snapToGrid w:val="0"/>
              <w:spacing w:line="360" w:lineRule="auto"/>
              <w:ind w:firstLine="480" w:firstLineChars="200"/>
              <w:rPr>
                <w:color w:val="auto"/>
                <w:sz w:val="24"/>
                <w:highlight w:val="none"/>
              </w:rPr>
            </w:pPr>
            <w:r>
              <w:rPr>
                <w:color w:val="auto"/>
                <w:sz w:val="24"/>
                <w:highlight w:val="none"/>
              </w:rPr>
              <w:t>一般工业固废的暂存场所应按照《一般工业固体废物贮存和填埋污染控制标准》(GB18599-2020</w:t>
            </w:r>
            <w:r>
              <w:rPr>
                <w:rFonts w:hint="eastAsia"/>
                <w:color w:val="auto"/>
                <w:sz w:val="24"/>
                <w:highlight w:val="none"/>
                <w:lang w:eastAsia="zh-CN"/>
              </w:rPr>
              <w:t>）</w:t>
            </w:r>
            <w:r>
              <w:rPr>
                <w:color w:val="auto"/>
                <w:sz w:val="24"/>
                <w:highlight w:val="none"/>
              </w:rPr>
              <w:t>要求建设。</w:t>
            </w:r>
          </w:p>
          <w:p w14:paraId="6CC19041">
            <w:pPr>
              <w:adjustRightInd w:val="0"/>
              <w:snapToGrid w:val="0"/>
              <w:spacing w:line="360" w:lineRule="auto"/>
              <w:ind w:firstLine="480" w:firstLineChars="200"/>
              <w:rPr>
                <w:color w:val="auto"/>
                <w:sz w:val="24"/>
                <w:highlight w:val="none"/>
              </w:rPr>
            </w:pPr>
            <w:r>
              <w:rPr>
                <w:color w:val="auto"/>
                <w:sz w:val="24"/>
                <w:highlight w:val="none"/>
              </w:rPr>
              <w:t>①贮存、处置场的建设类型，必须与将要堆放的一般工业固体废物的类别相一致；</w:t>
            </w:r>
          </w:p>
          <w:p w14:paraId="166F2F27">
            <w:pPr>
              <w:adjustRightInd w:val="0"/>
              <w:snapToGrid w:val="0"/>
              <w:spacing w:line="360" w:lineRule="auto"/>
              <w:ind w:firstLine="480" w:firstLineChars="200"/>
              <w:rPr>
                <w:color w:val="auto"/>
                <w:sz w:val="24"/>
                <w:highlight w:val="none"/>
              </w:rPr>
            </w:pPr>
            <w:r>
              <w:rPr>
                <w:color w:val="auto"/>
                <w:sz w:val="24"/>
                <w:highlight w:val="none"/>
              </w:rPr>
              <w:t>②贮存、处置场应采取防止</w:t>
            </w:r>
            <w:r>
              <w:rPr>
                <w:rFonts w:hint="eastAsia"/>
                <w:color w:val="auto"/>
                <w:sz w:val="24"/>
                <w:highlight w:val="none"/>
              </w:rPr>
              <w:t>颗粒物</w:t>
            </w:r>
            <w:r>
              <w:rPr>
                <w:color w:val="auto"/>
                <w:sz w:val="24"/>
                <w:highlight w:val="none"/>
              </w:rPr>
              <w:t>污染的措施；</w:t>
            </w:r>
          </w:p>
          <w:p w14:paraId="63D245B2">
            <w:pPr>
              <w:adjustRightInd w:val="0"/>
              <w:snapToGrid w:val="0"/>
              <w:spacing w:line="360" w:lineRule="auto"/>
              <w:ind w:firstLine="480" w:firstLineChars="200"/>
              <w:rPr>
                <w:color w:val="auto"/>
                <w:sz w:val="24"/>
                <w:highlight w:val="none"/>
              </w:rPr>
            </w:pPr>
            <w:r>
              <w:rPr>
                <w:color w:val="auto"/>
                <w:sz w:val="24"/>
                <w:highlight w:val="none"/>
              </w:rPr>
              <w:t>③为加强监督管理，贮存、处置场应按GB15562.2 设置环境保护图形标志；</w:t>
            </w:r>
          </w:p>
          <w:p w14:paraId="4444F346">
            <w:pPr>
              <w:adjustRightInd w:val="0"/>
              <w:snapToGrid w:val="0"/>
              <w:spacing w:line="360" w:lineRule="auto"/>
              <w:ind w:firstLine="480" w:firstLineChars="200"/>
              <w:rPr>
                <w:color w:val="auto"/>
                <w:sz w:val="24"/>
                <w:highlight w:val="none"/>
              </w:rPr>
            </w:pPr>
            <w:r>
              <w:rPr>
                <w:color w:val="auto"/>
                <w:sz w:val="24"/>
                <w:highlight w:val="none"/>
              </w:rPr>
              <w:t>④一般工业固体废物贮存、处置场禁止危险废物和生活垃圾混入；</w:t>
            </w:r>
          </w:p>
          <w:p w14:paraId="5A0E5AE0">
            <w:pPr>
              <w:adjustRightInd w:val="0"/>
              <w:snapToGrid w:val="0"/>
              <w:spacing w:line="360" w:lineRule="auto"/>
              <w:ind w:firstLine="480" w:firstLineChars="200"/>
              <w:rPr>
                <w:color w:val="auto"/>
                <w:sz w:val="24"/>
                <w:highlight w:val="none"/>
              </w:rPr>
            </w:pPr>
            <w:r>
              <w:rPr>
                <w:color w:val="auto"/>
                <w:sz w:val="24"/>
                <w:highlight w:val="none"/>
              </w:rPr>
              <w:t>⑤贮存、处置</w:t>
            </w:r>
            <w:r>
              <w:rPr>
                <w:rFonts w:hint="eastAsia"/>
                <w:color w:val="auto"/>
                <w:sz w:val="24"/>
                <w:highlight w:val="none"/>
                <w:lang w:eastAsia="zh-CN"/>
              </w:rPr>
              <w:t>场地</w:t>
            </w:r>
            <w:r>
              <w:rPr>
                <w:color w:val="auto"/>
                <w:sz w:val="24"/>
                <w:highlight w:val="none"/>
              </w:rPr>
              <w:t>使用单位，应建立档案制度。应将入场的一般工业固体废物的种类和数量等资料详细记录在案，长期保存，供随时查阅。</w:t>
            </w:r>
          </w:p>
          <w:p w14:paraId="0342D7CF">
            <w:pPr>
              <w:pStyle w:val="43"/>
              <w:kinsoku w:val="0"/>
              <w:overflowPunct w:val="0"/>
              <w:spacing w:line="360" w:lineRule="auto"/>
              <w:ind w:firstLine="482" w:firstLineChars="200"/>
              <w:rPr>
                <w:rFonts w:ascii="Times New Roman" w:hAnsi="Times New Roman"/>
                <w:b/>
                <w:bCs/>
                <w:color w:val="auto"/>
                <w:sz w:val="24"/>
                <w:highlight w:val="none"/>
                <w:lang w:eastAsia="zh-CN"/>
              </w:rPr>
            </w:pPr>
            <w:r>
              <w:rPr>
                <w:rFonts w:ascii="Times New Roman" w:hAnsi="Times New Roman"/>
                <w:b/>
                <w:bCs/>
                <w:color w:val="auto"/>
                <w:sz w:val="24"/>
                <w:highlight w:val="none"/>
                <w:lang w:eastAsia="zh-CN"/>
              </w:rPr>
              <w:t>一般固废</w:t>
            </w:r>
            <w:r>
              <w:rPr>
                <w:rFonts w:hint="eastAsia" w:ascii="Times New Roman" w:hAnsi="Times New Roman"/>
                <w:b/>
                <w:bCs/>
                <w:color w:val="auto"/>
                <w:sz w:val="24"/>
                <w:highlight w:val="none"/>
                <w:lang w:val="en-US" w:eastAsia="zh-CN"/>
              </w:rPr>
              <w:t>存放场所</w:t>
            </w:r>
            <w:r>
              <w:rPr>
                <w:rFonts w:ascii="Times New Roman" w:hAnsi="Times New Roman"/>
                <w:b/>
                <w:bCs/>
                <w:color w:val="auto"/>
                <w:sz w:val="24"/>
                <w:highlight w:val="none"/>
                <w:lang w:eastAsia="zh-CN"/>
              </w:rPr>
              <w:t>设置合理性分析：</w:t>
            </w:r>
          </w:p>
          <w:p w14:paraId="6AEBE0B7">
            <w:pPr>
              <w:pStyle w:val="43"/>
              <w:kinsoku w:val="0"/>
              <w:overflowPunct w:val="0"/>
              <w:spacing w:line="360" w:lineRule="auto"/>
              <w:ind w:firstLine="419"/>
              <w:rPr>
                <w:rFonts w:ascii="Times New Roman" w:hAnsi="Times New Roman"/>
                <w:color w:val="auto"/>
                <w:sz w:val="24"/>
                <w:highlight w:val="none"/>
                <w:lang w:eastAsia="zh-CN"/>
              </w:rPr>
            </w:pPr>
            <w:r>
              <w:rPr>
                <w:rFonts w:ascii="Times New Roman" w:hAnsi="Times New Roman"/>
                <w:color w:val="auto"/>
                <w:sz w:val="24"/>
                <w:highlight w:val="none"/>
                <w:lang w:eastAsia="zh-CN"/>
              </w:rPr>
              <w:t>本项</w:t>
            </w:r>
            <w:r>
              <w:rPr>
                <w:rFonts w:ascii="Times New Roman" w:hAnsi="Times New Roman"/>
                <w:color w:val="auto"/>
                <w:spacing w:val="-3"/>
                <w:sz w:val="24"/>
                <w:highlight w:val="none"/>
                <w:lang w:eastAsia="zh-CN"/>
              </w:rPr>
              <w:t>目</w:t>
            </w:r>
            <w:r>
              <w:rPr>
                <w:rFonts w:ascii="Times New Roman" w:hAnsi="Times New Roman"/>
                <w:color w:val="auto"/>
                <w:spacing w:val="-1"/>
                <w:sz w:val="24"/>
                <w:highlight w:val="none"/>
                <w:lang w:eastAsia="zh-CN"/>
              </w:rPr>
              <w:t>设</w:t>
            </w:r>
            <w:r>
              <w:rPr>
                <w:rFonts w:ascii="Times New Roman" w:hAnsi="Times New Roman"/>
                <w:color w:val="auto"/>
                <w:spacing w:val="-3"/>
                <w:sz w:val="24"/>
                <w:highlight w:val="none"/>
                <w:lang w:eastAsia="zh-CN"/>
              </w:rPr>
              <w:t>置</w:t>
            </w:r>
            <w:r>
              <w:rPr>
                <w:rFonts w:ascii="Times New Roman" w:hAnsi="Times New Roman"/>
                <w:color w:val="auto"/>
                <w:sz w:val="24"/>
                <w:highlight w:val="none"/>
                <w:lang w:eastAsia="zh-CN"/>
              </w:rPr>
              <w:t>固</w:t>
            </w:r>
            <w:r>
              <w:rPr>
                <w:rFonts w:ascii="Times New Roman" w:hAnsi="Times New Roman"/>
                <w:color w:val="auto"/>
                <w:spacing w:val="-3"/>
                <w:sz w:val="24"/>
                <w:highlight w:val="none"/>
                <w:lang w:eastAsia="zh-CN"/>
              </w:rPr>
              <w:t>废</w:t>
            </w:r>
            <w:r>
              <w:rPr>
                <w:rFonts w:ascii="Times New Roman" w:hAnsi="Times New Roman"/>
                <w:color w:val="auto"/>
                <w:sz w:val="24"/>
                <w:highlight w:val="none"/>
                <w:lang w:eastAsia="zh-CN"/>
              </w:rPr>
              <w:t>暂</w:t>
            </w:r>
            <w:r>
              <w:rPr>
                <w:rFonts w:ascii="Times New Roman" w:hAnsi="Times New Roman"/>
                <w:color w:val="auto"/>
                <w:spacing w:val="-3"/>
                <w:sz w:val="24"/>
                <w:highlight w:val="none"/>
                <w:lang w:eastAsia="zh-CN"/>
              </w:rPr>
              <w:t>存</w:t>
            </w:r>
            <w:r>
              <w:rPr>
                <w:rFonts w:ascii="Times New Roman" w:hAnsi="Times New Roman"/>
                <w:color w:val="auto"/>
                <w:sz w:val="24"/>
                <w:highlight w:val="none"/>
                <w:lang w:eastAsia="zh-CN"/>
              </w:rPr>
              <w:t>场</w:t>
            </w:r>
            <w:r>
              <w:rPr>
                <w:rFonts w:ascii="Times New Roman" w:hAnsi="Times New Roman"/>
                <w:color w:val="auto"/>
                <w:spacing w:val="-3"/>
                <w:sz w:val="24"/>
                <w:highlight w:val="none"/>
                <w:lang w:eastAsia="zh-CN"/>
              </w:rPr>
              <w:t>所</w:t>
            </w:r>
            <w:r>
              <w:rPr>
                <w:rFonts w:ascii="Times New Roman" w:hAnsi="Times New Roman"/>
                <w:color w:val="auto"/>
                <w:sz w:val="24"/>
                <w:highlight w:val="none"/>
                <w:lang w:eastAsia="zh-CN"/>
              </w:rPr>
              <w:t>占地</w:t>
            </w:r>
            <w:r>
              <w:rPr>
                <w:rFonts w:ascii="Times New Roman" w:hAnsi="Times New Roman"/>
                <w:color w:val="auto"/>
                <w:spacing w:val="-3"/>
                <w:sz w:val="24"/>
                <w:highlight w:val="none"/>
                <w:lang w:eastAsia="zh-CN"/>
              </w:rPr>
              <w:t>面</w:t>
            </w:r>
            <w:r>
              <w:rPr>
                <w:rFonts w:ascii="Times New Roman" w:hAnsi="Times New Roman"/>
                <w:color w:val="auto"/>
                <w:sz w:val="24"/>
                <w:highlight w:val="none"/>
                <w:lang w:eastAsia="zh-CN"/>
              </w:rPr>
              <w:t>积</w:t>
            </w:r>
            <w:r>
              <w:rPr>
                <w:rFonts w:hint="eastAsia" w:ascii="Times New Roman" w:hAnsi="Times New Roman"/>
                <w:color w:val="auto"/>
                <w:sz w:val="24"/>
                <w:highlight w:val="none"/>
                <w:lang w:val="en-US" w:eastAsia="zh-CN"/>
              </w:rPr>
              <w:t>15</w:t>
            </w:r>
            <w:r>
              <w:rPr>
                <w:rFonts w:ascii="Times New Roman" w:hAnsi="Times New Roman"/>
                <w:color w:val="auto"/>
                <w:spacing w:val="-2"/>
                <w:sz w:val="24"/>
                <w:highlight w:val="none"/>
                <w:lang w:eastAsia="zh-CN"/>
              </w:rPr>
              <w:t>m</w:t>
            </w:r>
            <w:r>
              <w:rPr>
                <w:rFonts w:ascii="Times New Roman" w:hAnsi="Times New Roman"/>
                <w:color w:val="auto"/>
                <w:spacing w:val="-2"/>
                <w:sz w:val="24"/>
                <w:highlight w:val="none"/>
                <w:vertAlign w:val="superscript"/>
                <w:lang w:eastAsia="zh-CN"/>
              </w:rPr>
              <w:t>2</w:t>
            </w:r>
            <w:r>
              <w:rPr>
                <w:rFonts w:ascii="Times New Roman" w:hAnsi="Times New Roman"/>
                <w:color w:val="auto"/>
                <w:spacing w:val="-3"/>
                <w:sz w:val="24"/>
                <w:highlight w:val="none"/>
                <w:lang w:eastAsia="zh-CN"/>
              </w:rPr>
              <w:t>，</w:t>
            </w:r>
            <w:r>
              <w:rPr>
                <w:rFonts w:ascii="Times New Roman" w:hAnsi="Times New Roman"/>
                <w:color w:val="auto"/>
                <w:sz w:val="24"/>
                <w:highlight w:val="none"/>
                <w:lang w:eastAsia="zh-CN"/>
              </w:rPr>
              <w:t>本</w:t>
            </w:r>
            <w:r>
              <w:rPr>
                <w:rFonts w:ascii="Times New Roman" w:hAnsi="Times New Roman"/>
                <w:color w:val="auto"/>
                <w:spacing w:val="-3"/>
                <w:sz w:val="24"/>
                <w:highlight w:val="none"/>
                <w:lang w:eastAsia="zh-CN"/>
              </w:rPr>
              <w:t>项</w:t>
            </w:r>
            <w:r>
              <w:rPr>
                <w:rFonts w:ascii="Times New Roman" w:hAnsi="Times New Roman"/>
                <w:color w:val="auto"/>
                <w:sz w:val="24"/>
                <w:highlight w:val="none"/>
                <w:lang w:eastAsia="zh-CN"/>
              </w:rPr>
              <w:t>目</w:t>
            </w:r>
            <w:r>
              <w:rPr>
                <w:rFonts w:ascii="Times New Roman" w:hAnsi="Times New Roman"/>
                <w:color w:val="auto"/>
                <w:spacing w:val="-3"/>
                <w:sz w:val="24"/>
                <w:highlight w:val="none"/>
                <w:lang w:eastAsia="zh-CN"/>
              </w:rPr>
              <w:t>其</w:t>
            </w:r>
            <w:r>
              <w:rPr>
                <w:rFonts w:ascii="Times New Roman" w:hAnsi="Times New Roman"/>
                <w:color w:val="auto"/>
                <w:sz w:val="24"/>
                <w:highlight w:val="none"/>
                <w:lang w:eastAsia="zh-CN"/>
              </w:rPr>
              <w:t>他</w:t>
            </w:r>
            <w:r>
              <w:rPr>
                <w:rFonts w:ascii="Times New Roman" w:hAnsi="Times New Roman"/>
                <w:color w:val="auto"/>
                <w:spacing w:val="-3"/>
                <w:sz w:val="24"/>
                <w:highlight w:val="none"/>
                <w:lang w:eastAsia="zh-CN"/>
              </w:rPr>
              <w:t>一</w:t>
            </w:r>
            <w:r>
              <w:rPr>
                <w:rFonts w:ascii="Times New Roman" w:hAnsi="Times New Roman"/>
                <w:color w:val="auto"/>
                <w:sz w:val="24"/>
                <w:highlight w:val="none"/>
                <w:lang w:eastAsia="zh-CN"/>
              </w:rPr>
              <w:t>般</w:t>
            </w:r>
            <w:r>
              <w:rPr>
                <w:rFonts w:ascii="Times New Roman" w:hAnsi="Times New Roman"/>
                <w:color w:val="auto"/>
                <w:spacing w:val="-3"/>
                <w:sz w:val="24"/>
                <w:highlight w:val="none"/>
                <w:lang w:eastAsia="zh-CN"/>
              </w:rPr>
              <w:t>固</w:t>
            </w:r>
            <w:r>
              <w:rPr>
                <w:rFonts w:ascii="Times New Roman" w:hAnsi="Times New Roman"/>
                <w:color w:val="auto"/>
                <w:sz w:val="24"/>
                <w:highlight w:val="none"/>
                <w:lang w:eastAsia="zh-CN"/>
              </w:rPr>
              <w:t>废转</w:t>
            </w:r>
            <w:r>
              <w:rPr>
                <w:rFonts w:ascii="Times New Roman" w:hAnsi="Times New Roman"/>
                <w:color w:val="auto"/>
                <w:spacing w:val="-3"/>
                <w:sz w:val="24"/>
                <w:highlight w:val="none"/>
                <w:lang w:eastAsia="zh-CN"/>
              </w:rPr>
              <w:t>运</w:t>
            </w:r>
            <w:r>
              <w:rPr>
                <w:rFonts w:ascii="Times New Roman" w:hAnsi="Times New Roman"/>
                <w:color w:val="auto"/>
                <w:sz w:val="24"/>
                <w:highlight w:val="none"/>
                <w:lang w:eastAsia="zh-CN"/>
              </w:rPr>
              <w:t>及</w:t>
            </w:r>
            <w:r>
              <w:rPr>
                <w:rFonts w:ascii="Times New Roman" w:hAnsi="Times New Roman"/>
                <w:color w:val="auto"/>
                <w:spacing w:val="-3"/>
                <w:sz w:val="24"/>
                <w:highlight w:val="none"/>
                <w:lang w:eastAsia="zh-CN"/>
              </w:rPr>
              <w:t>暂</w:t>
            </w:r>
            <w:r>
              <w:rPr>
                <w:rFonts w:ascii="Times New Roman" w:hAnsi="Times New Roman"/>
                <w:color w:val="auto"/>
                <w:sz w:val="24"/>
                <w:highlight w:val="none"/>
                <w:lang w:eastAsia="zh-CN"/>
              </w:rPr>
              <w:t>存</w:t>
            </w:r>
            <w:r>
              <w:rPr>
                <w:rFonts w:ascii="Times New Roman" w:hAnsi="Times New Roman"/>
                <w:color w:val="auto"/>
                <w:spacing w:val="-3"/>
                <w:sz w:val="24"/>
                <w:highlight w:val="none"/>
                <w:lang w:eastAsia="zh-CN"/>
              </w:rPr>
              <w:t>情</w:t>
            </w:r>
            <w:r>
              <w:rPr>
                <w:rFonts w:ascii="Times New Roman" w:hAnsi="Times New Roman"/>
                <w:color w:val="auto"/>
                <w:sz w:val="24"/>
                <w:highlight w:val="none"/>
                <w:lang w:eastAsia="zh-CN"/>
              </w:rPr>
              <w:t>况</w:t>
            </w:r>
            <w:r>
              <w:rPr>
                <w:rFonts w:ascii="Times New Roman" w:hAnsi="Times New Roman"/>
                <w:color w:val="auto"/>
                <w:spacing w:val="-3"/>
                <w:sz w:val="24"/>
                <w:highlight w:val="none"/>
                <w:lang w:eastAsia="zh-CN"/>
              </w:rPr>
              <w:t>如</w:t>
            </w:r>
            <w:r>
              <w:rPr>
                <w:rFonts w:ascii="Times New Roman" w:hAnsi="Times New Roman"/>
                <w:color w:val="auto"/>
                <w:sz w:val="24"/>
                <w:highlight w:val="none"/>
                <w:lang w:eastAsia="zh-CN"/>
              </w:rPr>
              <w:t>下：</w:t>
            </w:r>
          </w:p>
          <w:p w14:paraId="1D47389F">
            <w:pPr>
              <w:pStyle w:val="43"/>
              <w:kinsoku w:val="0"/>
              <w:overflowPunct w:val="0"/>
              <w:spacing w:line="360" w:lineRule="auto"/>
              <w:ind w:firstLine="419"/>
              <w:rPr>
                <w:rFonts w:ascii="Times New Roman" w:hAnsi="Times New Roman"/>
                <w:color w:val="auto"/>
                <w:sz w:val="24"/>
                <w:highlight w:val="none"/>
                <w:lang w:eastAsia="zh-CN"/>
              </w:rPr>
            </w:pPr>
            <w:r>
              <w:rPr>
                <w:rFonts w:ascii="Times New Roman" w:hAnsi="Times New Roman"/>
                <w:color w:val="auto"/>
                <w:sz w:val="24"/>
                <w:highlight w:val="none"/>
                <w:lang w:eastAsia="zh-CN"/>
              </w:rPr>
              <w:t>本项目建成后，</w:t>
            </w:r>
            <w:r>
              <w:rPr>
                <w:rFonts w:hint="eastAsia" w:ascii="Times New Roman" w:hAnsi="Times New Roman"/>
                <w:color w:val="auto"/>
                <w:sz w:val="24"/>
                <w:highlight w:val="none"/>
                <w:lang w:eastAsia="zh-CN"/>
              </w:rPr>
              <w:t>本项目</w:t>
            </w:r>
            <w:r>
              <w:rPr>
                <w:rFonts w:ascii="Times New Roman" w:hAnsi="Times New Roman"/>
                <w:color w:val="auto"/>
                <w:sz w:val="24"/>
                <w:highlight w:val="none"/>
                <w:lang w:eastAsia="zh-CN"/>
              </w:rPr>
              <w:t>一般固废年产生量</w:t>
            </w:r>
            <w:r>
              <w:rPr>
                <w:rFonts w:hint="eastAsia" w:ascii="Times New Roman" w:hAnsi="Times New Roman"/>
                <w:color w:val="auto"/>
                <w:sz w:val="24"/>
                <w:highlight w:val="none"/>
                <w:lang w:eastAsia="zh-CN"/>
              </w:rPr>
              <w:t>约</w:t>
            </w:r>
            <w:r>
              <w:rPr>
                <w:rFonts w:hint="eastAsia" w:ascii="Times New Roman" w:hAnsi="Times New Roman"/>
                <w:color w:val="auto"/>
                <w:sz w:val="24"/>
                <w:highlight w:val="none"/>
                <w:lang w:val="en-US" w:eastAsia="zh-CN"/>
              </w:rPr>
              <w:t>1.0471</w:t>
            </w:r>
            <w:r>
              <w:rPr>
                <w:rFonts w:ascii="Times New Roman" w:hAnsi="Times New Roman"/>
                <w:color w:val="auto"/>
                <w:sz w:val="24"/>
                <w:highlight w:val="none"/>
                <w:lang w:eastAsia="zh-CN"/>
              </w:rPr>
              <w:t>t/a</w:t>
            </w:r>
            <w:r>
              <w:rPr>
                <w:rFonts w:hint="eastAsia" w:ascii="Times New Roman" w:hAnsi="Times New Roman"/>
                <w:color w:val="auto"/>
                <w:sz w:val="24"/>
                <w:highlight w:val="none"/>
                <w:lang w:eastAsia="zh-CN"/>
              </w:rPr>
              <w:t>，</w:t>
            </w:r>
            <w:r>
              <w:rPr>
                <w:rFonts w:ascii="Times New Roman" w:hAnsi="Times New Roman"/>
                <w:color w:val="auto"/>
                <w:sz w:val="24"/>
                <w:highlight w:val="none"/>
                <w:lang w:eastAsia="zh-CN"/>
              </w:rPr>
              <w:t>全厂一般固废年产生量</w:t>
            </w:r>
            <w:r>
              <w:rPr>
                <w:rFonts w:hint="eastAsia" w:ascii="Times New Roman" w:hAnsi="Times New Roman"/>
                <w:color w:val="auto"/>
                <w:sz w:val="24"/>
                <w:highlight w:val="none"/>
                <w:lang w:eastAsia="zh-CN"/>
              </w:rPr>
              <w:t>约</w:t>
            </w:r>
            <w:r>
              <w:rPr>
                <w:rFonts w:hint="eastAsia" w:ascii="Times New Roman" w:hAnsi="Times New Roman"/>
                <w:color w:val="auto"/>
                <w:sz w:val="24"/>
                <w:highlight w:val="none"/>
                <w:lang w:val="en-US" w:eastAsia="zh-CN"/>
              </w:rPr>
              <w:t>1.7701</w:t>
            </w:r>
            <w:r>
              <w:rPr>
                <w:rFonts w:ascii="Times New Roman" w:hAnsi="Times New Roman"/>
                <w:color w:val="auto"/>
                <w:sz w:val="24"/>
                <w:highlight w:val="none"/>
                <w:lang w:eastAsia="zh-CN"/>
              </w:rPr>
              <w:t>t/a，产废周期为</w:t>
            </w:r>
            <w:r>
              <w:rPr>
                <w:rFonts w:hint="eastAsia" w:ascii="Times New Roman" w:hAnsi="Times New Roman"/>
                <w:color w:val="auto"/>
                <w:sz w:val="24"/>
                <w:highlight w:val="none"/>
                <w:lang w:eastAsia="zh-CN"/>
              </w:rPr>
              <w:t>一个月或是一天</w:t>
            </w:r>
            <w:r>
              <w:rPr>
                <w:rFonts w:ascii="Times New Roman" w:hAnsi="Times New Roman"/>
                <w:color w:val="auto"/>
                <w:sz w:val="24"/>
                <w:highlight w:val="none"/>
                <w:lang w:eastAsia="zh-CN"/>
              </w:rPr>
              <w:t>。企业设置</w:t>
            </w:r>
            <w:r>
              <w:rPr>
                <w:rFonts w:hint="eastAsia" w:ascii="Times New Roman" w:hAnsi="Times New Roman"/>
                <w:color w:val="auto"/>
                <w:spacing w:val="-3"/>
                <w:sz w:val="24"/>
                <w:highlight w:val="none"/>
                <w:lang w:val="en-US" w:eastAsia="zh-CN"/>
              </w:rPr>
              <w:t>15</w:t>
            </w:r>
            <w:r>
              <w:rPr>
                <w:rFonts w:ascii="Times New Roman" w:hAnsi="Times New Roman"/>
                <w:color w:val="auto"/>
                <w:spacing w:val="-4"/>
                <w:sz w:val="24"/>
                <w:highlight w:val="none"/>
                <w:lang w:eastAsia="zh-CN"/>
              </w:rPr>
              <w:t>m</w:t>
            </w:r>
            <w:r>
              <w:rPr>
                <w:rFonts w:ascii="Times New Roman" w:hAnsi="Times New Roman"/>
                <w:color w:val="auto"/>
                <w:spacing w:val="-4"/>
                <w:sz w:val="24"/>
                <w:highlight w:val="none"/>
                <w:vertAlign w:val="superscript"/>
                <w:lang w:eastAsia="zh-CN"/>
              </w:rPr>
              <w:t>2</w:t>
            </w:r>
            <w:r>
              <w:rPr>
                <w:rFonts w:ascii="Times New Roman" w:hAnsi="Times New Roman"/>
                <w:color w:val="auto"/>
                <w:sz w:val="24"/>
                <w:highlight w:val="none"/>
                <w:lang w:eastAsia="zh-CN"/>
              </w:rPr>
              <w:t>固</w:t>
            </w:r>
            <w:r>
              <w:rPr>
                <w:rFonts w:ascii="Times New Roman" w:hAnsi="Times New Roman"/>
                <w:color w:val="auto"/>
                <w:spacing w:val="-3"/>
                <w:sz w:val="24"/>
                <w:highlight w:val="none"/>
                <w:lang w:eastAsia="zh-CN"/>
              </w:rPr>
              <w:t>废</w:t>
            </w:r>
            <w:r>
              <w:rPr>
                <w:rFonts w:ascii="Times New Roman" w:hAnsi="Times New Roman"/>
                <w:color w:val="auto"/>
                <w:sz w:val="24"/>
                <w:highlight w:val="none"/>
                <w:lang w:eastAsia="zh-CN"/>
              </w:rPr>
              <w:t>暂</w:t>
            </w:r>
            <w:r>
              <w:rPr>
                <w:rFonts w:ascii="Times New Roman" w:hAnsi="Times New Roman"/>
                <w:color w:val="auto"/>
                <w:spacing w:val="-3"/>
                <w:sz w:val="24"/>
                <w:highlight w:val="none"/>
                <w:lang w:eastAsia="zh-CN"/>
              </w:rPr>
              <w:t>存</w:t>
            </w:r>
            <w:r>
              <w:rPr>
                <w:rFonts w:ascii="Times New Roman" w:hAnsi="Times New Roman"/>
                <w:color w:val="auto"/>
                <w:sz w:val="24"/>
                <w:highlight w:val="none"/>
                <w:lang w:eastAsia="zh-CN"/>
              </w:rPr>
              <w:t>场</w:t>
            </w:r>
            <w:r>
              <w:rPr>
                <w:rFonts w:ascii="Times New Roman" w:hAnsi="Times New Roman"/>
                <w:color w:val="auto"/>
                <w:spacing w:val="-3"/>
                <w:sz w:val="24"/>
                <w:highlight w:val="none"/>
                <w:lang w:eastAsia="zh-CN"/>
              </w:rPr>
              <w:t>所</w:t>
            </w:r>
            <w:r>
              <w:rPr>
                <w:rFonts w:ascii="Times New Roman" w:hAnsi="Times New Roman"/>
                <w:color w:val="auto"/>
                <w:sz w:val="24"/>
                <w:highlight w:val="none"/>
                <w:lang w:eastAsia="zh-CN"/>
              </w:rPr>
              <w:t>可</w:t>
            </w:r>
            <w:r>
              <w:rPr>
                <w:rFonts w:ascii="Times New Roman" w:hAnsi="Times New Roman"/>
                <w:color w:val="auto"/>
                <w:spacing w:val="-3"/>
                <w:sz w:val="24"/>
                <w:highlight w:val="none"/>
                <w:lang w:eastAsia="zh-CN"/>
              </w:rPr>
              <w:t>以</w:t>
            </w:r>
            <w:r>
              <w:rPr>
                <w:rFonts w:ascii="Times New Roman" w:hAnsi="Times New Roman"/>
                <w:color w:val="auto"/>
                <w:sz w:val="24"/>
                <w:highlight w:val="none"/>
                <w:lang w:eastAsia="zh-CN"/>
              </w:rPr>
              <w:t>满足</w:t>
            </w:r>
            <w:r>
              <w:rPr>
                <w:rFonts w:ascii="Times New Roman" w:hAnsi="Times New Roman"/>
                <w:color w:val="auto"/>
                <w:spacing w:val="-3"/>
                <w:sz w:val="24"/>
                <w:highlight w:val="none"/>
                <w:lang w:eastAsia="zh-CN"/>
              </w:rPr>
              <w:t>贮</w:t>
            </w:r>
            <w:r>
              <w:rPr>
                <w:rFonts w:ascii="Times New Roman" w:hAnsi="Times New Roman"/>
                <w:color w:val="auto"/>
                <w:sz w:val="24"/>
                <w:highlight w:val="none"/>
                <w:lang w:eastAsia="zh-CN"/>
              </w:rPr>
              <w:t>存需</w:t>
            </w:r>
            <w:r>
              <w:rPr>
                <w:rFonts w:ascii="Times New Roman" w:hAnsi="Times New Roman"/>
                <w:color w:val="auto"/>
                <w:spacing w:val="-3"/>
                <w:sz w:val="24"/>
                <w:highlight w:val="none"/>
                <w:lang w:eastAsia="zh-CN"/>
              </w:rPr>
              <w:t>求</w:t>
            </w:r>
            <w:r>
              <w:rPr>
                <w:rFonts w:ascii="Times New Roman" w:hAnsi="Times New Roman"/>
                <w:color w:val="auto"/>
                <w:sz w:val="24"/>
                <w:highlight w:val="none"/>
                <w:lang w:eastAsia="zh-CN"/>
              </w:rPr>
              <w:t>。</w:t>
            </w:r>
            <w:r>
              <w:rPr>
                <w:rFonts w:ascii="Times New Roman" w:hAnsi="Times New Roman"/>
                <w:color w:val="auto"/>
                <w:spacing w:val="-3"/>
                <w:sz w:val="24"/>
                <w:highlight w:val="none"/>
                <w:lang w:eastAsia="zh-CN"/>
              </w:rPr>
              <w:t>因</w:t>
            </w:r>
            <w:r>
              <w:rPr>
                <w:rFonts w:ascii="Times New Roman" w:hAnsi="Times New Roman"/>
                <w:color w:val="auto"/>
                <w:sz w:val="24"/>
                <w:highlight w:val="none"/>
                <w:lang w:eastAsia="zh-CN"/>
              </w:rPr>
              <w:t>此</w:t>
            </w:r>
            <w:r>
              <w:rPr>
                <w:rFonts w:ascii="Times New Roman" w:hAnsi="Times New Roman"/>
                <w:color w:val="auto"/>
                <w:spacing w:val="-1"/>
                <w:sz w:val="24"/>
                <w:highlight w:val="none"/>
                <w:lang w:eastAsia="zh-CN"/>
              </w:rPr>
              <w:t>本</w:t>
            </w:r>
            <w:r>
              <w:rPr>
                <w:rFonts w:ascii="Times New Roman" w:hAnsi="Times New Roman"/>
                <w:color w:val="auto"/>
                <w:sz w:val="24"/>
                <w:highlight w:val="none"/>
                <w:lang w:eastAsia="zh-CN"/>
              </w:rPr>
              <w:t>项</w:t>
            </w:r>
            <w:r>
              <w:rPr>
                <w:rFonts w:ascii="Times New Roman" w:hAnsi="Times New Roman"/>
                <w:color w:val="auto"/>
                <w:spacing w:val="-3"/>
                <w:sz w:val="24"/>
                <w:highlight w:val="none"/>
                <w:lang w:eastAsia="zh-CN"/>
              </w:rPr>
              <w:t>目</w:t>
            </w:r>
            <w:r>
              <w:rPr>
                <w:rFonts w:ascii="Times New Roman" w:hAnsi="Times New Roman"/>
                <w:color w:val="auto"/>
                <w:sz w:val="24"/>
                <w:highlight w:val="none"/>
                <w:lang w:eastAsia="zh-CN"/>
              </w:rPr>
              <w:t>一</w:t>
            </w:r>
            <w:r>
              <w:rPr>
                <w:rFonts w:ascii="Times New Roman" w:hAnsi="Times New Roman"/>
                <w:color w:val="auto"/>
                <w:spacing w:val="-3"/>
                <w:sz w:val="24"/>
                <w:highlight w:val="none"/>
                <w:lang w:eastAsia="zh-CN"/>
              </w:rPr>
              <w:t>般</w:t>
            </w:r>
            <w:r>
              <w:rPr>
                <w:rFonts w:ascii="Times New Roman" w:hAnsi="Times New Roman"/>
                <w:color w:val="auto"/>
                <w:sz w:val="24"/>
                <w:highlight w:val="none"/>
                <w:lang w:eastAsia="zh-CN"/>
              </w:rPr>
              <w:t>固</w:t>
            </w:r>
            <w:r>
              <w:rPr>
                <w:rFonts w:ascii="Times New Roman" w:hAnsi="Times New Roman"/>
                <w:color w:val="auto"/>
                <w:spacing w:val="-3"/>
                <w:sz w:val="24"/>
                <w:highlight w:val="none"/>
                <w:lang w:eastAsia="zh-CN"/>
              </w:rPr>
              <w:t>废</w:t>
            </w:r>
            <w:r>
              <w:rPr>
                <w:rFonts w:ascii="Times New Roman" w:hAnsi="Times New Roman"/>
                <w:color w:val="auto"/>
                <w:spacing w:val="-1"/>
                <w:sz w:val="24"/>
                <w:highlight w:val="none"/>
                <w:lang w:eastAsia="zh-CN"/>
              </w:rPr>
              <w:t>暂</w:t>
            </w:r>
            <w:r>
              <w:rPr>
                <w:rFonts w:ascii="Times New Roman" w:hAnsi="Times New Roman"/>
                <w:color w:val="auto"/>
                <w:spacing w:val="-3"/>
                <w:sz w:val="24"/>
                <w:highlight w:val="none"/>
                <w:lang w:eastAsia="zh-CN"/>
              </w:rPr>
              <w:t>存</w:t>
            </w:r>
            <w:r>
              <w:rPr>
                <w:rFonts w:ascii="Times New Roman" w:hAnsi="Times New Roman"/>
                <w:color w:val="auto"/>
                <w:sz w:val="24"/>
                <w:highlight w:val="none"/>
                <w:lang w:eastAsia="zh-CN"/>
              </w:rPr>
              <w:t>及</w:t>
            </w:r>
            <w:r>
              <w:rPr>
                <w:rFonts w:ascii="Times New Roman" w:hAnsi="Times New Roman"/>
                <w:color w:val="auto"/>
                <w:spacing w:val="-3"/>
                <w:sz w:val="24"/>
                <w:highlight w:val="none"/>
                <w:lang w:eastAsia="zh-CN"/>
              </w:rPr>
              <w:t>处</w:t>
            </w:r>
            <w:r>
              <w:rPr>
                <w:rFonts w:ascii="Times New Roman" w:hAnsi="Times New Roman"/>
                <w:color w:val="auto"/>
                <w:sz w:val="24"/>
                <w:highlight w:val="none"/>
                <w:lang w:eastAsia="zh-CN"/>
              </w:rPr>
              <w:t>置均</w:t>
            </w:r>
            <w:r>
              <w:rPr>
                <w:rFonts w:ascii="Times New Roman" w:hAnsi="Times New Roman"/>
                <w:color w:val="auto"/>
                <w:spacing w:val="-3"/>
                <w:sz w:val="24"/>
                <w:highlight w:val="none"/>
                <w:lang w:eastAsia="zh-CN"/>
              </w:rPr>
              <w:t>能</w:t>
            </w:r>
            <w:r>
              <w:rPr>
                <w:rFonts w:ascii="Times New Roman" w:hAnsi="Times New Roman"/>
                <w:color w:val="auto"/>
                <w:sz w:val="24"/>
                <w:highlight w:val="none"/>
                <w:lang w:eastAsia="zh-CN"/>
              </w:rPr>
              <w:t>满</w:t>
            </w:r>
            <w:r>
              <w:rPr>
                <w:rFonts w:ascii="Times New Roman" w:hAnsi="Times New Roman"/>
                <w:color w:val="auto"/>
                <w:spacing w:val="-3"/>
                <w:sz w:val="24"/>
                <w:highlight w:val="none"/>
                <w:lang w:eastAsia="zh-CN"/>
              </w:rPr>
              <w:t>足</w:t>
            </w:r>
            <w:r>
              <w:rPr>
                <w:rFonts w:ascii="Times New Roman" w:hAnsi="Times New Roman"/>
                <w:color w:val="auto"/>
                <w:sz w:val="24"/>
                <w:highlight w:val="none"/>
                <w:lang w:eastAsia="zh-CN"/>
              </w:rPr>
              <w:t>要</w:t>
            </w:r>
            <w:r>
              <w:rPr>
                <w:rFonts w:ascii="Times New Roman" w:hAnsi="Times New Roman"/>
                <w:color w:val="auto"/>
                <w:spacing w:val="-3"/>
                <w:sz w:val="24"/>
                <w:highlight w:val="none"/>
                <w:lang w:eastAsia="zh-CN"/>
              </w:rPr>
              <w:t>求</w:t>
            </w:r>
            <w:r>
              <w:rPr>
                <w:rFonts w:ascii="Times New Roman" w:hAnsi="Times New Roman"/>
                <w:color w:val="auto"/>
                <w:sz w:val="24"/>
                <w:highlight w:val="none"/>
                <w:lang w:eastAsia="zh-CN"/>
              </w:rPr>
              <w:t>，</w:t>
            </w:r>
            <w:r>
              <w:rPr>
                <w:rFonts w:ascii="Times New Roman" w:hAnsi="Times New Roman"/>
                <w:color w:val="auto"/>
                <w:spacing w:val="-3"/>
                <w:sz w:val="24"/>
                <w:highlight w:val="none"/>
                <w:lang w:eastAsia="zh-CN"/>
              </w:rPr>
              <w:t>对</w:t>
            </w:r>
            <w:r>
              <w:rPr>
                <w:rFonts w:ascii="Times New Roman" w:hAnsi="Times New Roman"/>
                <w:color w:val="auto"/>
                <w:sz w:val="24"/>
                <w:highlight w:val="none"/>
                <w:lang w:eastAsia="zh-CN"/>
              </w:rPr>
              <w:t>周</w:t>
            </w:r>
            <w:r>
              <w:rPr>
                <w:rFonts w:ascii="Times New Roman" w:hAnsi="Times New Roman"/>
                <w:color w:val="auto"/>
                <w:spacing w:val="-3"/>
                <w:sz w:val="24"/>
                <w:highlight w:val="none"/>
                <w:lang w:eastAsia="zh-CN"/>
              </w:rPr>
              <w:t>边</w:t>
            </w:r>
            <w:r>
              <w:rPr>
                <w:rFonts w:ascii="Times New Roman" w:hAnsi="Times New Roman"/>
                <w:color w:val="auto"/>
                <w:sz w:val="24"/>
                <w:highlight w:val="none"/>
                <w:lang w:eastAsia="zh-CN"/>
              </w:rPr>
              <w:t>环境</w:t>
            </w:r>
            <w:r>
              <w:rPr>
                <w:rFonts w:ascii="Times New Roman" w:hAnsi="Times New Roman"/>
                <w:color w:val="auto"/>
                <w:spacing w:val="-3"/>
                <w:sz w:val="24"/>
                <w:highlight w:val="none"/>
                <w:lang w:eastAsia="zh-CN"/>
              </w:rPr>
              <w:t>基</w:t>
            </w:r>
            <w:r>
              <w:rPr>
                <w:rFonts w:ascii="Times New Roman" w:hAnsi="Times New Roman"/>
                <w:color w:val="auto"/>
                <w:sz w:val="24"/>
                <w:highlight w:val="none"/>
                <w:lang w:eastAsia="zh-CN"/>
              </w:rPr>
              <w:t>本</w:t>
            </w:r>
            <w:r>
              <w:rPr>
                <w:rFonts w:ascii="Times New Roman" w:hAnsi="Times New Roman"/>
                <w:color w:val="auto"/>
                <w:spacing w:val="-3"/>
                <w:sz w:val="24"/>
                <w:highlight w:val="none"/>
                <w:lang w:eastAsia="zh-CN"/>
              </w:rPr>
              <w:t>无</w:t>
            </w:r>
            <w:r>
              <w:rPr>
                <w:rFonts w:ascii="Times New Roman" w:hAnsi="Times New Roman"/>
                <w:color w:val="auto"/>
                <w:sz w:val="24"/>
                <w:highlight w:val="none"/>
                <w:lang w:eastAsia="zh-CN"/>
              </w:rPr>
              <w:t>影</w:t>
            </w:r>
            <w:r>
              <w:rPr>
                <w:rFonts w:ascii="Times New Roman" w:hAnsi="Times New Roman"/>
                <w:color w:val="auto"/>
                <w:spacing w:val="-3"/>
                <w:sz w:val="24"/>
                <w:highlight w:val="none"/>
                <w:lang w:eastAsia="zh-CN"/>
              </w:rPr>
              <w:t>响</w:t>
            </w:r>
            <w:r>
              <w:rPr>
                <w:rFonts w:ascii="Times New Roman" w:hAnsi="Times New Roman"/>
                <w:color w:val="auto"/>
                <w:sz w:val="24"/>
                <w:highlight w:val="none"/>
                <w:lang w:eastAsia="zh-CN"/>
              </w:rPr>
              <w:t>。</w:t>
            </w:r>
          </w:p>
          <w:p w14:paraId="3A926782">
            <w:pPr>
              <w:pStyle w:val="43"/>
              <w:kinsoku w:val="0"/>
              <w:overflowPunct w:val="0"/>
              <w:spacing w:before="38" w:line="360" w:lineRule="auto"/>
              <w:ind w:left="422"/>
              <w:rPr>
                <w:rFonts w:ascii="Times New Roman" w:hAnsi="Times New Roman"/>
                <w:b/>
                <w:bCs/>
                <w:color w:val="auto"/>
                <w:sz w:val="24"/>
                <w:highlight w:val="none"/>
                <w:lang w:eastAsia="zh-CN"/>
              </w:rPr>
            </w:pPr>
            <w:r>
              <w:rPr>
                <w:rFonts w:ascii="Times New Roman" w:hAnsi="Times New Roman"/>
                <w:b/>
                <w:color w:val="auto"/>
                <w:sz w:val="24"/>
                <w:highlight w:val="none"/>
                <w:lang w:eastAsia="zh-CN"/>
              </w:rPr>
              <w:t>C、</w:t>
            </w:r>
            <w:r>
              <w:rPr>
                <w:rFonts w:ascii="Times New Roman" w:hAnsi="Times New Roman"/>
                <w:b/>
                <w:bCs/>
                <w:color w:val="auto"/>
                <w:sz w:val="24"/>
                <w:highlight w:val="none"/>
                <w:lang w:eastAsia="zh-CN"/>
              </w:rPr>
              <w:t>危险废物要求：</w:t>
            </w:r>
          </w:p>
          <w:p w14:paraId="6484F59A">
            <w:pPr>
              <w:adjustRightInd w:val="0"/>
              <w:snapToGrid w:val="0"/>
              <w:spacing w:line="360" w:lineRule="auto"/>
              <w:ind w:firstLine="480" w:firstLineChars="200"/>
              <w:rPr>
                <w:color w:val="auto"/>
                <w:sz w:val="24"/>
                <w:highlight w:val="none"/>
              </w:rPr>
            </w:pPr>
            <w:r>
              <w:rPr>
                <w:color w:val="auto"/>
                <w:sz w:val="24"/>
                <w:highlight w:val="none"/>
              </w:rPr>
              <w:t>危险废物暂存及转移应按照《危险废物贮存污染控制标准》（</w:t>
            </w:r>
            <w:r>
              <w:rPr>
                <w:rFonts w:hint="eastAsia"/>
                <w:color w:val="auto"/>
                <w:sz w:val="24"/>
                <w:highlight w:val="none"/>
              </w:rPr>
              <w:t>GB18597-2023</w:t>
            </w:r>
            <w:r>
              <w:rPr>
                <w:color w:val="auto"/>
                <w:sz w:val="24"/>
                <w:highlight w:val="none"/>
              </w:rPr>
              <w:t>）修改单中要求进行。</w:t>
            </w:r>
          </w:p>
          <w:p w14:paraId="77B253D3">
            <w:pPr>
              <w:pStyle w:val="43"/>
              <w:kinsoku w:val="0"/>
              <w:overflowPunct w:val="0"/>
              <w:adjustRightInd w:val="0"/>
              <w:snapToGrid w:val="0"/>
              <w:spacing w:line="360" w:lineRule="auto"/>
              <w:ind w:firstLine="480" w:firstLineChars="200"/>
              <w:rPr>
                <w:rFonts w:ascii="Times New Roman" w:hAnsi="Times New Roman"/>
                <w:color w:val="auto"/>
                <w:sz w:val="24"/>
                <w:highlight w:val="none"/>
                <w:lang w:eastAsia="zh-CN"/>
              </w:rPr>
            </w:pPr>
            <w:r>
              <w:rPr>
                <w:rFonts w:ascii="Times New Roman" w:hAnsi="Times New Roman"/>
                <w:color w:val="auto"/>
                <w:sz w:val="24"/>
                <w:highlight w:val="none"/>
                <w:lang w:eastAsia="zh-CN"/>
              </w:rPr>
              <w:t>（1）危险废物收集要求及分析</w:t>
            </w:r>
          </w:p>
          <w:p w14:paraId="4E70F317">
            <w:pPr>
              <w:pStyle w:val="43"/>
              <w:kinsoku w:val="0"/>
              <w:overflowPunct w:val="0"/>
              <w:adjustRightInd w:val="0"/>
              <w:snapToGrid w:val="0"/>
              <w:spacing w:line="360" w:lineRule="auto"/>
              <w:ind w:firstLine="480" w:firstLineChars="200"/>
              <w:rPr>
                <w:rFonts w:ascii="Times New Roman" w:hAnsi="Times New Roman"/>
                <w:color w:val="auto"/>
                <w:spacing w:val="-17"/>
                <w:sz w:val="24"/>
                <w:highlight w:val="none"/>
                <w:lang w:eastAsia="zh-CN"/>
              </w:rPr>
            </w:pPr>
            <w:r>
              <w:rPr>
                <w:rFonts w:ascii="Times New Roman" w:hAnsi="Times New Roman"/>
                <w:color w:val="auto"/>
                <w:sz w:val="24"/>
                <w:highlight w:val="none"/>
                <w:lang w:eastAsia="zh-CN"/>
              </w:rPr>
              <w:t>危险</w:t>
            </w:r>
            <w:r>
              <w:rPr>
                <w:rFonts w:ascii="Times New Roman" w:hAnsi="Times New Roman"/>
                <w:color w:val="auto"/>
                <w:spacing w:val="-3"/>
                <w:sz w:val="24"/>
                <w:highlight w:val="none"/>
                <w:lang w:eastAsia="zh-CN"/>
              </w:rPr>
              <w:t>废</w:t>
            </w:r>
            <w:r>
              <w:rPr>
                <w:rFonts w:ascii="Times New Roman" w:hAnsi="Times New Roman"/>
                <w:color w:val="auto"/>
                <w:sz w:val="24"/>
                <w:highlight w:val="none"/>
                <w:lang w:eastAsia="zh-CN"/>
              </w:rPr>
              <w:t>物</w:t>
            </w:r>
            <w:r>
              <w:rPr>
                <w:rFonts w:ascii="Times New Roman" w:hAnsi="Times New Roman"/>
                <w:color w:val="auto"/>
                <w:spacing w:val="-3"/>
                <w:sz w:val="24"/>
                <w:highlight w:val="none"/>
                <w:lang w:eastAsia="zh-CN"/>
              </w:rPr>
              <w:t>在</w:t>
            </w:r>
            <w:r>
              <w:rPr>
                <w:rFonts w:ascii="Times New Roman" w:hAnsi="Times New Roman"/>
                <w:color w:val="auto"/>
                <w:sz w:val="24"/>
                <w:highlight w:val="none"/>
                <w:lang w:eastAsia="zh-CN"/>
              </w:rPr>
              <w:t>收</w:t>
            </w:r>
            <w:r>
              <w:rPr>
                <w:rFonts w:ascii="Times New Roman" w:hAnsi="Times New Roman"/>
                <w:color w:val="auto"/>
                <w:spacing w:val="-3"/>
                <w:sz w:val="24"/>
                <w:highlight w:val="none"/>
                <w:lang w:eastAsia="zh-CN"/>
              </w:rPr>
              <w:t>集时</w:t>
            </w:r>
            <w:r>
              <w:rPr>
                <w:rFonts w:ascii="Times New Roman" w:hAnsi="Times New Roman"/>
                <w:color w:val="auto"/>
                <w:spacing w:val="-34"/>
                <w:sz w:val="24"/>
                <w:highlight w:val="none"/>
                <w:lang w:eastAsia="zh-CN"/>
              </w:rPr>
              <w:t>，</w:t>
            </w:r>
            <w:r>
              <w:rPr>
                <w:rFonts w:ascii="Times New Roman" w:hAnsi="Times New Roman"/>
                <w:color w:val="auto"/>
                <w:spacing w:val="-3"/>
                <w:sz w:val="24"/>
                <w:highlight w:val="none"/>
                <w:lang w:eastAsia="zh-CN"/>
              </w:rPr>
              <w:t>需要</w:t>
            </w:r>
            <w:r>
              <w:rPr>
                <w:rFonts w:ascii="Times New Roman" w:hAnsi="Times New Roman"/>
                <w:color w:val="auto"/>
                <w:sz w:val="24"/>
                <w:highlight w:val="none"/>
                <w:lang w:eastAsia="zh-CN"/>
              </w:rPr>
              <w:t>清楚</w:t>
            </w:r>
            <w:r>
              <w:rPr>
                <w:rFonts w:ascii="Times New Roman" w:hAnsi="Times New Roman"/>
                <w:color w:val="auto"/>
                <w:spacing w:val="-3"/>
                <w:sz w:val="24"/>
                <w:highlight w:val="none"/>
                <w:lang w:eastAsia="zh-CN"/>
              </w:rPr>
              <w:t>废</w:t>
            </w:r>
            <w:r>
              <w:rPr>
                <w:rFonts w:ascii="Times New Roman" w:hAnsi="Times New Roman"/>
                <w:color w:val="auto"/>
                <w:sz w:val="24"/>
                <w:highlight w:val="none"/>
                <w:lang w:eastAsia="zh-CN"/>
              </w:rPr>
              <w:t>物</w:t>
            </w:r>
            <w:r>
              <w:rPr>
                <w:rFonts w:ascii="Times New Roman" w:hAnsi="Times New Roman"/>
                <w:color w:val="auto"/>
                <w:spacing w:val="-3"/>
                <w:sz w:val="24"/>
                <w:highlight w:val="none"/>
                <w:lang w:eastAsia="zh-CN"/>
              </w:rPr>
              <w:t>类</w:t>
            </w:r>
            <w:r>
              <w:rPr>
                <w:rFonts w:ascii="Times New Roman" w:hAnsi="Times New Roman"/>
                <w:color w:val="auto"/>
                <w:sz w:val="24"/>
                <w:highlight w:val="none"/>
                <w:lang w:eastAsia="zh-CN"/>
              </w:rPr>
              <w:t>别</w:t>
            </w:r>
            <w:r>
              <w:rPr>
                <w:rFonts w:ascii="Times New Roman" w:hAnsi="Times New Roman"/>
                <w:color w:val="auto"/>
                <w:spacing w:val="-3"/>
                <w:sz w:val="24"/>
                <w:highlight w:val="none"/>
                <w:lang w:eastAsia="zh-CN"/>
              </w:rPr>
              <w:t>及</w:t>
            </w:r>
            <w:r>
              <w:rPr>
                <w:rFonts w:ascii="Times New Roman" w:hAnsi="Times New Roman"/>
                <w:color w:val="auto"/>
                <w:sz w:val="24"/>
                <w:highlight w:val="none"/>
                <w:lang w:eastAsia="zh-CN"/>
              </w:rPr>
              <w:t>主</w:t>
            </w:r>
            <w:r>
              <w:rPr>
                <w:rFonts w:ascii="Times New Roman" w:hAnsi="Times New Roman"/>
                <w:color w:val="auto"/>
                <w:spacing w:val="-3"/>
                <w:sz w:val="24"/>
                <w:highlight w:val="none"/>
                <w:lang w:eastAsia="zh-CN"/>
              </w:rPr>
              <w:t>要</w:t>
            </w:r>
            <w:r>
              <w:rPr>
                <w:rFonts w:ascii="Times New Roman" w:hAnsi="Times New Roman"/>
                <w:color w:val="auto"/>
                <w:sz w:val="24"/>
                <w:highlight w:val="none"/>
                <w:lang w:eastAsia="zh-CN"/>
              </w:rPr>
              <w:t>成</w:t>
            </w:r>
            <w:r>
              <w:rPr>
                <w:rFonts w:ascii="Times New Roman" w:hAnsi="Times New Roman"/>
                <w:color w:val="auto"/>
                <w:spacing w:val="-3"/>
                <w:sz w:val="24"/>
                <w:highlight w:val="none"/>
                <w:lang w:eastAsia="zh-CN"/>
              </w:rPr>
              <w:t>分</w:t>
            </w:r>
            <w:r>
              <w:rPr>
                <w:rFonts w:ascii="Times New Roman" w:hAnsi="Times New Roman"/>
                <w:color w:val="auto"/>
                <w:spacing w:val="-34"/>
                <w:sz w:val="24"/>
                <w:highlight w:val="none"/>
                <w:lang w:eastAsia="zh-CN"/>
              </w:rPr>
              <w:t>，</w:t>
            </w:r>
            <w:r>
              <w:rPr>
                <w:rFonts w:ascii="Times New Roman" w:hAnsi="Times New Roman"/>
                <w:color w:val="auto"/>
                <w:spacing w:val="-3"/>
                <w:sz w:val="24"/>
                <w:highlight w:val="none"/>
                <w:lang w:eastAsia="zh-CN"/>
              </w:rPr>
              <w:t>以</w:t>
            </w:r>
            <w:r>
              <w:rPr>
                <w:rFonts w:ascii="Times New Roman" w:hAnsi="Times New Roman"/>
                <w:color w:val="auto"/>
                <w:sz w:val="24"/>
                <w:highlight w:val="none"/>
                <w:lang w:eastAsia="zh-CN"/>
              </w:rPr>
              <w:t>方</w:t>
            </w:r>
            <w:r>
              <w:rPr>
                <w:rFonts w:ascii="Times New Roman" w:hAnsi="Times New Roman"/>
                <w:color w:val="auto"/>
                <w:spacing w:val="-3"/>
                <w:sz w:val="24"/>
                <w:highlight w:val="none"/>
                <w:lang w:eastAsia="zh-CN"/>
              </w:rPr>
              <w:t>便</w:t>
            </w:r>
            <w:r>
              <w:rPr>
                <w:rFonts w:ascii="Times New Roman" w:hAnsi="Times New Roman"/>
                <w:color w:val="auto"/>
                <w:sz w:val="24"/>
                <w:highlight w:val="none"/>
                <w:lang w:eastAsia="zh-CN"/>
              </w:rPr>
              <w:t>委</w:t>
            </w:r>
            <w:r>
              <w:rPr>
                <w:rFonts w:ascii="Times New Roman" w:hAnsi="Times New Roman"/>
                <w:color w:val="auto"/>
                <w:spacing w:val="-3"/>
                <w:sz w:val="24"/>
                <w:highlight w:val="none"/>
                <w:lang w:eastAsia="zh-CN"/>
              </w:rPr>
              <w:t>托</w:t>
            </w:r>
            <w:r>
              <w:rPr>
                <w:rFonts w:ascii="Times New Roman" w:hAnsi="Times New Roman"/>
                <w:color w:val="auto"/>
                <w:sz w:val="24"/>
                <w:highlight w:val="none"/>
                <w:lang w:eastAsia="zh-CN"/>
              </w:rPr>
              <w:t>资</w:t>
            </w:r>
            <w:r>
              <w:rPr>
                <w:rFonts w:ascii="Times New Roman" w:hAnsi="Times New Roman"/>
                <w:color w:val="auto"/>
                <w:spacing w:val="-3"/>
                <w:sz w:val="24"/>
                <w:highlight w:val="none"/>
                <w:lang w:eastAsia="zh-CN"/>
              </w:rPr>
              <w:t>质</w:t>
            </w:r>
            <w:r>
              <w:rPr>
                <w:rFonts w:ascii="Times New Roman" w:hAnsi="Times New Roman"/>
                <w:color w:val="auto"/>
                <w:sz w:val="24"/>
                <w:highlight w:val="none"/>
                <w:lang w:eastAsia="zh-CN"/>
              </w:rPr>
              <w:t>处</w:t>
            </w:r>
            <w:r>
              <w:rPr>
                <w:rFonts w:ascii="Times New Roman" w:hAnsi="Times New Roman"/>
                <w:color w:val="auto"/>
                <w:spacing w:val="-3"/>
                <w:sz w:val="24"/>
                <w:highlight w:val="none"/>
                <w:lang w:eastAsia="zh-CN"/>
              </w:rPr>
              <w:t>理单</w:t>
            </w:r>
            <w:r>
              <w:rPr>
                <w:rFonts w:ascii="Times New Roman" w:hAnsi="Times New Roman"/>
                <w:color w:val="auto"/>
                <w:sz w:val="24"/>
                <w:highlight w:val="none"/>
                <w:lang w:eastAsia="zh-CN"/>
              </w:rPr>
              <w:t>位处</w:t>
            </w:r>
            <w:r>
              <w:rPr>
                <w:rFonts w:ascii="Times New Roman" w:hAnsi="Times New Roman"/>
                <w:color w:val="auto"/>
                <w:spacing w:val="-3"/>
                <w:sz w:val="24"/>
                <w:highlight w:val="none"/>
                <w:lang w:eastAsia="zh-CN"/>
              </w:rPr>
              <w:t>理</w:t>
            </w:r>
            <w:r>
              <w:rPr>
                <w:rFonts w:ascii="Times New Roman" w:hAnsi="Times New Roman"/>
                <w:color w:val="auto"/>
                <w:spacing w:val="-36"/>
                <w:sz w:val="24"/>
                <w:highlight w:val="none"/>
                <w:lang w:eastAsia="zh-CN"/>
              </w:rPr>
              <w:t>。</w:t>
            </w:r>
            <w:r>
              <w:rPr>
                <w:rFonts w:ascii="Times New Roman" w:hAnsi="Times New Roman"/>
                <w:color w:val="auto"/>
                <w:sz w:val="24"/>
                <w:highlight w:val="none"/>
                <w:lang w:eastAsia="zh-CN"/>
              </w:rPr>
              <w:t>根据危险</w:t>
            </w:r>
            <w:r>
              <w:rPr>
                <w:rFonts w:ascii="Times New Roman" w:hAnsi="Times New Roman"/>
                <w:color w:val="auto"/>
                <w:spacing w:val="-3"/>
                <w:sz w:val="24"/>
                <w:highlight w:val="none"/>
                <w:lang w:eastAsia="zh-CN"/>
              </w:rPr>
              <w:t>废</w:t>
            </w:r>
            <w:r>
              <w:rPr>
                <w:rFonts w:ascii="Times New Roman" w:hAnsi="Times New Roman"/>
                <w:color w:val="auto"/>
                <w:sz w:val="24"/>
                <w:highlight w:val="none"/>
                <w:lang w:eastAsia="zh-CN"/>
              </w:rPr>
              <w:t>物</w:t>
            </w:r>
            <w:r>
              <w:rPr>
                <w:rFonts w:ascii="Times New Roman" w:hAnsi="Times New Roman"/>
                <w:color w:val="auto"/>
                <w:spacing w:val="-3"/>
                <w:sz w:val="24"/>
                <w:highlight w:val="none"/>
                <w:lang w:eastAsia="zh-CN"/>
              </w:rPr>
              <w:t>的</w:t>
            </w:r>
            <w:r>
              <w:rPr>
                <w:rFonts w:ascii="Times New Roman" w:hAnsi="Times New Roman"/>
                <w:color w:val="auto"/>
                <w:sz w:val="24"/>
                <w:highlight w:val="none"/>
                <w:lang w:eastAsia="zh-CN"/>
              </w:rPr>
              <w:t>性</w:t>
            </w:r>
            <w:r>
              <w:rPr>
                <w:rFonts w:ascii="Times New Roman" w:hAnsi="Times New Roman"/>
                <w:color w:val="auto"/>
                <w:spacing w:val="-3"/>
                <w:sz w:val="24"/>
                <w:highlight w:val="none"/>
                <w:lang w:eastAsia="zh-CN"/>
              </w:rPr>
              <w:t>质</w:t>
            </w:r>
            <w:r>
              <w:rPr>
                <w:rFonts w:ascii="Times New Roman" w:hAnsi="Times New Roman"/>
                <w:color w:val="auto"/>
                <w:sz w:val="24"/>
                <w:highlight w:val="none"/>
                <w:lang w:eastAsia="zh-CN"/>
              </w:rPr>
              <w:t>和</w:t>
            </w:r>
            <w:r>
              <w:rPr>
                <w:rFonts w:ascii="Times New Roman" w:hAnsi="Times New Roman"/>
                <w:color w:val="auto"/>
                <w:spacing w:val="-3"/>
                <w:sz w:val="24"/>
                <w:highlight w:val="none"/>
                <w:lang w:eastAsia="zh-CN"/>
              </w:rPr>
              <w:t>形</w:t>
            </w:r>
            <w:r>
              <w:rPr>
                <w:rFonts w:ascii="Times New Roman" w:hAnsi="Times New Roman"/>
                <w:color w:val="auto"/>
                <w:sz w:val="24"/>
                <w:highlight w:val="none"/>
                <w:lang w:eastAsia="zh-CN"/>
              </w:rPr>
              <w:t>态</w:t>
            </w:r>
            <w:r>
              <w:rPr>
                <w:rFonts w:ascii="Times New Roman" w:hAnsi="Times New Roman"/>
                <w:color w:val="auto"/>
                <w:spacing w:val="-56"/>
                <w:sz w:val="24"/>
                <w:highlight w:val="none"/>
                <w:lang w:eastAsia="zh-CN"/>
              </w:rPr>
              <w:t>，</w:t>
            </w:r>
            <w:r>
              <w:rPr>
                <w:rFonts w:ascii="Times New Roman" w:hAnsi="Times New Roman"/>
                <w:color w:val="auto"/>
                <w:sz w:val="24"/>
                <w:highlight w:val="none"/>
                <w:lang w:eastAsia="zh-CN"/>
              </w:rPr>
              <w:t>可采</w:t>
            </w:r>
            <w:r>
              <w:rPr>
                <w:rFonts w:ascii="Times New Roman" w:hAnsi="Times New Roman"/>
                <w:color w:val="auto"/>
                <w:spacing w:val="-3"/>
                <w:sz w:val="24"/>
                <w:highlight w:val="none"/>
                <w:lang w:eastAsia="zh-CN"/>
              </w:rPr>
              <w:t>用</w:t>
            </w:r>
            <w:r>
              <w:rPr>
                <w:rFonts w:ascii="Times New Roman" w:hAnsi="Times New Roman"/>
                <w:color w:val="auto"/>
                <w:sz w:val="24"/>
                <w:highlight w:val="none"/>
                <w:lang w:eastAsia="zh-CN"/>
              </w:rPr>
              <w:t>不</w:t>
            </w:r>
            <w:r>
              <w:rPr>
                <w:rFonts w:ascii="Times New Roman" w:hAnsi="Times New Roman"/>
                <w:color w:val="auto"/>
                <w:spacing w:val="-3"/>
                <w:sz w:val="24"/>
                <w:highlight w:val="none"/>
                <w:lang w:eastAsia="zh-CN"/>
              </w:rPr>
              <w:t>同</w:t>
            </w:r>
            <w:r>
              <w:rPr>
                <w:rFonts w:ascii="Times New Roman" w:hAnsi="Times New Roman"/>
                <w:color w:val="auto"/>
                <w:sz w:val="24"/>
                <w:highlight w:val="none"/>
                <w:lang w:eastAsia="zh-CN"/>
              </w:rPr>
              <w:t>大</w:t>
            </w:r>
            <w:r>
              <w:rPr>
                <w:rFonts w:ascii="Times New Roman" w:hAnsi="Times New Roman"/>
                <w:color w:val="auto"/>
                <w:spacing w:val="-3"/>
                <w:sz w:val="24"/>
                <w:highlight w:val="none"/>
                <w:lang w:eastAsia="zh-CN"/>
              </w:rPr>
              <w:t>小</w:t>
            </w:r>
            <w:r>
              <w:rPr>
                <w:rFonts w:ascii="Times New Roman" w:hAnsi="Times New Roman"/>
                <w:color w:val="auto"/>
                <w:sz w:val="24"/>
                <w:highlight w:val="none"/>
                <w:lang w:eastAsia="zh-CN"/>
              </w:rPr>
              <w:t>和</w:t>
            </w:r>
            <w:r>
              <w:rPr>
                <w:rFonts w:ascii="Times New Roman" w:hAnsi="Times New Roman"/>
                <w:color w:val="auto"/>
                <w:spacing w:val="-3"/>
                <w:sz w:val="24"/>
                <w:highlight w:val="none"/>
                <w:lang w:eastAsia="zh-CN"/>
              </w:rPr>
              <w:t>不</w:t>
            </w:r>
            <w:r>
              <w:rPr>
                <w:rFonts w:ascii="Times New Roman" w:hAnsi="Times New Roman"/>
                <w:color w:val="auto"/>
                <w:sz w:val="24"/>
                <w:highlight w:val="none"/>
                <w:lang w:eastAsia="zh-CN"/>
              </w:rPr>
              <w:t>同</w:t>
            </w:r>
            <w:r>
              <w:rPr>
                <w:rFonts w:ascii="Times New Roman" w:hAnsi="Times New Roman"/>
                <w:color w:val="auto"/>
                <w:spacing w:val="-3"/>
                <w:sz w:val="24"/>
                <w:highlight w:val="none"/>
                <w:lang w:eastAsia="zh-CN"/>
              </w:rPr>
              <w:t>材</w:t>
            </w:r>
            <w:r>
              <w:rPr>
                <w:rFonts w:ascii="Times New Roman" w:hAnsi="Times New Roman"/>
                <w:color w:val="auto"/>
                <w:sz w:val="24"/>
                <w:highlight w:val="none"/>
                <w:lang w:eastAsia="zh-CN"/>
              </w:rPr>
              <w:t>质的</w:t>
            </w:r>
            <w:r>
              <w:rPr>
                <w:rFonts w:ascii="Times New Roman" w:hAnsi="Times New Roman"/>
                <w:color w:val="auto"/>
                <w:spacing w:val="-3"/>
                <w:sz w:val="24"/>
                <w:highlight w:val="none"/>
                <w:lang w:eastAsia="zh-CN"/>
              </w:rPr>
              <w:t>容</w:t>
            </w:r>
            <w:r>
              <w:rPr>
                <w:rFonts w:ascii="Times New Roman" w:hAnsi="Times New Roman"/>
                <w:color w:val="auto"/>
                <w:sz w:val="24"/>
                <w:highlight w:val="none"/>
                <w:lang w:eastAsia="zh-CN"/>
              </w:rPr>
              <w:t>器</w:t>
            </w:r>
            <w:r>
              <w:rPr>
                <w:rFonts w:ascii="Times New Roman" w:hAnsi="Times New Roman"/>
                <w:color w:val="auto"/>
                <w:spacing w:val="-3"/>
                <w:sz w:val="24"/>
                <w:highlight w:val="none"/>
                <w:lang w:eastAsia="zh-CN"/>
              </w:rPr>
              <w:t>进</w:t>
            </w:r>
            <w:r>
              <w:rPr>
                <w:rFonts w:ascii="Times New Roman" w:hAnsi="Times New Roman"/>
                <w:color w:val="auto"/>
                <w:sz w:val="24"/>
                <w:highlight w:val="none"/>
                <w:lang w:eastAsia="zh-CN"/>
              </w:rPr>
              <w:t>行</w:t>
            </w:r>
            <w:r>
              <w:rPr>
                <w:rFonts w:ascii="Times New Roman" w:hAnsi="Times New Roman"/>
                <w:color w:val="auto"/>
                <w:spacing w:val="-3"/>
                <w:sz w:val="24"/>
                <w:highlight w:val="none"/>
                <w:lang w:eastAsia="zh-CN"/>
              </w:rPr>
              <w:t>包</w:t>
            </w:r>
            <w:r>
              <w:rPr>
                <w:rFonts w:ascii="Times New Roman" w:hAnsi="Times New Roman"/>
                <w:color w:val="auto"/>
                <w:sz w:val="24"/>
                <w:highlight w:val="none"/>
                <w:lang w:eastAsia="zh-CN"/>
              </w:rPr>
              <w:t>装</w:t>
            </w:r>
            <w:r>
              <w:rPr>
                <w:rFonts w:ascii="Times New Roman" w:hAnsi="Times New Roman"/>
                <w:color w:val="auto"/>
                <w:spacing w:val="-56"/>
                <w:sz w:val="24"/>
                <w:highlight w:val="none"/>
                <w:lang w:eastAsia="zh-CN"/>
              </w:rPr>
              <w:t>，</w:t>
            </w:r>
            <w:r>
              <w:rPr>
                <w:rFonts w:ascii="Times New Roman" w:hAnsi="Times New Roman"/>
                <w:color w:val="auto"/>
                <w:sz w:val="24"/>
                <w:highlight w:val="none"/>
                <w:lang w:eastAsia="zh-CN"/>
              </w:rPr>
              <w:t>所</w:t>
            </w:r>
            <w:r>
              <w:rPr>
                <w:rFonts w:ascii="Times New Roman" w:hAnsi="Times New Roman"/>
                <w:color w:val="auto"/>
                <w:spacing w:val="-3"/>
                <w:sz w:val="24"/>
                <w:highlight w:val="none"/>
                <w:lang w:eastAsia="zh-CN"/>
              </w:rPr>
              <w:t>有</w:t>
            </w:r>
            <w:r>
              <w:rPr>
                <w:rFonts w:ascii="Times New Roman" w:hAnsi="Times New Roman"/>
                <w:color w:val="auto"/>
                <w:sz w:val="24"/>
                <w:highlight w:val="none"/>
                <w:lang w:eastAsia="zh-CN"/>
              </w:rPr>
              <w:t>包装</w:t>
            </w:r>
            <w:r>
              <w:rPr>
                <w:rFonts w:ascii="Times New Roman" w:hAnsi="Times New Roman"/>
                <w:color w:val="auto"/>
                <w:spacing w:val="-3"/>
                <w:sz w:val="24"/>
                <w:highlight w:val="none"/>
                <w:lang w:eastAsia="zh-CN"/>
              </w:rPr>
              <w:t>容</w:t>
            </w:r>
            <w:r>
              <w:rPr>
                <w:rFonts w:ascii="Times New Roman" w:hAnsi="Times New Roman"/>
                <w:color w:val="auto"/>
                <w:sz w:val="24"/>
                <w:highlight w:val="none"/>
                <w:lang w:eastAsia="zh-CN"/>
              </w:rPr>
              <w:t>器</w:t>
            </w:r>
            <w:r>
              <w:rPr>
                <w:rFonts w:ascii="Times New Roman" w:hAnsi="Times New Roman"/>
                <w:color w:val="auto"/>
                <w:spacing w:val="-3"/>
                <w:sz w:val="24"/>
                <w:highlight w:val="none"/>
                <w:lang w:eastAsia="zh-CN"/>
              </w:rPr>
              <w:t>应</w:t>
            </w:r>
            <w:r>
              <w:rPr>
                <w:rFonts w:ascii="Times New Roman" w:hAnsi="Times New Roman"/>
                <w:color w:val="auto"/>
                <w:sz w:val="24"/>
                <w:highlight w:val="none"/>
                <w:lang w:eastAsia="zh-CN"/>
              </w:rPr>
              <w:t>足</w:t>
            </w:r>
            <w:r>
              <w:rPr>
                <w:rFonts w:ascii="Times New Roman" w:hAnsi="Times New Roman"/>
                <w:color w:val="auto"/>
                <w:spacing w:val="-3"/>
                <w:sz w:val="24"/>
                <w:highlight w:val="none"/>
                <w:lang w:eastAsia="zh-CN"/>
              </w:rPr>
              <w:t>够安</w:t>
            </w:r>
            <w:r>
              <w:rPr>
                <w:rFonts w:ascii="Times New Roman" w:hAnsi="Times New Roman"/>
                <w:color w:val="auto"/>
                <w:sz w:val="24"/>
                <w:highlight w:val="none"/>
                <w:lang w:eastAsia="zh-CN"/>
              </w:rPr>
              <w:t>全</w:t>
            </w:r>
            <w:r>
              <w:rPr>
                <w:rFonts w:ascii="Times New Roman" w:hAnsi="Times New Roman"/>
                <w:color w:val="auto"/>
                <w:spacing w:val="-20"/>
                <w:sz w:val="24"/>
                <w:highlight w:val="none"/>
                <w:lang w:eastAsia="zh-CN"/>
              </w:rPr>
              <w:t>，</w:t>
            </w:r>
            <w:r>
              <w:rPr>
                <w:rFonts w:ascii="Times New Roman" w:hAnsi="Times New Roman"/>
                <w:color w:val="auto"/>
                <w:sz w:val="24"/>
                <w:highlight w:val="none"/>
                <w:lang w:eastAsia="zh-CN"/>
              </w:rPr>
              <w:t>并</w:t>
            </w:r>
            <w:r>
              <w:rPr>
                <w:rFonts w:ascii="Times New Roman" w:hAnsi="Times New Roman"/>
                <w:color w:val="auto"/>
                <w:spacing w:val="-3"/>
                <w:sz w:val="24"/>
                <w:highlight w:val="none"/>
                <w:lang w:eastAsia="zh-CN"/>
              </w:rPr>
              <w:t>经</w:t>
            </w:r>
            <w:r>
              <w:rPr>
                <w:rFonts w:ascii="Times New Roman" w:hAnsi="Times New Roman"/>
                <w:color w:val="auto"/>
                <w:sz w:val="24"/>
                <w:highlight w:val="none"/>
                <w:lang w:eastAsia="zh-CN"/>
              </w:rPr>
              <w:t>过</w:t>
            </w:r>
            <w:r>
              <w:rPr>
                <w:rFonts w:ascii="Times New Roman" w:hAnsi="Times New Roman"/>
                <w:color w:val="auto"/>
                <w:spacing w:val="-3"/>
                <w:sz w:val="24"/>
                <w:highlight w:val="none"/>
                <w:lang w:eastAsia="zh-CN"/>
              </w:rPr>
              <w:t>周</w:t>
            </w:r>
            <w:r>
              <w:rPr>
                <w:rFonts w:ascii="Times New Roman" w:hAnsi="Times New Roman"/>
                <w:color w:val="auto"/>
                <w:sz w:val="24"/>
                <w:highlight w:val="none"/>
                <w:lang w:eastAsia="zh-CN"/>
              </w:rPr>
              <w:t>密</w:t>
            </w:r>
            <w:r>
              <w:rPr>
                <w:rFonts w:ascii="Times New Roman" w:hAnsi="Times New Roman"/>
                <w:color w:val="auto"/>
                <w:spacing w:val="-3"/>
                <w:sz w:val="24"/>
                <w:highlight w:val="none"/>
                <w:lang w:eastAsia="zh-CN"/>
              </w:rPr>
              <w:t>检</w:t>
            </w:r>
            <w:r>
              <w:rPr>
                <w:rFonts w:ascii="Times New Roman" w:hAnsi="Times New Roman"/>
                <w:color w:val="auto"/>
                <w:sz w:val="24"/>
                <w:highlight w:val="none"/>
                <w:lang w:eastAsia="zh-CN"/>
              </w:rPr>
              <w:t>查</w:t>
            </w:r>
            <w:r>
              <w:rPr>
                <w:rFonts w:ascii="Times New Roman" w:hAnsi="Times New Roman"/>
                <w:color w:val="auto"/>
                <w:spacing w:val="-20"/>
                <w:sz w:val="24"/>
                <w:highlight w:val="none"/>
                <w:lang w:eastAsia="zh-CN"/>
              </w:rPr>
              <w:t>，</w:t>
            </w:r>
            <w:r>
              <w:rPr>
                <w:rFonts w:ascii="Times New Roman" w:hAnsi="Times New Roman"/>
                <w:color w:val="auto"/>
                <w:spacing w:val="-3"/>
                <w:sz w:val="24"/>
                <w:highlight w:val="none"/>
                <w:lang w:eastAsia="zh-CN"/>
              </w:rPr>
              <w:t>严</w:t>
            </w:r>
            <w:r>
              <w:rPr>
                <w:rFonts w:ascii="Times New Roman" w:hAnsi="Times New Roman"/>
                <w:color w:val="auto"/>
                <w:sz w:val="24"/>
                <w:highlight w:val="none"/>
                <w:lang w:eastAsia="zh-CN"/>
              </w:rPr>
              <w:t>防在</w:t>
            </w:r>
            <w:r>
              <w:rPr>
                <w:rFonts w:ascii="Times New Roman" w:hAnsi="Times New Roman"/>
                <w:color w:val="auto"/>
                <w:spacing w:val="-3"/>
                <w:sz w:val="24"/>
                <w:highlight w:val="none"/>
                <w:lang w:eastAsia="zh-CN"/>
              </w:rPr>
              <w:t>装载</w:t>
            </w:r>
            <w:r>
              <w:rPr>
                <w:rFonts w:ascii="Times New Roman" w:hAnsi="Times New Roman"/>
                <w:color w:val="auto"/>
                <w:spacing w:val="-17"/>
                <w:sz w:val="24"/>
                <w:highlight w:val="none"/>
                <w:lang w:eastAsia="zh-CN"/>
              </w:rPr>
              <w:t>、</w:t>
            </w:r>
            <w:r>
              <w:rPr>
                <w:rFonts w:ascii="Times New Roman" w:hAnsi="Times New Roman"/>
                <w:color w:val="auto"/>
                <w:spacing w:val="-3"/>
                <w:sz w:val="24"/>
                <w:highlight w:val="none"/>
                <w:lang w:eastAsia="zh-CN"/>
              </w:rPr>
              <w:t>搬</w:t>
            </w:r>
            <w:r>
              <w:rPr>
                <w:rFonts w:ascii="Times New Roman" w:hAnsi="Times New Roman"/>
                <w:color w:val="auto"/>
                <w:sz w:val="24"/>
                <w:highlight w:val="none"/>
                <w:lang w:eastAsia="zh-CN"/>
              </w:rPr>
              <w:t>移</w:t>
            </w:r>
            <w:r>
              <w:rPr>
                <w:rFonts w:ascii="Times New Roman" w:hAnsi="Times New Roman"/>
                <w:color w:val="auto"/>
                <w:spacing w:val="-3"/>
                <w:sz w:val="24"/>
                <w:highlight w:val="none"/>
                <w:lang w:eastAsia="zh-CN"/>
              </w:rPr>
              <w:t>或</w:t>
            </w:r>
            <w:r>
              <w:rPr>
                <w:rFonts w:ascii="Times New Roman" w:hAnsi="Times New Roman"/>
                <w:color w:val="auto"/>
                <w:sz w:val="24"/>
                <w:highlight w:val="none"/>
                <w:lang w:eastAsia="zh-CN"/>
              </w:rPr>
              <w:t>运</w:t>
            </w:r>
            <w:r>
              <w:rPr>
                <w:rFonts w:ascii="Times New Roman" w:hAnsi="Times New Roman"/>
                <w:color w:val="auto"/>
                <w:spacing w:val="-3"/>
                <w:sz w:val="24"/>
                <w:highlight w:val="none"/>
                <w:lang w:eastAsia="zh-CN"/>
              </w:rPr>
              <w:t>输途</w:t>
            </w:r>
            <w:r>
              <w:rPr>
                <w:rFonts w:ascii="Times New Roman" w:hAnsi="Times New Roman"/>
                <w:color w:val="auto"/>
                <w:sz w:val="24"/>
                <w:highlight w:val="none"/>
                <w:lang w:eastAsia="zh-CN"/>
              </w:rPr>
              <w:t>中出</w:t>
            </w:r>
            <w:r>
              <w:rPr>
                <w:rFonts w:ascii="Times New Roman" w:hAnsi="Times New Roman"/>
                <w:color w:val="auto"/>
                <w:spacing w:val="-3"/>
                <w:sz w:val="24"/>
                <w:highlight w:val="none"/>
                <w:lang w:eastAsia="zh-CN"/>
              </w:rPr>
              <w:t>现</w:t>
            </w:r>
            <w:r>
              <w:rPr>
                <w:rFonts w:ascii="Times New Roman" w:hAnsi="Times New Roman"/>
                <w:color w:val="auto"/>
                <w:sz w:val="24"/>
                <w:highlight w:val="none"/>
                <w:lang w:eastAsia="zh-CN"/>
              </w:rPr>
              <w:t>渗</w:t>
            </w:r>
            <w:r>
              <w:rPr>
                <w:rFonts w:ascii="Times New Roman" w:hAnsi="Times New Roman"/>
                <w:color w:val="auto"/>
                <w:spacing w:val="-3"/>
                <w:sz w:val="24"/>
                <w:highlight w:val="none"/>
                <w:lang w:eastAsia="zh-CN"/>
              </w:rPr>
              <w:t>漏</w:t>
            </w:r>
            <w:r>
              <w:rPr>
                <w:rFonts w:ascii="Times New Roman" w:hAnsi="Times New Roman"/>
                <w:color w:val="auto"/>
                <w:spacing w:val="-20"/>
                <w:sz w:val="24"/>
                <w:highlight w:val="none"/>
                <w:lang w:eastAsia="zh-CN"/>
              </w:rPr>
              <w:t>、</w:t>
            </w:r>
            <w:r>
              <w:rPr>
                <w:rFonts w:ascii="Times New Roman" w:hAnsi="Times New Roman"/>
                <w:color w:val="auto"/>
                <w:sz w:val="24"/>
                <w:highlight w:val="none"/>
                <w:lang w:eastAsia="zh-CN"/>
              </w:rPr>
              <w:t>溢</w:t>
            </w:r>
            <w:r>
              <w:rPr>
                <w:rFonts w:ascii="Times New Roman" w:hAnsi="Times New Roman"/>
                <w:color w:val="auto"/>
                <w:spacing w:val="-3"/>
                <w:sz w:val="24"/>
                <w:highlight w:val="none"/>
                <w:lang w:eastAsia="zh-CN"/>
              </w:rPr>
              <w:t>出</w:t>
            </w:r>
            <w:r>
              <w:rPr>
                <w:rFonts w:ascii="Times New Roman" w:hAnsi="Times New Roman"/>
                <w:color w:val="auto"/>
                <w:spacing w:val="-17"/>
                <w:sz w:val="24"/>
                <w:highlight w:val="none"/>
                <w:lang w:eastAsia="zh-CN"/>
              </w:rPr>
              <w:t>、</w:t>
            </w:r>
            <w:r>
              <w:rPr>
                <w:rFonts w:ascii="Times New Roman" w:hAnsi="Times New Roman"/>
                <w:color w:val="auto"/>
                <w:spacing w:val="-3"/>
                <w:sz w:val="24"/>
                <w:highlight w:val="none"/>
                <w:lang w:eastAsia="zh-CN"/>
              </w:rPr>
              <w:t>抛洒</w:t>
            </w:r>
            <w:r>
              <w:rPr>
                <w:rFonts w:ascii="Times New Roman" w:hAnsi="Times New Roman"/>
                <w:color w:val="auto"/>
                <w:sz w:val="24"/>
                <w:highlight w:val="none"/>
                <w:lang w:eastAsia="zh-CN"/>
              </w:rPr>
              <w:t>或挥</w:t>
            </w:r>
            <w:r>
              <w:rPr>
                <w:rFonts w:ascii="Times New Roman" w:hAnsi="Times New Roman"/>
                <w:color w:val="auto"/>
                <w:spacing w:val="-3"/>
                <w:sz w:val="24"/>
                <w:highlight w:val="none"/>
                <w:lang w:eastAsia="zh-CN"/>
              </w:rPr>
              <w:t>发</w:t>
            </w:r>
            <w:r>
              <w:rPr>
                <w:rFonts w:ascii="Times New Roman" w:hAnsi="Times New Roman"/>
                <w:color w:val="auto"/>
                <w:sz w:val="24"/>
                <w:highlight w:val="none"/>
                <w:lang w:eastAsia="zh-CN"/>
              </w:rPr>
              <w:t>等</w:t>
            </w:r>
            <w:r>
              <w:rPr>
                <w:rFonts w:ascii="Times New Roman" w:hAnsi="Times New Roman"/>
                <w:color w:val="auto"/>
                <w:spacing w:val="-3"/>
                <w:sz w:val="24"/>
                <w:highlight w:val="none"/>
                <w:lang w:eastAsia="zh-CN"/>
              </w:rPr>
              <w:t>情况</w:t>
            </w:r>
            <w:r>
              <w:rPr>
                <w:rFonts w:ascii="Times New Roman" w:hAnsi="Times New Roman"/>
                <w:color w:val="auto"/>
                <w:spacing w:val="-17"/>
                <w:sz w:val="24"/>
                <w:highlight w:val="none"/>
                <w:lang w:eastAsia="zh-CN"/>
              </w:rPr>
              <w:t>。</w:t>
            </w:r>
          </w:p>
          <w:p w14:paraId="76D3D92B">
            <w:pPr>
              <w:pStyle w:val="43"/>
              <w:kinsoku w:val="0"/>
              <w:overflowPunct w:val="0"/>
              <w:adjustRightInd w:val="0"/>
              <w:snapToGrid w:val="0"/>
              <w:spacing w:line="360" w:lineRule="auto"/>
              <w:ind w:firstLine="480" w:firstLineChars="200"/>
              <w:rPr>
                <w:rFonts w:ascii="Times New Roman" w:hAnsi="Times New Roman"/>
                <w:color w:val="auto"/>
                <w:sz w:val="24"/>
                <w:highlight w:val="none"/>
                <w:lang w:eastAsia="zh-CN"/>
              </w:rPr>
            </w:pPr>
            <w:r>
              <w:rPr>
                <w:rFonts w:ascii="Times New Roman" w:hAnsi="Times New Roman"/>
                <w:color w:val="auto"/>
                <w:sz w:val="24"/>
                <w:highlight w:val="none"/>
                <w:lang w:eastAsia="zh-CN"/>
              </w:rPr>
              <w:t>（2）危险废物暂存及转移要求及分析</w:t>
            </w:r>
          </w:p>
          <w:p w14:paraId="63D5F3CD">
            <w:pPr>
              <w:pStyle w:val="43"/>
              <w:kinsoku w:val="0"/>
              <w:overflowPunct w:val="0"/>
              <w:adjustRightInd w:val="0"/>
              <w:snapToGrid w:val="0"/>
              <w:spacing w:line="360" w:lineRule="auto"/>
              <w:ind w:firstLine="480" w:firstLineChars="200"/>
              <w:rPr>
                <w:rFonts w:ascii="Times New Roman" w:hAnsi="Times New Roman"/>
                <w:color w:val="auto"/>
                <w:sz w:val="24"/>
                <w:highlight w:val="none"/>
                <w:lang w:eastAsia="zh-CN"/>
              </w:rPr>
            </w:pPr>
            <w:r>
              <w:rPr>
                <w:rFonts w:ascii="Times New Roman" w:hAnsi="Times New Roman"/>
                <w:color w:val="auto"/>
                <w:sz w:val="24"/>
                <w:highlight w:val="none"/>
                <w:lang w:eastAsia="zh-CN"/>
              </w:rPr>
              <w:t>企业危险废物应尽快送往</w:t>
            </w:r>
            <w:r>
              <w:rPr>
                <w:rFonts w:hint="default" w:ascii="Times New Roman" w:hAnsi="Times New Roman"/>
                <w:color w:val="auto"/>
                <w:sz w:val="24"/>
                <w:highlight w:val="none"/>
                <w:lang w:eastAsia="zh-CN"/>
              </w:rPr>
              <w:t>委托有资质单位处理</w:t>
            </w:r>
            <w:r>
              <w:rPr>
                <w:rFonts w:hint="eastAsia" w:ascii="Times New Roman" w:hAnsi="Times New Roman"/>
                <w:color w:val="auto"/>
                <w:sz w:val="24"/>
                <w:highlight w:val="none"/>
                <w:lang w:eastAsia="zh-CN"/>
              </w:rPr>
              <w:t>处置</w:t>
            </w:r>
            <w:r>
              <w:rPr>
                <w:rFonts w:ascii="Times New Roman" w:hAnsi="Times New Roman"/>
                <w:color w:val="auto"/>
                <w:sz w:val="24"/>
                <w:highlight w:val="none"/>
                <w:lang w:eastAsia="zh-CN"/>
              </w:rPr>
              <w:t>，不宜存放过长时间；若由于危废处置单位暂时无法转移固废，需将固废暂时存储在本项目厂区内，则需修建临时贮存场所，且暂存期不得超过一年。具体要求做到以下几点：</w:t>
            </w:r>
          </w:p>
          <w:p w14:paraId="3CC41DCB">
            <w:pPr>
              <w:pStyle w:val="43"/>
              <w:kinsoku w:val="0"/>
              <w:overflowPunct w:val="0"/>
              <w:adjustRightInd w:val="0"/>
              <w:snapToGrid w:val="0"/>
              <w:spacing w:line="360" w:lineRule="auto"/>
              <w:ind w:firstLine="480" w:firstLineChars="200"/>
              <w:rPr>
                <w:rFonts w:ascii="Times New Roman" w:hAnsi="Times New Roman"/>
                <w:color w:val="auto"/>
                <w:sz w:val="24"/>
                <w:highlight w:val="none"/>
                <w:lang w:eastAsia="zh-CN"/>
              </w:rPr>
            </w:pPr>
            <w:r>
              <w:rPr>
                <w:rFonts w:ascii="Times New Roman" w:hAnsi="Times New Roman"/>
                <w:color w:val="auto"/>
                <w:sz w:val="24"/>
                <w:highlight w:val="none"/>
                <w:lang w:eastAsia="zh-CN"/>
              </w:rPr>
              <w:t>①废物贮存设施必须按《环境保护图形标志</w:t>
            </w:r>
            <w:r>
              <w:rPr>
                <w:rFonts w:hint="eastAsia" w:ascii="Times New Roman" w:hAnsi="Times New Roman"/>
                <w:color w:val="auto"/>
                <w:sz w:val="24"/>
                <w:highlight w:val="none"/>
                <w:lang w:eastAsia="zh-CN"/>
              </w:rPr>
              <w:t>（</w:t>
            </w:r>
            <w:r>
              <w:rPr>
                <w:rFonts w:ascii="Times New Roman" w:hAnsi="Times New Roman"/>
                <w:color w:val="auto"/>
                <w:sz w:val="24"/>
                <w:highlight w:val="none"/>
                <w:lang w:eastAsia="zh-CN"/>
              </w:rPr>
              <w:t>GB15562-1995)》的规定设置警示标志；</w:t>
            </w:r>
          </w:p>
          <w:p w14:paraId="53753237">
            <w:pPr>
              <w:pStyle w:val="43"/>
              <w:kinsoku w:val="0"/>
              <w:overflowPunct w:val="0"/>
              <w:adjustRightInd w:val="0"/>
              <w:snapToGrid w:val="0"/>
              <w:spacing w:line="360" w:lineRule="auto"/>
              <w:ind w:firstLine="480" w:firstLineChars="200"/>
              <w:rPr>
                <w:rFonts w:ascii="Times New Roman" w:hAnsi="Times New Roman"/>
                <w:color w:val="auto"/>
                <w:sz w:val="24"/>
                <w:highlight w:val="none"/>
                <w:lang w:eastAsia="zh-CN"/>
              </w:rPr>
            </w:pPr>
            <w:r>
              <w:rPr>
                <w:rFonts w:ascii="Times New Roman" w:hAnsi="Times New Roman"/>
                <w:color w:val="auto"/>
                <w:sz w:val="24"/>
                <w:highlight w:val="none"/>
                <w:lang w:eastAsia="zh-CN"/>
              </w:rPr>
              <w:t>②废物贮存设施周围应设置围墙</w:t>
            </w:r>
            <w:r>
              <w:rPr>
                <w:rFonts w:hint="eastAsia" w:ascii="Times New Roman" w:hAnsi="Times New Roman"/>
                <w:color w:val="auto"/>
                <w:sz w:val="24"/>
                <w:highlight w:val="none"/>
                <w:lang w:eastAsia="zh-CN"/>
              </w:rPr>
              <w:t>或其他</w:t>
            </w:r>
            <w:r>
              <w:rPr>
                <w:rFonts w:ascii="Times New Roman" w:hAnsi="Times New Roman"/>
                <w:color w:val="auto"/>
                <w:sz w:val="24"/>
                <w:highlight w:val="none"/>
                <w:lang w:eastAsia="zh-CN"/>
              </w:rPr>
              <w:t>防护栅栏；</w:t>
            </w:r>
          </w:p>
          <w:p w14:paraId="2E5793EE">
            <w:pPr>
              <w:pStyle w:val="43"/>
              <w:kinsoku w:val="0"/>
              <w:overflowPunct w:val="0"/>
              <w:adjustRightInd w:val="0"/>
              <w:snapToGrid w:val="0"/>
              <w:spacing w:line="360" w:lineRule="auto"/>
              <w:ind w:firstLine="452" w:firstLineChars="200"/>
              <w:rPr>
                <w:rFonts w:ascii="Times New Roman" w:hAnsi="Times New Roman"/>
                <w:color w:val="auto"/>
                <w:spacing w:val="-7"/>
                <w:sz w:val="24"/>
                <w:highlight w:val="none"/>
                <w:lang w:eastAsia="zh-CN"/>
              </w:rPr>
            </w:pPr>
            <w:r>
              <w:rPr>
                <w:rFonts w:ascii="Times New Roman" w:hAnsi="Times New Roman"/>
                <w:color w:val="auto"/>
                <w:spacing w:val="-7"/>
                <w:sz w:val="24"/>
                <w:highlight w:val="none"/>
                <w:lang w:eastAsia="zh-CN"/>
              </w:rPr>
              <w:t>③废物贮存设施应配备通讯设备、照明设施、安全防护服装及工具，并设有应急防护设施；</w:t>
            </w:r>
          </w:p>
          <w:p w14:paraId="089A2EFD">
            <w:pPr>
              <w:pStyle w:val="43"/>
              <w:kinsoku w:val="0"/>
              <w:overflowPunct w:val="0"/>
              <w:adjustRightInd w:val="0"/>
              <w:snapToGrid w:val="0"/>
              <w:spacing w:line="360" w:lineRule="auto"/>
              <w:ind w:firstLine="480" w:firstLineChars="200"/>
              <w:rPr>
                <w:rFonts w:ascii="Times New Roman" w:hAnsi="Times New Roman"/>
                <w:color w:val="auto"/>
                <w:sz w:val="24"/>
                <w:highlight w:val="none"/>
                <w:lang w:eastAsia="zh-CN"/>
              </w:rPr>
            </w:pPr>
            <w:r>
              <w:rPr>
                <w:rFonts w:ascii="Times New Roman" w:hAnsi="Times New Roman"/>
                <w:color w:val="auto"/>
                <w:sz w:val="24"/>
                <w:highlight w:val="none"/>
                <w:lang w:eastAsia="zh-CN"/>
              </w:rPr>
              <w:t>④废物贮存设施内清理出来的泄漏物，一律按危险废物处理；</w:t>
            </w:r>
          </w:p>
          <w:p w14:paraId="5A69F8F5">
            <w:pPr>
              <w:pStyle w:val="43"/>
              <w:kinsoku w:val="0"/>
              <w:overflowPunct w:val="0"/>
              <w:adjustRightInd w:val="0"/>
              <w:snapToGrid w:val="0"/>
              <w:spacing w:line="360" w:lineRule="auto"/>
              <w:ind w:firstLine="480" w:firstLineChars="200"/>
              <w:rPr>
                <w:rFonts w:ascii="Times New Roman" w:hAnsi="Times New Roman"/>
                <w:color w:val="auto"/>
                <w:sz w:val="24"/>
                <w:highlight w:val="none"/>
                <w:lang w:eastAsia="zh-CN"/>
              </w:rPr>
            </w:pPr>
            <w:r>
              <w:rPr>
                <w:rFonts w:ascii="Times New Roman" w:hAnsi="Times New Roman"/>
                <w:color w:val="auto"/>
                <w:sz w:val="24"/>
                <w:highlight w:val="none"/>
                <w:lang w:eastAsia="zh-CN"/>
              </w:rPr>
              <w:t>⑤建</w:t>
            </w:r>
            <w:r>
              <w:rPr>
                <w:rFonts w:ascii="Times New Roman" w:hAnsi="Times New Roman"/>
                <w:color w:val="auto"/>
                <w:spacing w:val="-3"/>
                <w:sz w:val="24"/>
                <w:highlight w:val="none"/>
                <w:lang w:eastAsia="zh-CN"/>
              </w:rPr>
              <w:t>设</w:t>
            </w:r>
            <w:r>
              <w:rPr>
                <w:rFonts w:ascii="Times New Roman" w:hAnsi="Times New Roman"/>
                <w:color w:val="auto"/>
                <w:sz w:val="24"/>
                <w:highlight w:val="none"/>
                <w:lang w:eastAsia="zh-CN"/>
              </w:rPr>
              <w:t>单</w:t>
            </w:r>
            <w:r>
              <w:rPr>
                <w:rFonts w:ascii="Times New Roman" w:hAnsi="Times New Roman"/>
                <w:color w:val="auto"/>
                <w:spacing w:val="-3"/>
                <w:sz w:val="24"/>
                <w:highlight w:val="none"/>
                <w:lang w:eastAsia="zh-CN"/>
              </w:rPr>
              <w:t>位</w:t>
            </w:r>
            <w:r>
              <w:rPr>
                <w:rFonts w:ascii="Times New Roman" w:hAnsi="Times New Roman"/>
                <w:color w:val="auto"/>
                <w:sz w:val="24"/>
                <w:highlight w:val="none"/>
                <w:lang w:eastAsia="zh-CN"/>
              </w:rPr>
              <w:t>收</w:t>
            </w:r>
            <w:r>
              <w:rPr>
                <w:rFonts w:ascii="Times New Roman" w:hAnsi="Times New Roman"/>
                <w:color w:val="auto"/>
                <w:spacing w:val="-3"/>
                <w:sz w:val="24"/>
                <w:highlight w:val="none"/>
                <w:lang w:eastAsia="zh-CN"/>
              </w:rPr>
              <w:t>集</w:t>
            </w:r>
            <w:r>
              <w:rPr>
                <w:rFonts w:ascii="Times New Roman" w:hAnsi="Times New Roman"/>
                <w:color w:val="auto"/>
                <w:sz w:val="24"/>
                <w:highlight w:val="none"/>
                <w:lang w:eastAsia="zh-CN"/>
              </w:rPr>
              <w:t>危</w:t>
            </w:r>
            <w:r>
              <w:rPr>
                <w:rFonts w:ascii="Times New Roman" w:hAnsi="Times New Roman"/>
                <w:color w:val="auto"/>
                <w:spacing w:val="-3"/>
                <w:sz w:val="24"/>
                <w:highlight w:val="none"/>
                <w:lang w:eastAsia="zh-CN"/>
              </w:rPr>
              <w:t>险</w:t>
            </w:r>
            <w:r>
              <w:rPr>
                <w:rFonts w:ascii="Times New Roman" w:hAnsi="Times New Roman"/>
                <w:color w:val="auto"/>
                <w:sz w:val="24"/>
                <w:highlight w:val="none"/>
                <w:lang w:eastAsia="zh-CN"/>
              </w:rPr>
              <w:t>废</w:t>
            </w:r>
            <w:r>
              <w:rPr>
                <w:rFonts w:ascii="Times New Roman" w:hAnsi="Times New Roman"/>
                <w:color w:val="auto"/>
                <w:spacing w:val="-3"/>
                <w:sz w:val="24"/>
                <w:highlight w:val="none"/>
                <w:lang w:eastAsia="zh-CN"/>
              </w:rPr>
              <w:t>物</w:t>
            </w:r>
            <w:r>
              <w:rPr>
                <w:rFonts w:ascii="Times New Roman" w:hAnsi="Times New Roman"/>
                <w:color w:val="auto"/>
                <w:sz w:val="24"/>
                <w:highlight w:val="none"/>
                <w:lang w:eastAsia="zh-CN"/>
              </w:rPr>
              <w:t>后</w:t>
            </w:r>
            <w:r>
              <w:rPr>
                <w:rFonts w:ascii="Times New Roman" w:hAnsi="Times New Roman"/>
                <w:color w:val="auto"/>
                <w:spacing w:val="-53"/>
                <w:sz w:val="24"/>
                <w:highlight w:val="none"/>
                <w:lang w:eastAsia="zh-CN"/>
              </w:rPr>
              <w:t>，</w:t>
            </w:r>
            <w:r>
              <w:rPr>
                <w:rFonts w:ascii="Times New Roman" w:hAnsi="Times New Roman"/>
                <w:color w:val="auto"/>
                <w:spacing w:val="-3"/>
                <w:sz w:val="24"/>
                <w:highlight w:val="none"/>
                <w:lang w:eastAsia="zh-CN"/>
              </w:rPr>
              <w:t>放</w:t>
            </w:r>
            <w:r>
              <w:rPr>
                <w:rFonts w:ascii="Times New Roman" w:hAnsi="Times New Roman"/>
                <w:color w:val="auto"/>
                <w:sz w:val="24"/>
                <w:highlight w:val="none"/>
                <w:lang w:eastAsia="zh-CN"/>
              </w:rPr>
              <w:t>置</w:t>
            </w:r>
            <w:r>
              <w:rPr>
                <w:rFonts w:ascii="Times New Roman" w:hAnsi="Times New Roman"/>
                <w:color w:val="auto"/>
                <w:spacing w:val="-3"/>
                <w:sz w:val="24"/>
                <w:highlight w:val="none"/>
                <w:lang w:eastAsia="zh-CN"/>
              </w:rPr>
              <w:t>在</w:t>
            </w:r>
            <w:r>
              <w:rPr>
                <w:rFonts w:ascii="Times New Roman" w:hAnsi="Times New Roman"/>
                <w:color w:val="auto"/>
                <w:sz w:val="24"/>
                <w:highlight w:val="none"/>
                <w:lang w:eastAsia="zh-CN"/>
              </w:rPr>
              <w:t>厂</w:t>
            </w:r>
            <w:r>
              <w:rPr>
                <w:rFonts w:ascii="Times New Roman" w:hAnsi="Times New Roman"/>
                <w:color w:val="auto"/>
                <w:spacing w:val="-3"/>
                <w:sz w:val="24"/>
                <w:highlight w:val="none"/>
                <w:lang w:eastAsia="zh-CN"/>
              </w:rPr>
              <w:t>内</w:t>
            </w:r>
            <w:r>
              <w:rPr>
                <w:rFonts w:ascii="Times New Roman" w:hAnsi="Times New Roman"/>
                <w:color w:val="auto"/>
                <w:sz w:val="24"/>
                <w:highlight w:val="none"/>
                <w:lang w:eastAsia="zh-CN"/>
              </w:rPr>
              <w:t>的</w:t>
            </w:r>
            <w:r>
              <w:rPr>
                <w:rFonts w:ascii="Times New Roman" w:hAnsi="Times New Roman"/>
                <w:color w:val="auto"/>
                <w:spacing w:val="-3"/>
                <w:sz w:val="24"/>
                <w:highlight w:val="none"/>
                <w:lang w:eastAsia="zh-CN"/>
              </w:rPr>
              <w:t>固</w:t>
            </w:r>
            <w:r>
              <w:rPr>
                <w:rFonts w:ascii="Times New Roman" w:hAnsi="Times New Roman"/>
                <w:color w:val="auto"/>
                <w:sz w:val="24"/>
                <w:highlight w:val="none"/>
                <w:lang w:eastAsia="zh-CN"/>
              </w:rPr>
              <w:t>废</w:t>
            </w:r>
            <w:r>
              <w:rPr>
                <w:rFonts w:ascii="Times New Roman" w:hAnsi="Times New Roman"/>
                <w:color w:val="auto"/>
                <w:spacing w:val="-3"/>
                <w:sz w:val="24"/>
                <w:highlight w:val="none"/>
                <w:lang w:eastAsia="zh-CN"/>
              </w:rPr>
              <w:t>暂</w:t>
            </w:r>
            <w:r>
              <w:rPr>
                <w:rFonts w:ascii="Times New Roman" w:hAnsi="Times New Roman"/>
                <w:color w:val="auto"/>
                <w:sz w:val="24"/>
                <w:highlight w:val="none"/>
                <w:lang w:eastAsia="zh-CN"/>
              </w:rPr>
              <w:t>存库</w:t>
            </w:r>
            <w:r>
              <w:rPr>
                <w:rFonts w:ascii="Times New Roman" w:hAnsi="Times New Roman"/>
                <w:color w:val="auto"/>
                <w:spacing w:val="-3"/>
                <w:sz w:val="24"/>
                <w:highlight w:val="none"/>
                <w:lang w:eastAsia="zh-CN"/>
              </w:rPr>
              <w:t>同</w:t>
            </w:r>
            <w:r>
              <w:rPr>
                <w:rFonts w:ascii="Times New Roman" w:hAnsi="Times New Roman"/>
                <w:color w:val="auto"/>
                <w:sz w:val="24"/>
                <w:highlight w:val="none"/>
                <w:lang w:eastAsia="zh-CN"/>
              </w:rPr>
              <w:t>时</w:t>
            </w:r>
            <w:r>
              <w:rPr>
                <w:rFonts w:hint="eastAsia" w:ascii="Times New Roman" w:hAnsi="Times New Roman"/>
                <w:color w:val="auto"/>
                <w:sz w:val="24"/>
                <w:highlight w:val="none"/>
                <w:lang w:eastAsia="zh-CN"/>
              </w:rPr>
              <w:t>做好</w:t>
            </w:r>
            <w:r>
              <w:rPr>
                <w:rFonts w:ascii="Times New Roman" w:hAnsi="Times New Roman"/>
                <w:color w:val="auto"/>
                <w:spacing w:val="-3"/>
                <w:sz w:val="24"/>
                <w:highlight w:val="none"/>
                <w:lang w:eastAsia="zh-CN"/>
              </w:rPr>
              <w:t>危</w:t>
            </w:r>
            <w:r>
              <w:rPr>
                <w:rFonts w:ascii="Times New Roman" w:hAnsi="Times New Roman"/>
                <w:color w:val="auto"/>
                <w:sz w:val="24"/>
                <w:highlight w:val="none"/>
                <w:lang w:eastAsia="zh-CN"/>
              </w:rPr>
              <w:t>险</w:t>
            </w:r>
            <w:r>
              <w:rPr>
                <w:rFonts w:ascii="Times New Roman" w:hAnsi="Times New Roman"/>
                <w:color w:val="auto"/>
                <w:spacing w:val="-3"/>
                <w:sz w:val="24"/>
                <w:highlight w:val="none"/>
                <w:lang w:eastAsia="zh-CN"/>
              </w:rPr>
              <w:t>废</w:t>
            </w:r>
            <w:r>
              <w:rPr>
                <w:rFonts w:ascii="Times New Roman" w:hAnsi="Times New Roman"/>
                <w:color w:val="auto"/>
                <w:sz w:val="24"/>
                <w:highlight w:val="none"/>
                <w:lang w:eastAsia="zh-CN"/>
              </w:rPr>
              <w:t>物</w:t>
            </w:r>
            <w:r>
              <w:rPr>
                <w:rFonts w:ascii="Times New Roman" w:hAnsi="Times New Roman"/>
                <w:color w:val="auto"/>
                <w:spacing w:val="-3"/>
                <w:sz w:val="24"/>
                <w:highlight w:val="none"/>
                <w:lang w:eastAsia="zh-CN"/>
              </w:rPr>
              <w:t>情</w:t>
            </w:r>
            <w:r>
              <w:rPr>
                <w:rFonts w:ascii="Times New Roman" w:hAnsi="Times New Roman"/>
                <w:color w:val="auto"/>
                <w:sz w:val="24"/>
                <w:highlight w:val="none"/>
                <w:lang w:eastAsia="zh-CN"/>
              </w:rPr>
              <w:t>况的</w:t>
            </w:r>
            <w:r>
              <w:rPr>
                <w:rFonts w:ascii="Times New Roman" w:hAnsi="Times New Roman"/>
                <w:color w:val="auto"/>
                <w:spacing w:val="-3"/>
                <w:sz w:val="24"/>
                <w:highlight w:val="none"/>
                <w:lang w:eastAsia="zh-CN"/>
              </w:rPr>
              <w:t>记</w:t>
            </w:r>
            <w:r>
              <w:rPr>
                <w:rFonts w:ascii="Times New Roman" w:hAnsi="Times New Roman"/>
                <w:color w:val="auto"/>
                <w:sz w:val="24"/>
                <w:highlight w:val="none"/>
                <w:lang w:eastAsia="zh-CN"/>
              </w:rPr>
              <w:t>录</w:t>
            </w:r>
            <w:r>
              <w:rPr>
                <w:rFonts w:ascii="Times New Roman" w:hAnsi="Times New Roman"/>
                <w:color w:val="auto"/>
                <w:spacing w:val="-56"/>
                <w:sz w:val="24"/>
                <w:highlight w:val="none"/>
                <w:lang w:eastAsia="zh-CN"/>
              </w:rPr>
              <w:t>，</w:t>
            </w:r>
            <w:r>
              <w:rPr>
                <w:rFonts w:ascii="Times New Roman" w:hAnsi="Times New Roman"/>
                <w:color w:val="auto"/>
                <w:sz w:val="24"/>
                <w:highlight w:val="none"/>
                <w:lang w:eastAsia="zh-CN"/>
              </w:rPr>
              <w:t>记录上</w:t>
            </w:r>
            <w:r>
              <w:rPr>
                <w:rFonts w:ascii="Times New Roman" w:hAnsi="Times New Roman"/>
                <w:color w:val="auto"/>
                <w:spacing w:val="-3"/>
                <w:sz w:val="24"/>
                <w:highlight w:val="none"/>
                <w:lang w:eastAsia="zh-CN"/>
              </w:rPr>
              <w:t>注</w:t>
            </w:r>
            <w:r>
              <w:rPr>
                <w:rFonts w:ascii="Times New Roman" w:hAnsi="Times New Roman"/>
                <w:color w:val="auto"/>
                <w:sz w:val="24"/>
                <w:highlight w:val="none"/>
                <w:lang w:eastAsia="zh-CN"/>
              </w:rPr>
              <w:t>明</w:t>
            </w:r>
            <w:r>
              <w:rPr>
                <w:rFonts w:ascii="Times New Roman" w:hAnsi="Times New Roman"/>
                <w:color w:val="auto"/>
                <w:spacing w:val="-3"/>
                <w:sz w:val="24"/>
                <w:highlight w:val="none"/>
                <w:lang w:eastAsia="zh-CN"/>
              </w:rPr>
              <w:t>危</w:t>
            </w:r>
            <w:r>
              <w:rPr>
                <w:rFonts w:ascii="Times New Roman" w:hAnsi="Times New Roman"/>
                <w:color w:val="auto"/>
                <w:sz w:val="24"/>
                <w:highlight w:val="none"/>
                <w:lang w:eastAsia="zh-CN"/>
              </w:rPr>
              <w:t>险</w:t>
            </w:r>
            <w:r>
              <w:rPr>
                <w:rFonts w:ascii="Times New Roman" w:hAnsi="Times New Roman"/>
                <w:color w:val="auto"/>
                <w:spacing w:val="-3"/>
                <w:sz w:val="24"/>
                <w:highlight w:val="none"/>
                <w:lang w:eastAsia="zh-CN"/>
              </w:rPr>
              <w:t>废</w:t>
            </w:r>
            <w:r>
              <w:rPr>
                <w:rFonts w:ascii="Times New Roman" w:hAnsi="Times New Roman"/>
                <w:color w:val="auto"/>
                <w:sz w:val="24"/>
                <w:highlight w:val="none"/>
                <w:lang w:eastAsia="zh-CN"/>
              </w:rPr>
              <w:t>物</w:t>
            </w:r>
            <w:r>
              <w:rPr>
                <w:rFonts w:ascii="Times New Roman" w:hAnsi="Times New Roman"/>
                <w:color w:val="auto"/>
                <w:spacing w:val="-3"/>
                <w:sz w:val="24"/>
                <w:highlight w:val="none"/>
                <w:lang w:eastAsia="zh-CN"/>
              </w:rPr>
              <w:t>的</w:t>
            </w:r>
            <w:r>
              <w:rPr>
                <w:rFonts w:ascii="Times New Roman" w:hAnsi="Times New Roman"/>
                <w:color w:val="auto"/>
                <w:sz w:val="24"/>
                <w:highlight w:val="none"/>
                <w:lang w:eastAsia="zh-CN"/>
              </w:rPr>
              <w:t>名</w:t>
            </w:r>
            <w:r>
              <w:rPr>
                <w:rFonts w:ascii="Times New Roman" w:hAnsi="Times New Roman"/>
                <w:color w:val="auto"/>
                <w:spacing w:val="-3"/>
                <w:sz w:val="24"/>
                <w:highlight w:val="none"/>
                <w:lang w:eastAsia="zh-CN"/>
              </w:rPr>
              <w:t>称</w:t>
            </w:r>
            <w:r>
              <w:rPr>
                <w:rFonts w:ascii="Times New Roman" w:hAnsi="Times New Roman"/>
                <w:color w:val="auto"/>
                <w:sz w:val="24"/>
                <w:highlight w:val="none"/>
                <w:lang w:eastAsia="zh-CN"/>
              </w:rPr>
              <w:t>、数</w:t>
            </w:r>
            <w:r>
              <w:rPr>
                <w:rFonts w:ascii="Times New Roman" w:hAnsi="Times New Roman"/>
                <w:color w:val="auto"/>
                <w:spacing w:val="-3"/>
                <w:sz w:val="24"/>
                <w:highlight w:val="none"/>
                <w:lang w:eastAsia="zh-CN"/>
              </w:rPr>
              <w:t>量</w:t>
            </w:r>
            <w:r>
              <w:rPr>
                <w:rFonts w:ascii="Times New Roman" w:hAnsi="Times New Roman"/>
                <w:color w:val="auto"/>
                <w:sz w:val="24"/>
                <w:highlight w:val="none"/>
                <w:lang w:eastAsia="zh-CN"/>
              </w:rPr>
              <w:t>及</w:t>
            </w:r>
            <w:r>
              <w:rPr>
                <w:rFonts w:ascii="Times New Roman" w:hAnsi="Times New Roman"/>
                <w:color w:val="auto"/>
                <w:spacing w:val="-3"/>
                <w:sz w:val="24"/>
                <w:highlight w:val="none"/>
                <w:lang w:eastAsia="zh-CN"/>
              </w:rPr>
              <w:t>接</w:t>
            </w:r>
            <w:r>
              <w:rPr>
                <w:rFonts w:ascii="Times New Roman" w:hAnsi="Times New Roman"/>
                <w:color w:val="auto"/>
                <w:sz w:val="24"/>
                <w:highlight w:val="none"/>
                <w:lang w:eastAsia="zh-CN"/>
              </w:rPr>
              <w:t>收</w:t>
            </w:r>
            <w:r>
              <w:rPr>
                <w:rFonts w:ascii="Times New Roman" w:hAnsi="Times New Roman"/>
                <w:color w:val="auto"/>
                <w:spacing w:val="-3"/>
                <w:sz w:val="24"/>
                <w:highlight w:val="none"/>
                <w:lang w:eastAsia="zh-CN"/>
              </w:rPr>
              <w:t>单</w:t>
            </w:r>
            <w:r>
              <w:rPr>
                <w:rFonts w:ascii="Times New Roman" w:hAnsi="Times New Roman"/>
                <w:color w:val="auto"/>
                <w:sz w:val="24"/>
                <w:highlight w:val="none"/>
                <w:lang w:eastAsia="zh-CN"/>
              </w:rPr>
              <w:t>位</w:t>
            </w:r>
            <w:r>
              <w:rPr>
                <w:rFonts w:ascii="Times New Roman" w:hAnsi="Times New Roman"/>
                <w:color w:val="auto"/>
                <w:spacing w:val="-3"/>
                <w:sz w:val="24"/>
                <w:highlight w:val="none"/>
                <w:lang w:eastAsia="zh-CN"/>
              </w:rPr>
              <w:t>名</w:t>
            </w:r>
            <w:r>
              <w:rPr>
                <w:rFonts w:ascii="Times New Roman" w:hAnsi="Times New Roman"/>
                <w:color w:val="auto"/>
                <w:sz w:val="24"/>
                <w:highlight w:val="none"/>
                <w:lang w:eastAsia="zh-CN"/>
              </w:rPr>
              <w:t>称；</w:t>
            </w:r>
          </w:p>
          <w:p w14:paraId="7DB121AA">
            <w:pPr>
              <w:pStyle w:val="43"/>
              <w:kinsoku w:val="0"/>
              <w:overflowPunct w:val="0"/>
              <w:adjustRightInd w:val="0"/>
              <w:snapToGrid w:val="0"/>
              <w:spacing w:line="360" w:lineRule="auto"/>
              <w:ind w:firstLine="480" w:firstLineChars="200"/>
              <w:rPr>
                <w:rFonts w:ascii="Times New Roman" w:hAnsi="Times New Roman"/>
                <w:color w:val="auto"/>
                <w:sz w:val="24"/>
                <w:highlight w:val="none"/>
                <w:lang w:eastAsia="zh-CN"/>
              </w:rPr>
            </w:pPr>
            <w:r>
              <w:rPr>
                <w:rFonts w:ascii="Times New Roman" w:hAnsi="Times New Roman"/>
                <w:color w:val="auto"/>
                <w:sz w:val="24"/>
                <w:highlight w:val="none"/>
                <w:lang w:eastAsia="zh-CN"/>
              </w:rPr>
              <w:t>⑥建</w:t>
            </w:r>
            <w:r>
              <w:rPr>
                <w:rFonts w:ascii="Times New Roman" w:hAnsi="Times New Roman"/>
                <w:color w:val="auto"/>
                <w:spacing w:val="-3"/>
                <w:sz w:val="24"/>
                <w:highlight w:val="none"/>
                <w:lang w:eastAsia="zh-CN"/>
              </w:rPr>
              <w:t>设</w:t>
            </w:r>
            <w:r>
              <w:rPr>
                <w:rFonts w:ascii="Times New Roman" w:hAnsi="Times New Roman"/>
                <w:color w:val="auto"/>
                <w:sz w:val="24"/>
                <w:highlight w:val="none"/>
                <w:lang w:eastAsia="zh-CN"/>
              </w:rPr>
              <w:t>单</w:t>
            </w:r>
            <w:r>
              <w:rPr>
                <w:rFonts w:ascii="Times New Roman" w:hAnsi="Times New Roman"/>
                <w:color w:val="auto"/>
                <w:spacing w:val="-3"/>
                <w:sz w:val="24"/>
                <w:highlight w:val="none"/>
                <w:lang w:eastAsia="zh-CN"/>
              </w:rPr>
              <w:t>位</w:t>
            </w:r>
            <w:r>
              <w:rPr>
                <w:rFonts w:ascii="Times New Roman" w:hAnsi="Times New Roman"/>
                <w:color w:val="auto"/>
                <w:sz w:val="24"/>
                <w:highlight w:val="none"/>
                <w:lang w:eastAsia="zh-CN"/>
              </w:rPr>
              <w:t>应</w:t>
            </w:r>
            <w:r>
              <w:rPr>
                <w:rFonts w:ascii="Times New Roman" w:hAnsi="Times New Roman"/>
                <w:color w:val="auto"/>
                <w:spacing w:val="-3"/>
                <w:sz w:val="24"/>
                <w:highlight w:val="none"/>
                <w:lang w:eastAsia="zh-CN"/>
              </w:rPr>
              <w:t>做</w:t>
            </w:r>
            <w:r>
              <w:rPr>
                <w:rFonts w:ascii="Times New Roman" w:hAnsi="Times New Roman"/>
                <w:color w:val="auto"/>
                <w:sz w:val="24"/>
                <w:highlight w:val="none"/>
                <w:lang w:eastAsia="zh-CN"/>
              </w:rPr>
              <w:t>好</w:t>
            </w:r>
            <w:r>
              <w:rPr>
                <w:rFonts w:ascii="Times New Roman" w:hAnsi="Times New Roman"/>
                <w:color w:val="auto"/>
                <w:spacing w:val="-3"/>
                <w:sz w:val="24"/>
                <w:highlight w:val="none"/>
                <w:lang w:eastAsia="zh-CN"/>
              </w:rPr>
              <w:t>危</w:t>
            </w:r>
            <w:r>
              <w:rPr>
                <w:rFonts w:ascii="Times New Roman" w:hAnsi="Times New Roman"/>
                <w:color w:val="auto"/>
                <w:sz w:val="24"/>
                <w:highlight w:val="none"/>
                <w:lang w:eastAsia="zh-CN"/>
              </w:rPr>
              <w:t>废</w:t>
            </w:r>
            <w:r>
              <w:rPr>
                <w:rFonts w:ascii="Times New Roman" w:hAnsi="Times New Roman"/>
                <w:color w:val="auto"/>
                <w:spacing w:val="-3"/>
                <w:sz w:val="24"/>
                <w:highlight w:val="none"/>
                <w:lang w:eastAsia="zh-CN"/>
              </w:rPr>
              <w:t>转</w:t>
            </w:r>
            <w:r>
              <w:rPr>
                <w:rFonts w:ascii="Times New Roman" w:hAnsi="Times New Roman"/>
                <w:color w:val="auto"/>
                <w:sz w:val="24"/>
                <w:highlight w:val="none"/>
                <w:lang w:eastAsia="zh-CN"/>
              </w:rPr>
              <w:t>移申</w:t>
            </w:r>
            <w:r>
              <w:rPr>
                <w:rFonts w:ascii="Times New Roman" w:hAnsi="Times New Roman"/>
                <w:color w:val="auto"/>
                <w:spacing w:val="-3"/>
                <w:sz w:val="24"/>
                <w:highlight w:val="none"/>
                <w:lang w:eastAsia="zh-CN"/>
              </w:rPr>
              <w:t>报</w:t>
            </w:r>
            <w:r>
              <w:rPr>
                <w:rFonts w:ascii="Times New Roman" w:hAnsi="Times New Roman"/>
                <w:color w:val="auto"/>
                <w:spacing w:val="-36"/>
                <w:sz w:val="24"/>
                <w:highlight w:val="none"/>
                <w:lang w:eastAsia="zh-CN"/>
              </w:rPr>
              <w:t>、</w:t>
            </w:r>
            <w:r>
              <w:rPr>
                <w:rFonts w:ascii="Times New Roman" w:hAnsi="Times New Roman"/>
                <w:color w:val="auto"/>
                <w:sz w:val="24"/>
                <w:highlight w:val="none"/>
                <w:lang w:eastAsia="zh-CN"/>
              </w:rPr>
              <w:t>转</w:t>
            </w:r>
            <w:r>
              <w:rPr>
                <w:rFonts w:ascii="Times New Roman" w:hAnsi="Times New Roman"/>
                <w:color w:val="auto"/>
                <w:spacing w:val="-3"/>
                <w:sz w:val="24"/>
                <w:highlight w:val="none"/>
                <w:lang w:eastAsia="zh-CN"/>
              </w:rPr>
              <w:t>移</w:t>
            </w:r>
            <w:r>
              <w:rPr>
                <w:rFonts w:ascii="Times New Roman" w:hAnsi="Times New Roman"/>
                <w:color w:val="auto"/>
                <w:sz w:val="24"/>
                <w:highlight w:val="none"/>
                <w:lang w:eastAsia="zh-CN"/>
              </w:rPr>
              <w:t>联</w:t>
            </w:r>
            <w:r>
              <w:rPr>
                <w:rFonts w:ascii="Times New Roman" w:hAnsi="Times New Roman"/>
                <w:color w:val="auto"/>
                <w:spacing w:val="-3"/>
                <w:sz w:val="24"/>
                <w:highlight w:val="none"/>
                <w:lang w:eastAsia="zh-CN"/>
              </w:rPr>
              <w:t>单</w:t>
            </w:r>
            <w:r>
              <w:rPr>
                <w:rFonts w:ascii="Times New Roman" w:hAnsi="Times New Roman"/>
                <w:color w:val="auto"/>
                <w:sz w:val="24"/>
                <w:highlight w:val="none"/>
                <w:lang w:eastAsia="zh-CN"/>
              </w:rPr>
              <w:t>等</w:t>
            </w:r>
            <w:r>
              <w:rPr>
                <w:rFonts w:ascii="Times New Roman" w:hAnsi="Times New Roman"/>
                <w:color w:val="auto"/>
                <w:spacing w:val="-3"/>
                <w:sz w:val="24"/>
                <w:highlight w:val="none"/>
                <w:lang w:eastAsia="zh-CN"/>
              </w:rPr>
              <w:t>相关</w:t>
            </w:r>
            <w:r>
              <w:rPr>
                <w:rFonts w:ascii="Times New Roman" w:hAnsi="Times New Roman"/>
                <w:color w:val="auto"/>
                <w:sz w:val="24"/>
                <w:highlight w:val="none"/>
                <w:lang w:eastAsia="zh-CN"/>
              </w:rPr>
              <w:t>手</w:t>
            </w:r>
            <w:r>
              <w:rPr>
                <w:rFonts w:ascii="Times New Roman" w:hAnsi="Times New Roman"/>
                <w:color w:val="auto"/>
                <w:spacing w:val="-3"/>
                <w:sz w:val="24"/>
                <w:highlight w:val="none"/>
                <w:lang w:eastAsia="zh-CN"/>
              </w:rPr>
              <w:t>续</w:t>
            </w:r>
            <w:r>
              <w:rPr>
                <w:rFonts w:ascii="Times New Roman" w:hAnsi="Times New Roman"/>
                <w:color w:val="auto"/>
                <w:spacing w:val="-34"/>
                <w:sz w:val="24"/>
                <w:highlight w:val="none"/>
                <w:lang w:eastAsia="zh-CN"/>
              </w:rPr>
              <w:t>，</w:t>
            </w:r>
            <w:r>
              <w:rPr>
                <w:rFonts w:ascii="Times New Roman" w:hAnsi="Times New Roman"/>
                <w:color w:val="auto"/>
                <w:spacing w:val="-3"/>
                <w:sz w:val="24"/>
                <w:highlight w:val="none"/>
                <w:lang w:eastAsia="zh-CN"/>
              </w:rPr>
              <w:t>需</w:t>
            </w:r>
            <w:r>
              <w:rPr>
                <w:rFonts w:ascii="Times New Roman" w:hAnsi="Times New Roman"/>
                <w:color w:val="auto"/>
                <w:sz w:val="24"/>
                <w:highlight w:val="none"/>
                <w:lang w:eastAsia="zh-CN"/>
              </w:rPr>
              <w:t>满</w:t>
            </w:r>
            <w:r>
              <w:rPr>
                <w:rFonts w:ascii="Times New Roman" w:hAnsi="Times New Roman"/>
                <w:color w:val="auto"/>
                <w:spacing w:val="-37"/>
                <w:sz w:val="24"/>
                <w:highlight w:val="none"/>
                <w:lang w:eastAsia="zh-CN"/>
              </w:rPr>
              <w:t>足</w:t>
            </w:r>
            <w:r>
              <w:rPr>
                <w:rFonts w:ascii="Times New Roman" w:hAnsi="Times New Roman"/>
                <w:color w:val="auto"/>
                <w:spacing w:val="-3"/>
                <w:sz w:val="24"/>
                <w:highlight w:val="none"/>
                <w:lang w:eastAsia="zh-CN"/>
              </w:rPr>
              <w:t>《</w:t>
            </w:r>
            <w:r>
              <w:rPr>
                <w:rFonts w:ascii="Times New Roman" w:hAnsi="Times New Roman"/>
                <w:color w:val="auto"/>
                <w:sz w:val="24"/>
                <w:highlight w:val="none"/>
                <w:lang w:eastAsia="zh-CN"/>
              </w:rPr>
              <w:t>关</w:t>
            </w:r>
            <w:r>
              <w:rPr>
                <w:rFonts w:ascii="Times New Roman" w:hAnsi="Times New Roman"/>
                <w:color w:val="auto"/>
                <w:spacing w:val="-3"/>
                <w:sz w:val="24"/>
                <w:highlight w:val="none"/>
                <w:lang w:eastAsia="zh-CN"/>
              </w:rPr>
              <w:t>于</w:t>
            </w:r>
            <w:r>
              <w:rPr>
                <w:rFonts w:ascii="Times New Roman" w:hAnsi="Times New Roman"/>
                <w:color w:val="auto"/>
                <w:sz w:val="24"/>
                <w:highlight w:val="none"/>
                <w:lang w:eastAsia="zh-CN"/>
              </w:rPr>
              <w:t>加</w:t>
            </w:r>
            <w:r>
              <w:rPr>
                <w:rFonts w:ascii="Times New Roman" w:hAnsi="Times New Roman"/>
                <w:color w:val="auto"/>
                <w:spacing w:val="-3"/>
                <w:sz w:val="24"/>
                <w:highlight w:val="none"/>
                <w:lang w:eastAsia="zh-CN"/>
              </w:rPr>
              <w:t>强危</w:t>
            </w:r>
            <w:r>
              <w:rPr>
                <w:rFonts w:ascii="Times New Roman" w:hAnsi="Times New Roman"/>
                <w:color w:val="auto"/>
                <w:sz w:val="24"/>
                <w:highlight w:val="none"/>
                <w:lang w:eastAsia="zh-CN"/>
              </w:rPr>
              <w:t>险废</w:t>
            </w:r>
            <w:r>
              <w:rPr>
                <w:rFonts w:ascii="Times New Roman" w:hAnsi="Times New Roman"/>
                <w:color w:val="auto"/>
                <w:spacing w:val="-3"/>
                <w:sz w:val="24"/>
                <w:highlight w:val="none"/>
                <w:lang w:eastAsia="zh-CN"/>
              </w:rPr>
              <w:t>物</w:t>
            </w:r>
            <w:r>
              <w:rPr>
                <w:rFonts w:ascii="Times New Roman" w:hAnsi="Times New Roman"/>
                <w:color w:val="auto"/>
                <w:sz w:val="24"/>
                <w:highlight w:val="none"/>
                <w:lang w:eastAsia="zh-CN"/>
              </w:rPr>
              <w:t>交换和</w:t>
            </w:r>
            <w:r>
              <w:rPr>
                <w:rFonts w:ascii="Times New Roman" w:hAnsi="Times New Roman"/>
                <w:color w:val="auto"/>
                <w:spacing w:val="-1"/>
                <w:sz w:val="24"/>
                <w:highlight w:val="none"/>
                <w:lang w:eastAsia="zh-CN"/>
              </w:rPr>
              <w:t>转</w:t>
            </w:r>
            <w:r>
              <w:rPr>
                <w:rFonts w:ascii="Times New Roman" w:hAnsi="Times New Roman"/>
                <w:color w:val="auto"/>
                <w:spacing w:val="-3"/>
                <w:sz w:val="24"/>
                <w:highlight w:val="none"/>
                <w:lang w:eastAsia="zh-CN"/>
              </w:rPr>
              <w:t>移</w:t>
            </w:r>
            <w:r>
              <w:rPr>
                <w:rFonts w:ascii="Times New Roman" w:hAnsi="Times New Roman"/>
                <w:color w:val="auto"/>
                <w:sz w:val="24"/>
                <w:highlight w:val="none"/>
                <w:lang w:eastAsia="zh-CN"/>
              </w:rPr>
              <w:t>管</w:t>
            </w:r>
            <w:r>
              <w:rPr>
                <w:rFonts w:ascii="Times New Roman" w:hAnsi="Times New Roman"/>
                <w:color w:val="auto"/>
                <w:spacing w:val="-3"/>
                <w:sz w:val="24"/>
                <w:highlight w:val="none"/>
                <w:lang w:eastAsia="zh-CN"/>
              </w:rPr>
              <w:t>理</w:t>
            </w:r>
            <w:r>
              <w:rPr>
                <w:rFonts w:ascii="Times New Roman" w:hAnsi="Times New Roman"/>
                <w:color w:val="auto"/>
                <w:sz w:val="24"/>
                <w:highlight w:val="none"/>
                <w:lang w:eastAsia="zh-CN"/>
              </w:rPr>
              <w:t>工</w:t>
            </w:r>
            <w:r>
              <w:rPr>
                <w:rFonts w:ascii="Times New Roman" w:hAnsi="Times New Roman"/>
                <w:color w:val="auto"/>
                <w:spacing w:val="-3"/>
                <w:sz w:val="24"/>
                <w:highlight w:val="none"/>
                <w:lang w:eastAsia="zh-CN"/>
              </w:rPr>
              <w:t>作</w:t>
            </w:r>
            <w:r>
              <w:rPr>
                <w:rFonts w:ascii="Times New Roman" w:hAnsi="Times New Roman"/>
                <w:color w:val="auto"/>
                <w:spacing w:val="-1"/>
                <w:sz w:val="24"/>
                <w:highlight w:val="none"/>
                <w:lang w:eastAsia="zh-CN"/>
              </w:rPr>
              <w:t>的</w:t>
            </w:r>
            <w:r>
              <w:rPr>
                <w:rFonts w:ascii="Times New Roman" w:hAnsi="Times New Roman"/>
                <w:color w:val="auto"/>
                <w:spacing w:val="-3"/>
                <w:sz w:val="24"/>
                <w:highlight w:val="none"/>
                <w:lang w:eastAsia="zh-CN"/>
              </w:rPr>
              <w:t>通</w:t>
            </w:r>
            <w:r>
              <w:rPr>
                <w:rFonts w:ascii="Times New Roman" w:hAnsi="Times New Roman"/>
                <w:color w:val="auto"/>
                <w:sz w:val="24"/>
                <w:highlight w:val="none"/>
                <w:lang w:eastAsia="zh-CN"/>
              </w:rPr>
              <w:t>知</w:t>
            </w:r>
            <w:r>
              <w:rPr>
                <w:rFonts w:ascii="Times New Roman" w:hAnsi="Times New Roman"/>
                <w:color w:val="auto"/>
                <w:spacing w:val="-3"/>
                <w:sz w:val="24"/>
                <w:highlight w:val="none"/>
                <w:lang w:eastAsia="zh-CN"/>
              </w:rPr>
              <w:t>》</w:t>
            </w:r>
            <w:r>
              <w:rPr>
                <w:rFonts w:ascii="Times New Roman" w:hAnsi="Times New Roman"/>
                <w:color w:val="auto"/>
                <w:sz w:val="24"/>
                <w:highlight w:val="none"/>
                <w:lang w:eastAsia="zh-CN"/>
              </w:rPr>
              <w:t>要求</w:t>
            </w:r>
            <w:r>
              <w:rPr>
                <w:rFonts w:ascii="Times New Roman" w:hAnsi="Times New Roman"/>
                <w:color w:val="auto"/>
                <w:spacing w:val="-3"/>
                <w:sz w:val="24"/>
                <w:highlight w:val="none"/>
                <w:lang w:eastAsia="zh-CN"/>
              </w:rPr>
              <w:t>，</w:t>
            </w:r>
            <w:r>
              <w:rPr>
                <w:rFonts w:ascii="Times New Roman" w:hAnsi="Times New Roman"/>
                <w:color w:val="auto"/>
                <w:sz w:val="24"/>
                <w:highlight w:val="none"/>
                <w:lang w:eastAsia="zh-CN"/>
              </w:rPr>
              <w:t>加</w:t>
            </w:r>
            <w:r>
              <w:rPr>
                <w:rFonts w:ascii="Times New Roman" w:hAnsi="Times New Roman"/>
                <w:color w:val="auto"/>
                <w:spacing w:val="-3"/>
                <w:sz w:val="24"/>
                <w:highlight w:val="none"/>
                <w:lang w:eastAsia="zh-CN"/>
              </w:rPr>
              <w:t>强</w:t>
            </w:r>
            <w:r>
              <w:rPr>
                <w:rFonts w:ascii="Times New Roman" w:hAnsi="Times New Roman"/>
                <w:color w:val="auto"/>
                <w:sz w:val="24"/>
                <w:highlight w:val="none"/>
                <w:lang w:eastAsia="zh-CN"/>
              </w:rPr>
              <w:t>对</w:t>
            </w:r>
            <w:r>
              <w:rPr>
                <w:rFonts w:ascii="Times New Roman" w:hAnsi="Times New Roman"/>
                <w:color w:val="auto"/>
                <w:spacing w:val="-3"/>
                <w:sz w:val="24"/>
                <w:highlight w:val="none"/>
                <w:lang w:eastAsia="zh-CN"/>
              </w:rPr>
              <w:t>固</w:t>
            </w:r>
            <w:r>
              <w:rPr>
                <w:rFonts w:ascii="Times New Roman" w:hAnsi="Times New Roman"/>
                <w:color w:val="auto"/>
                <w:sz w:val="24"/>
                <w:highlight w:val="none"/>
                <w:lang w:eastAsia="zh-CN"/>
              </w:rPr>
              <w:t>体</w:t>
            </w:r>
            <w:r>
              <w:rPr>
                <w:rFonts w:ascii="Times New Roman" w:hAnsi="Times New Roman"/>
                <w:color w:val="auto"/>
                <w:spacing w:val="-3"/>
                <w:sz w:val="24"/>
                <w:highlight w:val="none"/>
                <w:lang w:eastAsia="zh-CN"/>
              </w:rPr>
              <w:t>废</w:t>
            </w:r>
            <w:r>
              <w:rPr>
                <w:rFonts w:ascii="Times New Roman" w:hAnsi="Times New Roman"/>
                <w:color w:val="auto"/>
                <w:sz w:val="24"/>
                <w:highlight w:val="none"/>
                <w:lang w:eastAsia="zh-CN"/>
              </w:rPr>
              <w:t>弃</w:t>
            </w:r>
            <w:r>
              <w:rPr>
                <w:rFonts w:ascii="Times New Roman" w:hAnsi="Times New Roman"/>
                <w:color w:val="auto"/>
                <w:spacing w:val="-3"/>
                <w:sz w:val="24"/>
                <w:highlight w:val="none"/>
                <w:lang w:eastAsia="zh-CN"/>
              </w:rPr>
              <w:t>物</w:t>
            </w:r>
            <w:r>
              <w:rPr>
                <w:rFonts w:ascii="Times New Roman" w:hAnsi="Times New Roman"/>
                <w:color w:val="auto"/>
                <w:sz w:val="24"/>
                <w:highlight w:val="none"/>
                <w:lang w:eastAsia="zh-CN"/>
              </w:rPr>
              <w:t>管理</w:t>
            </w:r>
            <w:r>
              <w:rPr>
                <w:rFonts w:ascii="Times New Roman" w:hAnsi="Times New Roman"/>
                <w:color w:val="auto"/>
                <w:spacing w:val="-3"/>
                <w:sz w:val="24"/>
                <w:highlight w:val="none"/>
                <w:lang w:eastAsia="zh-CN"/>
              </w:rPr>
              <w:t>，</w:t>
            </w:r>
            <w:r>
              <w:rPr>
                <w:rFonts w:ascii="Times New Roman" w:hAnsi="Times New Roman"/>
                <w:color w:val="auto"/>
                <w:sz w:val="24"/>
                <w:highlight w:val="none"/>
                <w:lang w:eastAsia="zh-CN"/>
              </w:rPr>
              <w:t>做</w:t>
            </w:r>
            <w:r>
              <w:rPr>
                <w:rFonts w:ascii="Times New Roman" w:hAnsi="Times New Roman"/>
                <w:color w:val="auto"/>
                <w:spacing w:val="-3"/>
                <w:sz w:val="24"/>
                <w:highlight w:val="none"/>
                <w:lang w:eastAsia="zh-CN"/>
              </w:rPr>
              <w:t>好</w:t>
            </w:r>
            <w:r>
              <w:rPr>
                <w:rFonts w:ascii="Times New Roman" w:hAnsi="Times New Roman"/>
                <w:color w:val="auto"/>
                <w:sz w:val="24"/>
                <w:highlight w:val="none"/>
                <w:lang w:eastAsia="zh-CN"/>
              </w:rPr>
              <w:t>跟</w:t>
            </w:r>
            <w:r>
              <w:rPr>
                <w:rFonts w:ascii="Times New Roman" w:hAnsi="Times New Roman"/>
                <w:color w:val="auto"/>
                <w:spacing w:val="-3"/>
                <w:sz w:val="24"/>
                <w:highlight w:val="none"/>
                <w:lang w:eastAsia="zh-CN"/>
              </w:rPr>
              <w:t>踪</w:t>
            </w:r>
            <w:r>
              <w:rPr>
                <w:rFonts w:ascii="Times New Roman" w:hAnsi="Times New Roman"/>
                <w:color w:val="auto"/>
                <w:sz w:val="24"/>
                <w:highlight w:val="none"/>
                <w:lang w:eastAsia="zh-CN"/>
              </w:rPr>
              <w:t>管</w:t>
            </w:r>
            <w:r>
              <w:rPr>
                <w:rFonts w:ascii="Times New Roman" w:hAnsi="Times New Roman"/>
                <w:color w:val="auto"/>
                <w:spacing w:val="-3"/>
                <w:sz w:val="24"/>
                <w:highlight w:val="none"/>
                <w:lang w:eastAsia="zh-CN"/>
              </w:rPr>
              <w:t>理</w:t>
            </w:r>
            <w:r>
              <w:rPr>
                <w:rFonts w:ascii="Times New Roman" w:hAnsi="Times New Roman"/>
                <w:color w:val="auto"/>
                <w:sz w:val="24"/>
                <w:highlight w:val="none"/>
                <w:lang w:eastAsia="zh-CN"/>
              </w:rPr>
              <w:t>，</w:t>
            </w:r>
            <w:r>
              <w:rPr>
                <w:rFonts w:ascii="Times New Roman" w:hAnsi="Times New Roman"/>
                <w:color w:val="auto"/>
                <w:spacing w:val="-3"/>
                <w:sz w:val="24"/>
                <w:highlight w:val="none"/>
                <w:lang w:eastAsia="zh-CN"/>
              </w:rPr>
              <w:t>建</w:t>
            </w:r>
            <w:r>
              <w:rPr>
                <w:rFonts w:ascii="Times New Roman" w:hAnsi="Times New Roman"/>
                <w:color w:val="auto"/>
                <w:sz w:val="24"/>
                <w:highlight w:val="none"/>
                <w:lang w:eastAsia="zh-CN"/>
              </w:rPr>
              <w:t>立</w:t>
            </w:r>
            <w:r>
              <w:rPr>
                <w:rFonts w:hint="eastAsia" w:ascii="Times New Roman" w:hAnsi="Times New Roman"/>
                <w:color w:val="auto"/>
                <w:sz w:val="24"/>
                <w:highlight w:val="none"/>
                <w:lang w:eastAsia="zh-CN"/>
              </w:rPr>
              <w:t>管理台账</w:t>
            </w:r>
            <w:r>
              <w:rPr>
                <w:rFonts w:ascii="Times New Roman" w:hAnsi="Times New Roman"/>
                <w:color w:val="auto"/>
                <w:sz w:val="24"/>
                <w:highlight w:val="none"/>
                <w:lang w:eastAsia="zh-CN"/>
              </w:rPr>
              <w:t>；</w:t>
            </w:r>
          </w:p>
          <w:p w14:paraId="33266E46">
            <w:pPr>
              <w:pStyle w:val="43"/>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textAlignment w:val="auto"/>
              <w:rPr>
                <w:rFonts w:ascii="Times New Roman" w:hAnsi="Times New Roman"/>
                <w:color w:val="auto"/>
                <w:sz w:val="24"/>
                <w:highlight w:val="none"/>
                <w:lang w:eastAsia="zh-CN"/>
              </w:rPr>
            </w:pPr>
            <w:r>
              <w:rPr>
                <w:rFonts w:ascii="Times New Roman" w:hAnsi="Times New Roman"/>
                <w:color w:val="auto"/>
                <w:sz w:val="24"/>
                <w:highlight w:val="none"/>
                <w:lang w:eastAsia="zh-CN"/>
              </w:rPr>
              <w:t>⑦在转移危险废物前，须按照国家有关规定报批危险废物转移计划；经批准后，应当向移出地环境保护行政主管部门申请；产生单位应当在危险废物转移前三日内报告移出地环境保护行政主管部门，并同时将预期到达时间报告接受地环境保护行政主管部门；</w:t>
            </w:r>
          </w:p>
          <w:p w14:paraId="3D6521D8">
            <w:pPr>
              <w:pStyle w:val="43"/>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textAlignment w:val="auto"/>
              <w:rPr>
                <w:rFonts w:ascii="Times New Roman" w:hAnsi="Times New Roman"/>
                <w:color w:val="auto"/>
                <w:sz w:val="24"/>
                <w:highlight w:val="none"/>
                <w:lang w:eastAsia="zh-CN"/>
              </w:rPr>
            </w:pPr>
            <w:r>
              <w:rPr>
                <w:rFonts w:ascii="Times New Roman" w:hAnsi="Times New Roman"/>
                <w:color w:val="auto"/>
                <w:sz w:val="24"/>
                <w:highlight w:val="none"/>
                <w:lang w:eastAsia="zh-CN"/>
              </w:rPr>
              <w:t>⑧规</w:t>
            </w:r>
            <w:r>
              <w:rPr>
                <w:rFonts w:ascii="Times New Roman" w:hAnsi="Times New Roman"/>
                <w:color w:val="auto"/>
                <w:spacing w:val="-3"/>
                <w:sz w:val="24"/>
                <w:highlight w:val="none"/>
                <w:lang w:eastAsia="zh-CN"/>
              </w:rPr>
              <w:t>范</w:t>
            </w:r>
            <w:r>
              <w:rPr>
                <w:rFonts w:ascii="Times New Roman" w:hAnsi="Times New Roman"/>
                <w:color w:val="auto"/>
                <w:sz w:val="24"/>
                <w:highlight w:val="none"/>
                <w:lang w:eastAsia="zh-CN"/>
              </w:rPr>
              <w:t>危</w:t>
            </w:r>
            <w:r>
              <w:rPr>
                <w:rFonts w:ascii="Times New Roman" w:hAnsi="Times New Roman"/>
                <w:color w:val="auto"/>
                <w:spacing w:val="-3"/>
                <w:sz w:val="24"/>
                <w:highlight w:val="none"/>
                <w:lang w:eastAsia="zh-CN"/>
              </w:rPr>
              <w:t>险</w:t>
            </w:r>
            <w:r>
              <w:rPr>
                <w:rFonts w:ascii="Times New Roman" w:hAnsi="Times New Roman"/>
                <w:color w:val="auto"/>
                <w:sz w:val="24"/>
                <w:highlight w:val="none"/>
                <w:lang w:eastAsia="zh-CN"/>
              </w:rPr>
              <w:t>废</w:t>
            </w:r>
            <w:r>
              <w:rPr>
                <w:rFonts w:ascii="Times New Roman" w:hAnsi="Times New Roman"/>
                <w:color w:val="auto"/>
                <w:spacing w:val="-3"/>
                <w:sz w:val="24"/>
                <w:highlight w:val="none"/>
                <w:lang w:eastAsia="zh-CN"/>
              </w:rPr>
              <w:t>物</w:t>
            </w:r>
            <w:r>
              <w:rPr>
                <w:rFonts w:ascii="Times New Roman" w:hAnsi="Times New Roman"/>
                <w:color w:val="auto"/>
                <w:sz w:val="24"/>
                <w:highlight w:val="none"/>
                <w:lang w:eastAsia="zh-CN"/>
              </w:rPr>
              <w:t>收</w:t>
            </w:r>
            <w:r>
              <w:rPr>
                <w:rFonts w:ascii="Times New Roman" w:hAnsi="Times New Roman"/>
                <w:color w:val="auto"/>
                <w:spacing w:val="-3"/>
                <w:sz w:val="24"/>
                <w:highlight w:val="none"/>
                <w:lang w:eastAsia="zh-CN"/>
              </w:rPr>
              <w:t>集</w:t>
            </w:r>
            <w:r>
              <w:rPr>
                <w:rFonts w:ascii="Times New Roman" w:hAnsi="Times New Roman"/>
                <w:color w:val="auto"/>
                <w:sz w:val="24"/>
                <w:highlight w:val="none"/>
                <w:lang w:eastAsia="zh-CN"/>
              </w:rPr>
              <w:t>贮</w:t>
            </w:r>
            <w:r>
              <w:rPr>
                <w:rFonts w:ascii="Times New Roman" w:hAnsi="Times New Roman"/>
                <w:color w:val="auto"/>
                <w:spacing w:val="-3"/>
                <w:sz w:val="24"/>
                <w:highlight w:val="none"/>
                <w:lang w:eastAsia="zh-CN"/>
              </w:rPr>
              <w:t>存</w:t>
            </w:r>
            <w:r>
              <w:rPr>
                <w:rFonts w:ascii="Times New Roman" w:hAnsi="Times New Roman"/>
                <w:color w:val="auto"/>
                <w:spacing w:val="-34"/>
                <w:sz w:val="24"/>
                <w:highlight w:val="none"/>
                <w:lang w:eastAsia="zh-CN"/>
              </w:rPr>
              <w:t>，</w:t>
            </w:r>
            <w:r>
              <w:rPr>
                <w:rFonts w:ascii="Times New Roman" w:hAnsi="Times New Roman"/>
                <w:color w:val="auto"/>
                <w:spacing w:val="-3"/>
                <w:sz w:val="24"/>
                <w:highlight w:val="none"/>
                <w:lang w:eastAsia="zh-CN"/>
              </w:rPr>
              <w:t>完</w:t>
            </w:r>
            <w:r>
              <w:rPr>
                <w:rFonts w:ascii="Times New Roman" w:hAnsi="Times New Roman"/>
                <w:color w:val="auto"/>
                <w:sz w:val="24"/>
                <w:highlight w:val="none"/>
                <w:lang w:eastAsia="zh-CN"/>
              </w:rPr>
              <w:t>善</w:t>
            </w:r>
            <w:r>
              <w:rPr>
                <w:rFonts w:ascii="Times New Roman" w:hAnsi="Times New Roman"/>
                <w:color w:val="auto"/>
                <w:spacing w:val="-3"/>
                <w:sz w:val="24"/>
                <w:highlight w:val="none"/>
                <w:lang w:eastAsia="zh-CN"/>
              </w:rPr>
              <w:t>危</w:t>
            </w:r>
            <w:r>
              <w:rPr>
                <w:rFonts w:ascii="Times New Roman" w:hAnsi="Times New Roman"/>
                <w:color w:val="auto"/>
                <w:sz w:val="24"/>
                <w:highlight w:val="none"/>
                <w:lang w:eastAsia="zh-CN"/>
              </w:rPr>
              <w:t>险</w:t>
            </w:r>
            <w:r>
              <w:rPr>
                <w:rFonts w:ascii="Times New Roman" w:hAnsi="Times New Roman"/>
                <w:color w:val="auto"/>
                <w:spacing w:val="-3"/>
                <w:sz w:val="24"/>
                <w:highlight w:val="none"/>
                <w:lang w:eastAsia="zh-CN"/>
              </w:rPr>
              <w:t>废</w:t>
            </w:r>
            <w:r>
              <w:rPr>
                <w:rFonts w:ascii="Times New Roman" w:hAnsi="Times New Roman"/>
                <w:color w:val="auto"/>
                <w:sz w:val="24"/>
                <w:highlight w:val="none"/>
                <w:lang w:eastAsia="zh-CN"/>
              </w:rPr>
              <w:t>物</w:t>
            </w:r>
            <w:r>
              <w:rPr>
                <w:rFonts w:ascii="Times New Roman" w:hAnsi="Times New Roman"/>
                <w:color w:val="auto"/>
                <w:spacing w:val="-3"/>
                <w:sz w:val="24"/>
                <w:highlight w:val="none"/>
                <w:lang w:eastAsia="zh-CN"/>
              </w:rPr>
              <w:t>收</w:t>
            </w:r>
            <w:r>
              <w:rPr>
                <w:rFonts w:ascii="Times New Roman" w:hAnsi="Times New Roman"/>
                <w:color w:val="auto"/>
                <w:sz w:val="24"/>
                <w:highlight w:val="none"/>
                <w:lang w:eastAsia="zh-CN"/>
              </w:rPr>
              <w:t>集</w:t>
            </w:r>
            <w:r>
              <w:rPr>
                <w:rFonts w:ascii="Times New Roman" w:hAnsi="Times New Roman"/>
                <w:color w:val="auto"/>
                <w:spacing w:val="-3"/>
                <w:sz w:val="24"/>
                <w:highlight w:val="none"/>
                <w:lang w:eastAsia="zh-CN"/>
              </w:rPr>
              <w:t>体系</w:t>
            </w:r>
            <w:r>
              <w:rPr>
                <w:rFonts w:ascii="Times New Roman" w:hAnsi="Times New Roman"/>
                <w:color w:val="auto"/>
                <w:spacing w:val="-36"/>
                <w:sz w:val="24"/>
                <w:highlight w:val="none"/>
                <w:lang w:eastAsia="zh-CN"/>
              </w:rPr>
              <w:t>，</w:t>
            </w:r>
            <w:r>
              <w:rPr>
                <w:rFonts w:ascii="Times New Roman" w:hAnsi="Times New Roman"/>
                <w:color w:val="auto"/>
                <w:sz w:val="24"/>
                <w:highlight w:val="none"/>
                <w:lang w:eastAsia="zh-CN"/>
              </w:rPr>
              <w:t>规范</w:t>
            </w:r>
            <w:r>
              <w:rPr>
                <w:rFonts w:ascii="Times New Roman" w:hAnsi="Times New Roman"/>
                <w:color w:val="auto"/>
                <w:spacing w:val="-3"/>
                <w:sz w:val="24"/>
                <w:highlight w:val="none"/>
                <w:lang w:eastAsia="zh-CN"/>
              </w:rPr>
              <w:t>危</w:t>
            </w:r>
            <w:r>
              <w:rPr>
                <w:rFonts w:ascii="Times New Roman" w:hAnsi="Times New Roman"/>
                <w:color w:val="auto"/>
                <w:sz w:val="24"/>
                <w:highlight w:val="none"/>
                <w:lang w:eastAsia="zh-CN"/>
              </w:rPr>
              <w:t>险</w:t>
            </w:r>
            <w:r>
              <w:rPr>
                <w:rFonts w:ascii="Times New Roman" w:hAnsi="Times New Roman"/>
                <w:color w:val="auto"/>
                <w:spacing w:val="-3"/>
                <w:sz w:val="24"/>
                <w:highlight w:val="none"/>
                <w:lang w:eastAsia="zh-CN"/>
              </w:rPr>
              <w:t>废</w:t>
            </w:r>
            <w:r>
              <w:rPr>
                <w:rFonts w:ascii="Times New Roman" w:hAnsi="Times New Roman"/>
                <w:color w:val="auto"/>
                <w:sz w:val="24"/>
                <w:highlight w:val="none"/>
                <w:lang w:eastAsia="zh-CN"/>
              </w:rPr>
              <w:t>物</w:t>
            </w:r>
            <w:r>
              <w:rPr>
                <w:rFonts w:ascii="Times New Roman" w:hAnsi="Times New Roman"/>
                <w:color w:val="auto"/>
                <w:spacing w:val="-3"/>
                <w:sz w:val="24"/>
                <w:highlight w:val="none"/>
                <w:lang w:eastAsia="zh-CN"/>
              </w:rPr>
              <w:t>贮</w:t>
            </w:r>
            <w:r>
              <w:rPr>
                <w:rFonts w:ascii="Times New Roman" w:hAnsi="Times New Roman"/>
                <w:color w:val="auto"/>
                <w:sz w:val="24"/>
                <w:highlight w:val="none"/>
                <w:lang w:eastAsia="zh-CN"/>
              </w:rPr>
              <w:t>存</w:t>
            </w:r>
            <w:r>
              <w:rPr>
                <w:rFonts w:ascii="Times New Roman" w:hAnsi="Times New Roman"/>
                <w:color w:val="auto"/>
                <w:spacing w:val="-3"/>
                <w:sz w:val="24"/>
                <w:highlight w:val="none"/>
                <w:lang w:eastAsia="zh-CN"/>
              </w:rPr>
              <w:t>设施</w:t>
            </w:r>
            <w:r>
              <w:rPr>
                <w:rFonts w:ascii="Times New Roman" w:hAnsi="Times New Roman"/>
                <w:color w:val="auto"/>
                <w:spacing w:val="-36"/>
                <w:sz w:val="24"/>
                <w:highlight w:val="none"/>
                <w:lang w:eastAsia="zh-CN"/>
              </w:rPr>
              <w:t>，</w:t>
            </w:r>
            <w:r>
              <w:rPr>
                <w:rFonts w:ascii="Times New Roman" w:hAnsi="Times New Roman"/>
                <w:color w:val="auto"/>
                <w:sz w:val="24"/>
                <w:highlight w:val="none"/>
                <w:lang w:eastAsia="zh-CN"/>
              </w:rPr>
              <w:t>企业</w:t>
            </w:r>
            <w:r>
              <w:rPr>
                <w:rFonts w:ascii="Times New Roman" w:hAnsi="Times New Roman"/>
                <w:color w:val="auto"/>
                <w:spacing w:val="-3"/>
                <w:sz w:val="24"/>
                <w:highlight w:val="none"/>
                <w:lang w:eastAsia="zh-CN"/>
              </w:rPr>
              <w:t>应</w:t>
            </w:r>
            <w:r>
              <w:rPr>
                <w:rFonts w:ascii="Times New Roman" w:hAnsi="Times New Roman"/>
                <w:color w:val="auto"/>
                <w:sz w:val="24"/>
                <w:highlight w:val="none"/>
                <w:lang w:eastAsia="zh-CN"/>
              </w:rPr>
              <w:t>根据危险</w:t>
            </w:r>
            <w:r>
              <w:rPr>
                <w:rFonts w:ascii="Times New Roman" w:hAnsi="Times New Roman"/>
                <w:color w:val="auto"/>
                <w:spacing w:val="-3"/>
                <w:sz w:val="24"/>
                <w:highlight w:val="none"/>
                <w:lang w:eastAsia="zh-CN"/>
              </w:rPr>
              <w:t>废</w:t>
            </w:r>
            <w:r>
              <w:rPr>
                <w:rFonts w:ascii="Times New Roman" w:hAnsi="Times New Roman"/>
                <w:color w:val="auto"/>
                <w:sz w:val="24"/>
                <w:highlight w:val="none"/>
                <w:lang w:eastAsia="zh-CN"/>
              </w:rPr>
              <w:t>物</w:t>
            </w:r>
            <w:r>
              <w:rPr>
                <w:rFonts w:ascii="Times New Roman" w:hAnsi="Times New Roman"/>
                <w:color w:val="auto"/>
                <w:spacing w:val="-3"/>
                <w:sz w:val="24"/>
                <w:highlight w:val="none"/>
                <w:lang w:eastAsia="zh-CN"/>
              </w:rPr>
              <w:t>的</w:t>
            </w:r>
            <w:r>
              <w:rPr>
                <w:rFonts w:ascii="Times New Roman" w:hAnsi="Times New Roman"/>
                <w:color w:val="auto"/>
                <w:sz w:val="24"/>
                <w:highlight w:val="none"/>
                <w:lang w:eastAsia="zh-CN"/>
              </w:rPr>
              <w:t>种</w:t>
            </w:r>
            <w:r>
              <w:rPr>
                <w:rFonts w:ascii="Times New Roman" w:hAnsi="Times New Roman"/>
                <w:color w:val="auto"/>
                <w:spacing w:val="-3"/>
                <w:sz w:val="24"/>
                <w:highlight w:val="none"/>
                <w:lang w:eastAsia="zh-CN"/>
              </w:rPr>
              <w:t>类</w:t>
            </w:r>
            <w:r>
              <w:rPr>
                <w:rFonts w:ascii="Times New Roman" w:hAnsi="Times New Roman"/>
                <w:color w:val="auto"/>
                <w:sz w:val="24"/>
                <w:highlight w:val="none"/>
                <w:lang w:eastAsia="zh-CN"/>
              </w:rPr>
              <w:t>和</w:t>
            </w:r>
            <w:r>
              <w:rPr>
                <w:rFonts w:ascii="Times New Roman" w:hAnsi="Times New Roman"/>
                <w:color w:val="auto"/>
                <w:spacing w:val="-3"/>
                <w:sz w:val="24"/>
                <w:highlight w:val="none"/>
                <w:lang w:eastAsia="zh-CN"/>
              </w:rPr>
              <w:t>特</w:t>
            </w:r>
            <w:r>
              <w:rPr>
                <w:rFonts w:ascii="Times New Roman" w:hAnsi="Times New Roman"/>
                <w:color w:val="auto"/>
                <w:sz w:val="24"/>
                <w:highlight w:val="none"/>
                <w:lang w:eastAsia="zh-CN"/>
              </w:rPr>
              <w:t>性</w:t>
            </w:r>
            <w:r>
              <w:rPr>
                <w:rFonts w:ascii="Times New Roman" w:hAnsi="Times New Roman"/>
                <w:color w:val="auto"/>
                <w:spacing w:val="-3"/>
                <w:sz w:val="24"/>
                <w:highlight w:val="none"/>
                <w:lang w:eastAsia="zh-CN"/>
              </w:rPr>
              <w:t>进</w:t>
            </w:r>
            <w:r>
              <w:rPr>
                <w:rFonts w:ascii="Times New Roman" w:hAnsi="Times New Roman"/>
                <w:color w:val="auto"/>
                <w:sz w:val="24"/>
                <w:highlight w:val="none"/>
                <w:lang w:eastAsia="zh-CN"/>
              </w:rPr>
              <w:t>行分</w:t>
            </w:r>
            <w:r>
              <w:rPr>
                <w:rFonts w:ascii="Times New Roman" w:hAnsi="Times New Roman"/>
                <w:color w:val="auto"/>
                <w:spacing w:val="-3"/>
                <w:sz w:val="24"/>
                <w:highlight w:val="none"/>
                <w:lang w:eastAsia="zh-CN"/>
              </w:rPr>
              <w:t>区</w:t>
            </w:r>
            <w:r>
              <w:rPr>
                <w:rFonts w:ascii="Times New Roman" w:hAnsi="Times New Roman"/>
                <w:color w:val="auto"/>
                <w:spacing w:val="-20"/>
                <w:sz w:val="24"/>
                <w:highlight w:val="none"/>
                <w:lang w:eastAsia="zh-CN"/>
              </w:rPr>
              <w:t>、</w:t>
            </w:r>
            <w:r>
              <w:rPr>
                <w:rFonts w:ascii="Times New Roman" w:hAnsi="Times New Roman"/>
                <w:color w:val="auto"/>
                <w:sz w:val="24"/>
                <w:highlight w:val="none"/>
                <w:lang w:eastAsia="zh-CN"/>
              </w:rPr>
              <w:t>分</w:t>
            </w:r>
            <w:r>
              <w:rPr>
                <w:rFonts w:ascii="Times New Roman" w:hAnsi="Times New Roman"/>
                <w:color w:val="auto"/>
                <w:spacing w:val="-3"/>
                <w:sz w:val="24"/>
                <w:highlight w:val="none"/>
                <w:lang w:eastAsia="zh-CN"/>
              </w:rPr>
              <w:t>类</w:t>
            </w:r>
            <w:r>
              <w:rPr>
                <w:rFonts w:ascii="Times New Roman" w:hAnsi="Times New Roman"/>
                <w:color w:val="auto"/>
                <w:sz w:val="24"/>
                <w:highlight w:val="none"/>
                <w:lang w:eastAsia="zh-CN"/>
              </w:rPr>
              <w:t>贮</w:t>
            </w:r>
            <w:r>
              <w:rPr>
                <w:rFonts w:ascii="Times New Roman" w:hAnsi="Times New Roman"/>
                <w:color w:val="auto"/>
                <w:spacing w:val="-3"/>
                <w:sz w:val="24"/>
                <w:highlight w:val="none"/>
                <w:lang w:eastAsia="zh-CN"/>
              </w:rPr>
              <w:t>存</w:t>
            </w:r>
            <w:r>
              <w:rPr>
                <w:rFonts w:ascii="Times New Roman" w:hAnsi="Times New Roman"/>
                <w:color w:val="auto"/>
                <w:spacing w:val="-17"/>
                <w:sz w:val="24"/>
                <w:highlight w:val="none"/>
                <w:lang w:eastAsia="zh-CN"/>
              </w:rPr>
              <w:t>，</w:t>
            </w:r>
            <w:r>
              <w:rPr>
                <w:rFonts w:ascii="Times New Roman" w:hAnsi="Times New Roman"/>
                <w:color w:val="auto"/>
                <w:spacing w:val="-3"/>
                <w:sz w:val="24"/>
                <w:highlight w:val="none"/>
                <w:lang w:eastAsia="zh-CN"/>
              </w:rPr>
              <w:t>设置</w:t>
            </w:r>
            <w:r>
              <w:rPr>
                <w:rFonts w:ascii="Times New Roman" w:hAnsi="Times New Roman"/>
                <w:color w:val="auto"/>
                <w:sz w:val="24"/>
                <w:highlight w:val="none"/>
                <w:lang w:eastAsia="zh-CN"/>
              </w:rPr>
              <w:t>防</w:t>
            </w:r>
            <w:r>
              <w:rPr>
                <w:rFonts w:ascii="Times New Roman" w:hAnsi="Times New Roman"/>
                <w:color w:val="auto"/>
                <w:spacing w:val="-3"/>
                <w:sz w:val="24"/>
                <w:highlight w:val="none"/>
                <w:lang w:eastAsia="zh-CN"/>
              </w:rPr>
              <w:t>雨</w:t>
            </w:r>
            <w:r>
              <w:rPr>
                <w:rFonts w:ascii="Times New Roman" w:hAnsi="Times New Roman"/>
                <w:color w:val="auto"/>
                <w:spacing w:val="-17"/>
                <w:sz w:val="24"/>
                <w:highlight w:val="none"/>
                <w:lang w:eastAsia="zh-CN"/>
              </w:rPr>
              <w:t>、</w:t>
            </w:r>
            <w:r>
              <w:rPr>
                <w:rFonts w:ascii="Times New Roman" w:hAnsi="Times New Roman"/>
                <w:color w:val="auto"/>
                <w:spacing w:val="-3"/>
                <w:sz w:val="24"/>
                <w:highlight w:val="none"/>
                <w:lang w:eastAsia="zh-CN"/>
              </w:rPr>
              <w:t>防</w:t>
            </w:r>
            <w:r>
              <w:rPr>
                <w:rFonts w:ascii="Times New Roman" w:hAnsi="Times New Roman"/>
                <w:color w:val="auto"/>
                <w:sz w:val="24"/>
                <w:highlight w:val="none"/>
                <w:lang w:eastAsia="zh-CN"/>
              </w:rPr>
              <w:t>火</w:t>
            </w:r>
            <w:r>
              <w:rPr>
                <w:rFonts w:ascii="Times New Roman" w:hAnsi="Times New Roman"/>
                <w:color w:val="auto"/>
                <w:spacing w:val="-20"/>
                <w:sz w:val="24"/>
                <w:highlight w:val="none"/>
                <w:lang w:eastAsia="zh-CN"/>
              </w:rPr>
              <w:t>、</w:t>
            </w:r>
            <w:r>
              <w:rPr>
                <w:rFonts w:ascii="Times New Roman" w:hAnsi="Times New Roman"/>
                <w:color w:val="auto"/>
                <w:sz w:val="24"/>
                <w:highlight w:val="none"/>
                <w:lang w:eastAsia="zh-CN"/>
              </w:rPr>
              <w:t>防</w:t>
            </w:r>
            <w:r>
              <w:rPr>
                <w:rFonts w:ascii="Times New Roman" w:hAnsi="Times New Roman"/>
                <w:color w:val="auto"/>
                <w:spacing w:val="-3"/>
                <w:sz w:val="24"/>
                <w:highlight w:val="none"/>
                <w:lang w:eastAsia="zh-CN"/>
              </w:rPr>
              <w:t>雷</w:t>
            </w:r>
            <w:r>
              <w:rPr>
                <w:rFonts w:ascii="Times New Roman" w:hAnsi="Times New Roman"/>
                <w:color w:val="auto"/>
                <w:spacing w:val="-20"/>
                <w:sz w:val="24"/>
                <w:highlight w:val="none"/>
                <w:lang w:eastAsia="zh-CN"/>
              </w:rPr>
              <w:t>、</w:t>
            </w:r>
            <w:r>
              <w:rPr>
                <w:rFonts w:ascii="Times New Roman" w:hAnsi="Times New Roman"/>
                <w:color w:val="auto"/>
                <w:sz w:val="24"/>
                <w:highlight w:val="none"/>
                <w:lang w:eastAsia="zh-CN"/>
              </w:rPr>
              <w:t>防</w:t>
            </w:r>
            <w:r>
              <w:rPr>
                <w:rFonts w:ascii="Times New Roman" w:hAnsi="Times New Roman"/>
                <w:color w:val="auto"/>
                <w:spacing w:val="-3"/>
                <w:sz w:val="24"/>
                <w:highlight w:val="none"/>
                <w:lang w:eastAsia="zh-CN"/>
              </w:rPr>
              <w:t>扬</w:t>
            </w:r>
            <w:r>
              <w:rPr>
                <w:rFonts w:ascii="Times New Roman" w:hAnsi="Times New Roman"/>
                <w:color w:val="auto"/>
                <w:sz w:val="24"/>
                <w:highlight w:val="none"/>
                <w:lang w:eastAsia="zh-CN"/>
              </w:rPr>
              <w:t>散</w:t>
            </w:r>
            <w:r>
              <w:rPr>
                <w:rFonts w:ascii="Times New Roman" w:hAnsi="Times New Roman"/>
                <w:color w:val="auto"/>
                <w:spacing w:val="-20"/>
                <w:sz w:val="24"/>
                <w:highlight w:val="none"/>
                <w:lang w:eastAsia="zh-CN"/>
              </w:rPr>
              <w:t>、</w:t>
            </w:r>
            <w:r>
              <w:rPr>
                <w:rFonts w:ascii="Times New Roman" w:hAnsi="Times New Roman"/>
                <w:color w:val="auto"/>
                <w:sz w:val="24"/>
                <w:highlight w:val="none"/>
                <w:lang w:eastAsia="zh-CN"/>
              </w:rPr>
              <w:t>防</w:t>
            </w:r>
            <w:r>
              <w:rPr>
                <w:rFonts w:ascii="Times New Roman" w:hAnsi="Times New Roman"/>
                <w:color w:val="auto"/>
                <w:spacing w:val="-3"/>
                <w:sz w:val="24"/>
                <w:highlight w:val="none"/>
                <w:lang w:eastAsia="zh-CN"/>
              </w:rPr>
              <w:t>渗</w:t>
            </w:r>
            <w:r>
              <w:rPr>
                <w:rFonts w:ascii="Times New Roman" w:hAnsi="Times New Roman"/>
                <w:color w:val="auto"/>
                <w:sz w:val="24"/>
                <w:highlight w:val="none"/>
                <w:lang w:eastAsia="zh-CN"/>
              </w:rPr>
              <w:t>漏</w:t>
            </w:r>
            <w:r>
              <w:rPr>
                <w:rFonts w:ascii="Times New Roman" w:hAnsi="Times New Roman"/>
                <w:color w:val="auto"/>
                <w:spacing w:val="-3"/>
                <w:sz w:val="24"/>
                <w:highlight w:val="none"/>
                <w:lang w:eastAsia="zh-CN"/>
              </w:rPr>
              <w:t>装</w:t>
            </w:r>
            <w:r>
              <w:rPr>
                <w:rFonts w:ascii="Times New Roman" w:hAnsi="Times New Roman"/>
                <w:color w:val="auto"/>
                <w:sz w:val="24"/>
                <w:highlight w:val="none"/>
                <w:lang w:eastAsia="zh-CN"/>
              </w:rPr>
              <w:t>置及泄漏</w:t>
            </w:r>
            <w:r>
              <w:rPr>
                <w:rFonts w:ascii="Times New Roman" w:hAnsi="Times New Roman"/>
                <w:color w:val="auto"/>
                <w:spacing w:val="-3"/>
                <w:sz w:val="24"/>
                <w:highlight w:val="none"/>
                <w:lang w:eastAsia="zh-CN"/>
              </w:rPr>
              <w:t>液</w:t>
            </w:r>
            <w:r>
              <w:rPr>
                <w:rFonts w:ascii="Times New Roman" w:hAnsi="Times New Roman"/>
                <w:color w:val="auto"/>
                <w:spacing w:val="-1"/>
                <w:sz w:val="24"/>
                <w:highlight w:val="none"/>
                <w:lang w:eastAsia="zh-CN"/>
              </w:rPr>
              <w:t>体</w:t>
            </w:r>
            <w:r>
              <w:rPr>
                <w:rFonts w:ascii="Times New Roman" w:hAnsi="Times New Roman"/>
                <w:color w:val="auto"/>
                <w:spacing w:val="-3"/>
                <w:sz w:val="24"/>
                <w:highlight w:val="none"/>
                <w:lang w:eastAsia="zh-CN"/>
              </w:rPr>
              <w:t>收</w:t>
            </w:r>
            <w:r>
              <w:rPr>
                <w:rFonts w:ascii="Times New Roman" w:hAnsi="Times New Roman"/>
                <w:color w:val="auto"/>
                <w:sz w:val="24"/>
                <w:highlight w:val="none"/>
                <w:lang w:eastAsia="zh-CN"/>
              </w:rPr>
              <w:t>集</w:t>
            </w:r>
            <w:r>
              <w:rPr>
                <w:rFonts w:ascii="Times New Roman" w:hAnsi="Times New Roman"/>
                <w:color w:val="auto"/>
                <w:spacing w:val="-3"/>
                <w:sz w:val="24"/>
                <w:highlight w:val="none"/>
                <w:lang w:eastAsia="zh-CN"/>
              </w:rPr>
              <w:t>装</w:t>
            </w:r>
            <w:r>
              <w:rPr>
                <w:rFonts w:ascii="Times New Roman" w:hAnsi="Times New Roman"/>
                <w:color w:val="auto"/>
                <w:sz w:val="24"/>
                <w:highlight w:val="none"/>
                <w:lang w:eastAsia="zh-CN"/>
              </w:rPr>
              <w:t>置。</w:t>
            </w:r>
          </w:p>
          <w:p w14:paraId="799D1879">
            <w:pPr>
              <w:pStyle w:val="43"/>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textAlignment w:val="auto"/>
              <w:rPr>
                <w:rFonts w:ascii="Times New Roman" w:hAnsi="Times New Roman"/>
                <w:color w:val="auto"/>
                <w:sz w:val="24"/>
                <w:highlight w:val="none"/>
                <w:lang w:eastAsia="zh-CN"/>
              </w:rPr>
            </w:pPr>
            <w:r>
              <w:rPr>
                <w:rFonts w:ascii="Times New Roman" w:hAnsi="Times New Roman"/>
                <w:color w:val="auto"/>
                <w:sz w:val="24"/>
                <w:highlight w:val="none"/>
                <w:lang w:eastAsia="zh-CN"/>
              </w:rPr>
              <w:t>⑨本项目危废暂存过程中可能有少量废气产生，企业对危废进行密闭暂存。</w:t>
            </w:r>
            <w:r>
              <w:rPr>
                <w:rFonts w:hint="eastAsia"/>
                <w:color w:val="auto"/>
                <w:sz w:val="24"/>
                <w:highlight w:val="none"/>
                <w:lang w:eastAsia="zh-CN"/>
              </w:rPr>
              <w:t>其中废活性炭</w:t>
            </w:r>
            <w:r>
              <w:rPr>
                <w:color w:val="auto"/>
                <w:sz w:val="24"/>
                <w:highlight w:val="none"/>
              </w:rPr>
              <w:t>采用袋装暂存，扎紧暂存袋袋口</w:t>
            </w:r>
            <w:r>
              <w:rPr>
                <w:bCs/>
                <w:color w:val="auto"/>
                <w:sz w:val="24"/>
                <w:highlight w:val="none"/>
              </w:rPr>
              <w:t>，避免出现洒出情况</w:t>
            </w:r>
            <w:r>
              <w:rPr>
                <w:rFonts w:hint="eastAsia"/>
                <w:bCs/>
                <w:color w:val="auto"/>
                <w:sz w:val="24"/>
                <w:highlight w:val="none"/>
                <w:lang w:eastAsia="zh-CN"/>
              </w:rPr>
              <w:t>，</w:t>
            </w:r>
            <w:r>
              <w:rPr>
                <w:rFonts w:hint="eastAsia" w:ascii="Times New Roman" w:hAnsi="Times New Roman"/>
                <w:color w:val="auto"/>
                <w:sz w:val="24"/>
                <w:highlight w:val="none"/>
                <w:lang w:eastAsia="zh-CN"/>
              </w:rPr>
              <w:t>以防运输、搬运过程洒漏</w:t>
            </w:r>
            <w:r>
              <w:rPr>
                <w:rFonts w:ascii="Times New Roman" w:hAnsi="Times New Roman"/>
                <w:color w:val="auto"/>
                <w:sz w:val="24"/>
                <w:highlight w:val="none"/>
                <w:lang w:eastAsia="zh-CN"/>
              </w:rPr>
              <w:t>。采取一系列措施后，本项目无需进行危废废气的收集处置。本项目在出入口、设施内部、危险废物运输车辆通道等关键位置设置视频监控。</w:t>
            </w:r>
          </w:p>
          <w:p w14:paraId="2B9ABA89">
            <w:pPr>
              <w:pStyle w:val="43"/>
              <w:kinsoku w:val="0"/>
              <w:overflowPunct w:val="0"/>
              <w:adjustRightInd w:val="0"/>
              <w:snapToGrid w:val="0"/>
              <w:spacing w:line="360" w:lineRule="auto"/>
              <w:ind w:firstLine="480" w:firstLineChars="200"/>
              <w:rPr>
                <w:rFonts w:ascii="Times New Roman" w:hAnsi="Times New Roman"/>
                <w:b/>
                <w:color w:val="auto"/>
                <w:kern w:val="0"/>
                <w:sz w:val="10"/>
                <w:szCs w:val="10"/>
                <w:highlight w:val="none"/>
                <w:lang w:eastAsia="zh-CN"/>
              </w:rPr>
            </w:pPr>
            <w:r>
              <w:rPr>
                <w:rFonts w:ascii="Times New Roman" w:hAnsi="Times New Roman"/>
                <w:color w:val="auto"/>
                <w:sz w:val="24"/>
                <w:highlight w:val="none"/>
                <w:lang w:eastAsia="zh-CN"/>
              </w:rPr>
              <w:t>⑩危险废物贮存设施需作为污染防治设施纳入建设项目竣工环保验收，并符合安全生产、消防、规划、建设等相关职能的相关要求。</w:t>
            </w:r>
          </w:p>
          <w:p w14:paraId="60427A2C">
            <w:pPr>
              <w:pStyle w:val="43"/>
              <w:kinsoku w:val="0"/>
              <w:overflowPunct w:val="0"/>
              <w:spacing w:line="360" w:lineRule="auto"/>
              <w:ind w:firstLine="482" w:firstLineChars="200"/>
              <w:rPr>
                <w:rFonts w:ascii="Times New Roman" w:hAnsi="Times New Roman"/>
                <w:b/>
                <w:bCs/>
                <w:color w:val="auto"/>
                <w:sz w:val="24"/>
                <w:highlight w:val="none"/>
                <w:lang w:eastAsia="zh-CN"/>
              </w:rPr>
            </w:pPr>
            <w:r>
              <w:rPr>
                <w:rFonts w:ascii="Times New Roman" w:hAnsi="Times New Roman"/>
                <w:b/>
                <w:bCs/>
                <w:color w:val="auto"/>
                <w:sz w:val="24"/>
                <w:highlight w:val="none"/>
                <w:lang w:eastAsia="zh-CN"/>
              </w:rPr>
              <w:t>危废暂存场所设置合理性分析：</w:t>
            </w:r>
          </w:p>
          <w:p w14:paraId="1CB73B20">
            <w:pPr>
              <w:adjustRightInd w:val="0"/>
              <w:snapToGrid w:val="0"/>
              <w:spacing w:line="360" w:lineRule="auto"/>
              <w:ind w:firstLine="480" w:firstLineChars="200"/>
              <w:rPr>
                <w:bCs/>
                <w:color w:val="auto"/>
                <w:sz w:val="24"/>
                <w:highlight w:val="none"/>
              </w:rPr>
            </w:pPr>
            <w:r>
              <w:rPr>
                <w:bCs/>
                <w:color w:val="auto"/>
                <w:sz w:val="24"/>
                <w:highlight w:val="none"/>
              </w:rPr>
              <w:t>本项目危险固废暂存间占地面积</w:t>
            </w:r>
            <w:r>
              <w:rPr>
                <w:rFonts w:hint="eastAsia"/>
                <w:bCs/>
                <w:color w:val="auto"/>
                <w:sz w:val="24"/>
                <w:highlight w:val="none"/>
                <w:lang w:val="en-US" w:eastAsia="zh-CN"/>
              </w:rPr>
              <w:t>15</w:t>
            </w:r>
            <w:r>
              <w:rPr>
                <w:bCs/>
                <w:color w:val="auto"/>
                <w:sz w:val="24"/>
                <w:highlight w:val="none"/>
              </w:rPr>
              <w:t>m</w:t>
            </w:r>
            <w:r>
              <w:rPr>
                <w:bCs/>
                <w:color w:val="auto"/>
                <w:sz w:val="24"/>
                <w:highlight w:val="none"/>
                <w:vertAlign w:val="superscript"/>
              </w:rPr>
              <w:t>2</w:t>
            </w:r>
            <w:r>
              <w:rPr>
                <w:bCs/>
                <w:color w:val="auto"/>
                <w:sz w:val="24"/>
                <w:highlight w:val="none"/>
              </w:rPr>
              <w:t>，需要按照《危险废物贮存污染控制标准》（</w:t>
            </w:r>
            <w:r>
              <w:rPr>
                <w:rFonts w:hint="eastAsia"/>
                <w:bCs/>
                <w:color w:val="auto"/>
                <w:sz w:val="24"/>
                <w:highlight w:val="none"/>
              </w:rPr>
              <w:t>GB18597-2023</w:t>
            </w:r>
            <w:r>
              <w:rPr>
                <w:bCs/>
                <w:color w:val="auto"/>
                <w:sz w:val="24"/>
                <w:highlight w:val="none"/>
              </w:rPr>
              <w:t>）及其修改单要求进行建设。危废暂存场所地面基础及内墙应采取防渗措施，防渗层为至少1</w:t>
            </w:r>
            <w:r>
              <w:rPr>
                <w:rFonts w:hint="eastAsia"/>
                <w:bCs/>
                <w:color w:val="auto"/>
                <w:sz w:val="24"/>
                <w:highlight w:val="none"/>
                <w:lang w:val="en-US" w:eastAsia="zh-CN"/>
              </w:rPr>
              <w:t>m</w:t>
            </w:r>
            <w:r>
              <w:rPr>
                <w:bCs/>
                <w:color w:val="auto"/>
                <w:sz w:val="24"/>
                <w:highlight w:val="none"/>
              </w:rPr>
              <w:t>厚</w:t>
            </w:r>
            <w:r>
              <w:rPr>
                <w:rFonts w:hint="eastAsia"/>
                <w:bCs/>
                <w:color w:val="auto"/>
                <w:sz w:val="24"/>
                <w:highlight w:val="none"/>
                <w:lang w:eastAsia="zh-CN"/>
              </w:rPr>
              <w:t>黏土</w:t>
            </w:r>
            <w:r>
              <w:rPr>
                <w:bCs/>
                <w:color w:val="auto"/>
                <w:sz w:val="24"/>
                <w:highlight w:val="none"/>
              </w:rPr>
              <w:t>层（渗透系数≤10</w:t>
            </w:r>
            <w:r>
              <w:rPr>
                <w:bCs/>
                <w:color w:val="auto"/>
                <w:sz w:val="24"/>
                <w:highlight w:val="none"/>
                <w:vertAlign w:val="superscript"/>
              </w:rPr>
              <w:t>-7</w:t>
            </w:r>
            <w:r>
              <w:rPr>
                <w:bCs/>
                <w:color w:val="auto"/>
                <w:sz w:val="24"/>
                <w:highlight w:val="none"/>
              </w:rPr>
              <w:t>cm/s），或2</w:t>
            </w:r>
            <w:r>
              <w:rPr>
                <w:rFonts w:hint="eastAsia"/>
                <w:bCs/>
                <w:color w:val="auto"/>
                <w:sz w:val="24"/>
                <w:highlight w:val="none"/>
                <w:lang w:val="en-US" w:eastAsia="zh-CN"/>
              </w:rPr>
              <w:t>mm</w:t>
            </w:r>
            <w:r>
              <w:rPr>
                <w:bCs/>
                <w:color w:val="auto"/>
                <w:sz w:val="24"/>
                <w:highlight w:val="none"/>
              </w:rPr>
              <w:t>厚高密度聚乙烯，或至少2</w:t>
            </w:r>
            <w:r>
              <w:rPr>
                <w:rFonts w:hint="eastAsia"/>
                <w:bCs/>
                <w:color w:val="auto"/>
                <w:sz w:val="24"/>
                <w:highlight w:val="none"/>
                <w:lang w:val="en-US" w:eastAsia="zh-CN"/>
              </w:rPr>
              <w:t>mm</w:t>
            </w:r>
            <w:r>
              <w:rPr>
                <w:bCs/>
                <w:color w:val="auto"/>
                <w:sz w:val="24"/>
                <w:highlight w:val="none"/>
              </w:rPr>
              <w:t>厚</w:t>
            </w:r>
            <w:r>
              <w:rPr>
                <w:rFonts w:hint="eastAsia"/>
                <w:bCs/>
                <w:color w:val="auto"/>
                <w:sz w:val="24"/>
                <w:highlight w:val="none"/>
                <w:lang w:eastAsia="zh-CN"/>
              </w:rPr>
              <w:t>的其他</w:t>
            </w:r>
            <w:r>
              <w:rPr>
                <w:bCs/>
                <w:color w:val="auto"/>
                <w:sz w:val="24"/>
                <w:highlight w:val="none"/>
              </w:rPr>
              <w:t>人工材料，使用防水混凝土，地面做防滑处理，危险废物临时贮存房渗透系数达1.0×10</w:t>
            </w:r>
            <w:r>
              <w:rPr>
                <w:bCs/>
                <w:color w:val="auto"/>
                <w:sz w:val="24"/>
                <w:highlight w:val="none"/>
                <w:vertAlign w:val="superscript"/>
              </w:rPr>
              <w:t>-10</w:t>
            </w:r>
            <w:r>
              <w:rPr>
                <w:bCs/>
                <w:color w:val="auto"/>
                <w:sz w:val="24"/>
                <w:highlight w:val="none"/>
              </w:rPr>
              <w:t>cm/s。</w:t>
            </w:r>
          </w:p>
          <w:p w14:paraId="7CC76F60">
            <w:pPr>
              <w:adjustRightInd w:val="0"/>
              <w:snapToGrid w:val="0"/>
              <w:spacing w:line="360" w:lineRule="auto"/>
              <w:ind w:firstLine="480" w:firstLineChars="200"/>
              <w:rPr>
                <w:bCs/>
                <w:color w:val="auto"/>
                <w:sz w:val="24"/>
                <w:highlight w:val="none"/>
              </w:rPr>
            </w:pPr>
            <w:r>
              <w:rPr>
                <w:color w:val="auto"/>
                <w:sz w:val="24"/>
                <w:highlight w:val="none"/>
              </w:rPr>
              <w:t>本项目危险废物为分类贮存，</w:t>
            </w:r>
            <w:r>
              <w:rPr>
                <w:rFonts w:hint="eastAsia"/>
                <w:color w:val="auto"/>
                <w:sz w:val="24"/>
                <w:highlight w:val="none"/>
                <w:lang w:eastAsia="zh-CN"/>
              </w:rPr>
              <w:t>其中废活性炭、</w:t>
            </w:r>
            <w:r>
              <w:rPr>
                <w:rFonts w:hint="eastAsia" w:cs="Times New Roman"/>
                <w:color w:val="auto"/>
                <w:sz w:val="24"/>
                <w:szCs w:val="24"/>
                <w:lang w:val="en-US" w:eastAsia="zh-CN"/>
              </w:rPr>
              <w:t>废</w:t>
            </w:r>
            <w:r>
              <w:rPr>
                <w:rFonts w:hint="default" w:ascii="Times New Roman" w:hAnsi="Times New Roman" w:eastAsia="宋体" w:cs="Times New Roman"/>
                <w:color w:val="auto"/>
                <w:sz w:val="24"/>
                <w:szCs w:val="24"/>
                <w:lang w:val="en-US" w:eastAsia="zh-CN"/>
              </w:rPr>
              <w:t>镍催化剂</w:t>
            </w:r>
            <w:r>
              <w:rPr>
                <w:rFonts w:hint="eastAsia"/>
                <w:color w:val="auto"/>
                <w:sz w:val="24"/>
                <w:highlight w:val="none"/>
                <w:lang w:eastAsia="zh-CN"/>
              </w:rPr>
              <w:t>和</w:t>
            </w:r>
            <w:r>
              <w:rPr>
                <w:rFonts w:hint="eastAsia"/>
                <w:color w:val="auto"/>
                <w:sz w:val="24"/>
                <w:highlight w:val="none"/>
                <w:lang w:val="en-US" w:eastAsia="zh-CN"/>
              </w:rPr>
              <w:t>废弃含油抹布、劳保用品</w:t>
            </w:r>
            <w:r>
              <w:rPr>
                <w:color w:val="auto"/>
                <w:sz w:val="24"/>
                <w:highlight w:val="none"/>
              </w:rPr>
              <w:t>采用袋装暂存，扎紧暂存袋袋口</w:t>
            </w:r>
            <w:r>
              <w:rPr>
                <w:bCs/>
                <w:color w:val="auto"/>
                <w:sz w:val="24"/>
                <w:highlight w:val="none"/>
              </w:rPr>
              <w:t>，避免出现洒出情况</w:t>
            </w:r>
            <w:r>
              <w:rPr>
                <w:rFonts w:hint="eastAsia"/>
                <w:bCs/>
                <w:color w:val="auto"/>
                <w:sz w:val="24"/>
                <w:highlight w:val="none"/>
                <w:lang w:eastAsia="zh-CN"/>
              </w:rPr>
              <w:t>，</w:t>
            </w:r>
            <w:r>
              <w:rPr>
                <w:rFonts w:hint="eastAsia"/>
                <w:bCs/>
                <w:color w:val="auto"/>
                <w:sz w:val="24"/>
                <w:highlight w:val="none"/>
                <w:lang w:val="en-US" w:eastAsia="zh-CN"/>
              </w:rPr>
              <w:t>废机油密封桶装</w:t>
            </w:r>
            <w:r>
              <w:rPr>
                <w:rFonts w:hint="eastAsia"/>
                <w:bCs/>
                <w:color w:val="auto"/>
                <w:sz w:val="24"/>
                <w:highlight w:val="none"/>
                <w:lang w:eastAsia="zh-CN"/>
              </w:rPr>
              <w:t>放置在危废间</w:t>
            </w:r>
            <w:r>
              <w:rPr>
                <w:bCs/>
                <w:color w:val="auto"/>
                <w:sz w:val="24"/>
                <w:highlight w:val="none"/>
              </w:rPr>
              <w:t>。危废暂存场所地面做防渗处理。此外，危废存放远离火种、热源并设置警示标志，定期检查并配置灭火器。因此，本项目危废燃烧爆炸的可能性较小，本项目危废无需进行预处理，需集中收集合理堆放于危废暂存场所。</w:t>
            </w:r>
          </w:p>
          <w:p w14:paraId="185E9128">
            <w:pPr>
              <w:pStyle w:val="43"/>
              <w:kinsoku w:val="0"/>
              <w:overflowPunct w:val="0"/>
              <w:spacing w:line="360" w:lineRule="auto"/>
              <w:ind w:firstLine="480" w:firstLineChars="200"/>
              <w:rPr>
                <w:rFonts w:ascii="Times New Roman" w:hAnsi="Times New Roman"/>
                <w:color w:val="auto"/>
                <w:sz w:val="24"/>
                <w:highlight w:val="none"/>
                <w:lang w:eastAsia="zh-CN"/>
              </w:rPr>
            </w:pPr>
            <w:r>
              <w:rPr>
                <w:rFonts w:ascii="Times New Roman" w:hAnsi="Times New Roman"/>
                <w:color w:val="auto"/>
                <w:sz w:val="24"/>
                <w:highlight w:val="none"/>
                <w:lang w:eastAsia="zh-CN"/>
              </w:rPr>
              <w:t>（3）危险废物运输要求及分析</w:t>
            </w:r>
          </w:p>
          <w:p w14:paraId="271464E9">
            <w:pPr>
              <w:pStyle w:val="43"/>
              <w:kinsoku w:val="0"/>
              <w:overflowPunct w:val="0"/>
              <w:spacing w:line="360" w:lineRule="auto"/>
              <w:ind w:firstLine="480" w:firstLineChars="200"/>
              <w:rPr>
                <w:rFonts w:ascii="Times New Roman" w:hAnsi="Times New Roman"/>
                <w:color w:val="auto"/>
                <w:sz w:val="24"/>
                <w:highlight w:val="none"/>
                <w:lang w:eastAsia="zh-CN"/>
              </w:rPr>
            </w:pPr>
            <w:r>
              <w:rPr>
                <w:rFonts w:ascii="Times New Roman" w:hAnsi="Times New Roman"/>
                <w:color w:val="auto"/>
                <w:sz w:val="24"/>
                <w:highlight w:val="none"/>
                <w:lang w:eastAsia="zh-CN"/>
              </w:rPr>
              <w:t>企业危险废物运输要求做到以下几点：</w:t>
            </w:r>
          </w:p>
          <w:p w14:paraId="13E6300F">
            <w:pPr>
              <w:adjustRightInd w:val="0"/>
              <w:snapToGrid w:val="0"/>
              <w:spacing w:line="360" w:lineRule="auto"/>
              <w:ind w:firstLine="480" w:firstLineChars="200"/>
              <w:rPr>
                <w:color w:val="auto"/>
                <w:sz w:val="24"/>
                <w:highlight w:val="none"/>
              </w:rPr>
            </w:pPr>
            <w:r>
              <w:rPr>
                <w:color w:val="auto"/>
                <w:sz w:val="24"/>
                <w:highlight w:val="none"/>
              </w:rPr>
              <w:t>①危</w:t>
            </w:r>
            <w:r>
              <w:rPr>
                <w:color w:val="auto"/>
                <w:spacing w:val="-3"/>
                <w:sz w:val="24"/>
                <w:highlight w:val="none"/>
              </w:rPr>
              <w:t>险</w:t>
            </w:r>
            <w:r>
              <w:rPr>
                <w:color w:val="auto"/>
                <w:sz w:val="24"/>
                <w:highlight w:val="none"/>
              </w:rPr>
              <w:t>废</w:t>
            </w:r>
            <w:r>
              <w:rPr>
                <w:color w:val="auto"/>
                <w:spacing w:val="-3"/>
                <w:sz w:val="24"/>
                <w:highlight w:val="none"/>
              </w:rPr>
              <w:t>物</w:t>
            </w:r>
            <w:r>
              <w:rPr>
                <w:color w:val="auto"/>
                <w:sz w:val="24"/>
                <w:highlight w:val="none"/>
              </w:rPr>
              <w:t>的</w:t>
            </w:r>
            <w:r>
              <w:rPr>
                <w:color w:val="auto"/>
                <w:spacing w:val="-3"/>
                <w:sz w:val="24"/>
                <w:highlight w:val="none"/>
              </w:rPr>
              <w:t>运</w:t>
            </w:r>
            <w:r>
              <w:rPr>
                <w:color w:val="auto"/>
                <w:sz w:val="24"/>
                <w:highlight w:val="none"/>
              </w:rPr>
              <w:t>输</w:t>
            </w:r>
            <w:r>
              <w:rPr>
                <w:color w:val="auto"/>
                <w:spacing w:val="-3"/>
                <w:sz w:val="24"/>
                <w:highlight w:val="none"/>
              </w:rPr>
              <w:t>车</w:t>
            </w:r>
            <w:r>
              <w:rPr>
                <w:color w:val="auto"/>
                <w:sz w:val="24"/>
                <w:highlight w:val="none"/>
              </w:rPr>
              <w:t>辆</w:t>
            </w:r>
            <w:r>
              <w:rPr>
                <w:color w:val="auto"/>
                <w:spacing w:val="-3"/>
                <w:sz w:val="24"/>
                <w:highlight w:val="none"/>
              </w:rPr>
              <w:t>须</w:t>
            </w:r>
            <w:r>
              <w:rPr>
                <w:color w:val="auto"/>
                <w:sz w:val="24"/>
                <w:highlight w:val="none"/>
              </w:rPr>
              <w:t>经主</w:t>
            </w:r>
            <w:r>
              <w:rPr>
                <w:color w:val="auto"/>
                <w:spacing w:val="-3"/>
                <w:sz w:val="24"/>
                <w:highlight w:val="none"/>
              </w:rPr>
              <w:t>管</w:t>
            </w:r>
            <w:r>
              <w:rPr>
                <w:color w:val="auto"/>
                <w:sz w:val="24"/>
                <w:highlight w:val="none"/>
              </w:rPr>
              <w:t>单</w:t>
            </w:r>
            <w:r>
              <w:rPr>
                <w:color w:val="auto"/>
                <w:spacing w:val="-3"/>
                <w:sz w:val="24"/>
                <w:highlight w:val="none"/>
              </w:rPr>
              <w:t>位</w:t>
            </w:r>
            <w:r>
              <w:rPr>
                <w:color w:val="auto"/>
                <w:sz w:val="24"/>
                <w:highlight w:val="none"/>
              </w:rPr>
              <w:t>检</w:t>
            </w:r>
            <w:r>
              <w:rPr>
                <w:color w:val="auto"/>
                <w:spacing w:val="-3"/>
                <w:sz w:val="24"/>
                <w:highlight w:val="none"/>
              </w:rPr>
              <w:t>查</w:t>
            </w:r>
            <w:r>
              <w:rPr>
                <w:color w:val="auto"/>
                <w:spacing w:val="-53"/>
                <w:sz w:val="24"/>
                <w:highlight w:val="none"/>
              </w:rPr>
              <w:t>，</w:t>
            </w:r>
            <w:r>
              <w:rPr>
                <w:color w:val="auto"/>
                <w:spacing w:val="-3"/>
                <w:sz w:val="24"/>
                <w:highlight w:val="none"/>
              </w:rPr>
              <w:t>并</w:t>
            </w:r>
            <w:r>
              <w:rPr>
                <w:color w:val="auto"/>
                <w:sz w:val="24"/>
                <w:highlight w:val="none"/>
              </w:rPr>
              <w:t>持</w:t>
            </w:r>
            <w:r>
              <w:rPr>
                <w:color w:val="auto"/>
                <w:spacing w:val="-3"/>
                <w:sz w:val="24"/>
                <w:highlight w:val="none"/>
              </w:rPr>
              <w:t>有</w:t>
            </w:r>
            <w:r>
              <w:rPr>
                <w:color w:val="auto"/>
                <w:sz w:val="24"/>
                <w:highlight w:val="none"/>
              </w:rPr>
              <w:t>有关</w:t>
            </w:r>
            <w:r>
              <w:rPr>
                <w:color w:val="auto"/>
                <w:spacing w:val="-3"/>
                <w:sz w:val="24"/>
                <w:highlight w:val="none"/>
              </w:rPr>
              <w:t>单</w:t>
            </w:r>
            <w:r>
              <w:rPr>
                <w:color w:val="auto"/>
                <w:sz w:val="24"/>
                <w:highlight w:val="none"/>
              </w:rPr>
              <w:t>位</w:t>
            </w:r>
            <w:r>
              <w:rPr>
                <w:color w:val="auto"/>
                <w:spacing w:val="-3"/>
                <w:sz w:val="24"/>
                <w:highlight w:val="none"/>
              </w:rPr>
              <w:t>签</w:t>
            </w:r>
            <w:r>
              <w:rPr>
                <w:color w:val="auto"/>
                <w:sz w:val="24"/>
                <w:highlight w:val="none"/>
              </w:rPr>
              <w:t>发</w:t>
            </w:r>
            <w:r>
              <w:rPr>
                <w:color w:val="auto"/>
                <w:spacing w:val="-3"/>
                <w:sz w:val="24"/>
                <w:highlight w:val="none"/>
              </w:rPr>
              <w:t>的</w:t>
            </w:r>
            <w:r>
              <w:rPr>
                <w:color w:val="auto"/>
                <w:sz w:val="24"/>
                <w:highlight w:val="none"/>
              </w:rPr>
              <w:t>许</w:t>
            </w:r>
            <w:r>
              <w:rPr>
                <w:color w:val="auto"/>
                <w:spacing w:val="-3"/>
                <w:sz w:val="24"/>
                <w:highlight w:val="none"/>
              </w:rPr>
              <w:t>可</w:t>
            </w:r>
            <w:r>
              <w:rPr>
                <w:color w:val="auto"/>
                <w:sz w:val="24"/>
                <w:highlight w:val="none"/>
              </w:rPr>
              <w:t>证</w:t>
            </w:r>
            <w:r>
              <w:rPr>
                <w:color w:val="auto"/>
                <w:spacing w:val="-56"/>
                <w:sz w:val="24"/>
                <w:highlight w:val="none"/>
              </w:rPr>
              <w:t>，</w:t>
            </w:r>
            <w:r>
              <w:rPr>
                <w:color w:val="auto"/>
                <w:sz w:val="24"/>
                <w:highlight w:val="none"/>
              </w:rPr>
              <w:t>负责</w:t>
            </w:r>
            <w:r>
              <w:rPr>
                <w:color w:val="auto"/>
                <w:spacing w:val="-3"/>
                <w:sz w:val="24"/>
                <w:highlight w:val="none"/>
              </w:rPr>
              <w:t>运</w:t>
            </w:r>
            <w:r>
              <w:rPr>
                <w:color w:val="auto"/>
                <w:sz w:val="24"/>
                <w:highlight w:val="none"/>
              </w:rPr>
              <w:t>输</w:t>
            </w:r>
            <w:r>
              <w:rPr>
                <w:color w:val="auto"/>
                <w:spacing w:val="-3"/>
                <w:sz w:val="24"/>
                <w:highlight w:val="none"/>
              </w:rPr>
              <w:t>的</w:t>
            </w:r>
            <w:r>
              <w:rPr>
                <w:color w:val="auto"/>
                <w:sz w:val="24"/>
                <w:highlight w:val="none"/>
              </w:rPr>
              <w:t>司</w:t>
            </w:r>
            <w:r>
              <w:rPr>
                <w:color w:val="auto"/>
                <w:spacing w:val="-1"/>
                <w:sz w:val="24"/>
                <w:highlight w:val="none"/>
              </w:rPr>
              <w:t>机</w:t>
            </w:r>
            <w:r>
              <w:rPr>
                <w:color w:val="auto"/>
                <w:sz w:val="24"/>
                <w:highlight w:val="none"/>
              </w:rPr>
              <w:t>应</w:t>
            </w:r>
            <w:r>
              <w:rPr>
                <w:color w:val="auto"/>
                <w:spacing w:val="-3"/>
                <w:sz w:val="24"/>
                <w:highlight w:val="none"/>
              </w:rPr>
              <w:t>通</w:t>
            </w:r>
            <w:r>
              <w:rPr>
                <w:color w:val="auto"/>
                <w:sz w:val="24"/>
                <w:highlight w:val="none"/>
              </w:rPr>
              <w:t>过</w:t>
            </w:r>
            <w:r>
              <w:rPr>
                <w:color w:val="auto"/>
                <w:spacing w:val="-3"/>
                <w:sz w:val="24"/>
                <w:highlight w:val="none"/>
              </w:rPr>
              <w:t>培</w:t>
            </w:r>
            <w:r>
              <w:rPr>
                <w:color w:val="auto"/>
                <w:sz w:val="24"/>
                <w:highlight w:val="none"/>
              </w:rPr>
              <w:t>训</w:t>
            </w:r>
            <w:r>
              <w:rPr>
                <w:color w:val="auto"/>
                <w:spacing w:val="-3"/>
                <w:sz w:val="24"/>
                <w:highlight w:val="none"/>
              </w:rPr>
              <w:t>，</w:t>
            </w:r>
            <w:r>
              <w:rPr>
                <w:color w:val="auto"/>
                <w:spacing w:val="-1"/>
                <w:sz w:val="24"/>
                <w:highlight w:val="none"/>
              </w:rPr>
              <w:t>持</w:t>
            </w:r>
            <w:r>
              <w:rPr>
                <w:color w:val="auto"/>
                <w:spacing w:val="-3"/>
                <w:sz w:val="24"/>
                <w:highlight w:val="none"/>
              </w:rPr>
              <w:t>有</w:t>
            </w:r>
            <w:r>
              <w:rPr>
                <w:color w:val="auto"/>
                <w:sz w:val="24"/>
                <w:highlight w:val="none"/>
              </w:rPr>
              <w:t>证</w:t>
            </w:r>
            <w:r>
              <w:rPr>
                <w:color w:val="auto"/>
                <w:spacing w:val="-3"/>
                <w:sz w:val="24"/>
                <w:highlight w:val="none"/>
              </w:rPr>
              <w:t>明</w:t>
            </w:r>
            <w:r>
              <w:rPr>
                <w:color w:val="auto"/>
                <w:sz w:val="24"/>
                <w:highlight w:val="none"/>
              </w:rPr>
              <w:t>文件；</w:t>
            </w:r>
          </w:p>
          <w:p w14:paraId="792D5C68">
            <w:pPr>
              <w:adjustRightInd w:val="0"/>
              <w:snapToGrid w:val="0"/>
              <w:spacing w:line="360" w:lineRule="auto"/>
              <w:ind w:firstLine="480" w:firstLineChars="200"/>
              <w:rPr>
                <w:color w:val="auto"/>
                <w:sz w:val="24"/>
                <w:highlight w:val="none"/>
              </w:rPr>
            </w:pPr>
            <w:r>
              <w:rPr>
                <w:color w:val="auto"/>
                <w:sz w:val="24"/>
                <w:highlight w:val="none"/>
              </w:rPr>
              <w:t>②承载危险废物的车辆须有明显的标志或适当的危险符号，</w:t>
            </w:r>
            <w:r>
              <w:rPr>
                <w:rFonts w:hint="eastAsia"/>
                <w:color w:val="auto"/>
                <w:sz w:val="24"/>
                <w:highlight w:val="none"/>
                <w:lang w:eastAsia="zh-CN"/>
              </w:rPr>
              <w:t>以</w:t>
            </w:r>
            <w:r>
              <w:rPr>
                <w:color w:val="auto"/>
                <w:sz w:val="24"/>
                <w:highlight w:val="none"/>
              </w:rPr>
              <w:t>引起注意；</w:t>
            </w:r>
          </w:p>
          <w:p w14:paraId="191E7AAC">
            <w:pPr>
              <w:adjustRightInd w:val="0"/>
              <w:snapToGrid w:val="0"/>
              <w:spacing w:line="360" w:lineRule="auto"/>
              <w:ind w:firstLine="480" w:firstLineChars="200"/>
              <w:rPr>
                <w:color w:val="auto"/>
                <w:sz w:val="24"/>
                <w:highlight w:val="none"/>
              </w:rPr>
            </w:pPr>
            <w:r>
              <w:rPr>
                <w:color w:val="auto"/>
                <w:sz w:val="24"/>
                <w:highlight w:val="none"/>
              </w:rPr>
              <w:t>③载有危险废物的车辆在公路上行驶时，须持有运输许可证，其上应注明废物来源、性质和运往地点；</w:t>
            </w:r>
          </w:p>
          <w:p w14:paraId="167B3784">
            <w:pPr>
              <w:adjustRightInd w:val="0"/>
              <w:snapToGrid w:val="0"/>
              <w:spacing w:line="360" w:lineRule="auto"/>
              <w:ind w:firstLine="480" w:firstLineChars="200"/>
              <w:rPr>
                <w:color w:val="auto"/>
                <w:sz w:val="24"/>
                <w:highlight w:val="none"/>
              </w:rPr>
            </w:pPr>
            <w:r>
              <w:rPr>
                <w:color w:val="auto"/>
                <w:sz w:val="24"/>
                <w:highlight w:val="none"/>
              </w:rPr>
              <w:t>④组织危险废物的运输单位，在事先需</w:t>
            </w:r>
            <w:r>
              <w:rPr>
                <w:rFonts w:hint="eastAsia"/>
                <w:color w:val="auto"/>
                <w:sz w:val="24"/>
                <w:highlight w:val="none"/>
                <w:lang w:eastAsia="zh-CN"/>
              </w:rPr>
              <w:t>做出</w:t>
            </w:r>
            <w:r>
              <w:rPr>
                <w:color w:val="auto"/>
                <w:sz w:val="24"/>
                <w:highlight w:val="none"/>
              </w:rPr>
              <w:t>周密的运输计划和行驶路线，其中包括有效的废物泄漏情况下的应急措施；</w:t>
            </w:r>
          </w:p>
          <w:p w14:paraId="294B0E96">
            <w:pPr>
              <w:adjustRightInd w:val="0"/>
              <w:snapToGrid w:val="0"/>
              <w:spacing w:line="360" w:lineRule="auto"/>
              <w:ind w:firstLine="480" w:firstLineChars="200"/>
              <w:rPr>
                <w:color w:val="auto"/>
                <w:sz w:val="24"/>
                <w:highlight w:val="none"/>
              </w:rPr>
            </w:pPr>
            <w:r>
              <w:rPr>
                <w:color w:val="auto"/>
                <w:sz w:val="24"/>
                <w:highlight w:val="none"/>
              </w:rPr>
              <w:t>⑤必须配备随车人员在途中经常检查，危险废物如有丢失、被盗，应立即报告当地交通运输、环境保护主管部门，并由交通运输主管部门会同公安部门和环保部门查处；</w:t>
            </w:r>
          </w:p>
          <w:p w14:paraId="6CD4DB49">
            <w:pPr>
              <w:adjustRightInd w:val="0"/>
              <w:snapToGrid w:val="0"/>
              <w:spacing w:line="360" w:lineRule="auto"/>
              <w:ind w:firstLine="480" w:firstLineChars="200"/>
              <w:rPr>
                <w:color w:val="auto"/>
                <w:sz w:val="24"/>
                <w:highlight w:val="none"/>
              </w:rPr>
            </w:pPr>
            <w:r>
              <w:rPr>
                <w:color w:val="auto"/>
                <w:sz w:val="24"/>
                <w:highlight w:val="none"/>
              </w:rPr>
              <w:t>⑥驾驶人员一次连续驾驶4小时应休息20分钟以上，24小时之内施加驾驶时间累计不超过8小时。</w:t>
            </w:r>
          </w:p>
          <w:p w14:paraId="0E6497DD">
            <w:pPr>
              <w:adjustRightInd w:val="0"/>
              <w:snapToGrid w:val="0"/>
              <w:spacing w:line="360" w:lineRule="auto"/>
              <w:ind w:firstLine="480" w:firstLineChars="200"/>
              <w:rPr>
                <w:color w:val="auto"/>
                <w:sz w:val="24"/>
                <w:highlight w:val="none"/>
              </w:rPr>
            </w:pPr>
            <w:r>
              <w:rPr>
                <w:color w:val="auto"/>
                <w:sz w:val="24"/>
                <w:highlight w:val="none"/>
              </w:rPr>
              <w:t>因此企业危废运输过程中对环境影响较小。</w:t>
            </w:r>
          </w:p>
          <w:p w14:paraId="0EFC8D12">
            <w:pPr>
              <w:pStyle w:val="12"/>
              <w:spacing w:before="0" w:after="0" w:line="360" w:lineRule="auto"/>
              <w:ind w:right="0" w:firstLine="480" w:firstLineChars="200"/>
              <w:rPr>
                <w:bCs/>
                <w:color w:val="auto"/>
                <w:sz w:val="24"/>
                <w:szCs w:val="24"/>
                <w:highlight w:val="none"/>
              </w:rPr>
            </w:pPr>
            <w:r>
              <w:rPr>
                <w:color w:val="auto"/>
                <w:sz w:val="24"/>
                <w:szCs w:val="24"/>
                <w:highlight w:val="none"/>
              </w:rPr>
              <w:t>（4）危险废物</w:t>
            </w:r>
            <w:r>
              <w:rPr>
                <w:bCs/>
                <w:color w:val="auto"/>
                <w:sz w:val="24"/>
                <w:szCs w:val="24"/>
                <w:highlight w:val="none"/>
              </w:rPr>
              <w:t>收集污染防治措施分析</w:t>
            </w:r>
          </w:p>
          <w:p w14:paraId="5F04F5A9">
            <w:pPr>
              <w:adjustRightInd w:val="0"/>
              <w:snapToGrid w:val="0"/>
              <w:spacing w:line="360" w:lineRule="auto"/>
              <w:ind w:firstLine="480" w:firstLineChars="200"/>
              <w:rPr>
                <w:bCs/>
                <w:color w:val="auto"/>
                <w:sz w:val="24"/>
                <w:highlight w:val="none"/>
              </w:rPr>
            </w:pPr>
            <w:r>
              <w:rPr>
                <w:bCs/>
                <w:color w:val="auto"/>
                <w:sz w:val="24"/>
                <w:highlight w:val="none"/>
              </w:rPr>
              <w:t>危险废物的收集须严格按照《危险废物收集贮存运输技术规范》（HJ2025-2012）的要求：</w:t>
            </w:r>
          </w:p>
          <w:p w14:paraId="02A10CA5">
            <w:pPr>
              <w:numPr>
                <w:ilvl w:val="0"/>
                <w:numId w:val="4"/>
              </w:numPr>
              <w:adjustRightInd w:val="0"/>
              <w:snapToGrid w:val="0"/>
              <w:spacing w:line="360" w:lineRule="auto"/>
              <w:ind w:firstLine="480" w:firstLineChars="200"/>
              <w:rPr>
                <w:bCs/>
                <w:color w:val="auto"/>
                <w:sz w:val="24"/>
                <w:highlight w:val="none"/>
              </w:rPr>
            </w:pPr>
            <w:r>
              <w:rPr>
                <w:bCs/>
                <w:color w:val="auto"/>
                <w:sz w:val="24"/>
                <w:highlight w:val="none"/>
              </w:rPr>
              <w:t>根据危险废物产生的工艺特征、排放周期、特性、管理计划等因素制定详细的 收集计划。收集计划包括收集任务概述、收集目标及原则、危险废物特性评估、危险废物收集量估算、收集作业范围和方法、收集设备与包装容器、安全生产与个人防护、工程防护与事故应急、进度安排与组织管理等。</w:t>
            </w:r>
          </w:p>
          <w:p w14:paraId="5B1B41C8">
            <w:pPr>
              <w:numPr>
                <w:ilvl w:val="0"/>
                <w:numId w:val="4"/>
              </w:numPr>
              <w:adjustRightInd w:val="0"/>
              <w:snapToGrid w:val="0"/>
              <w:spacing w:line="360" w:lineRule="auto"/>
              <w:ind w:firstLine="480" w:firstLineChars="200"/>
              <w:rPr>
                <w:bCs/>
                <w:color w:val="auto"/>
                <w:sz w:val="24"/>
                <w:highlight w:val="none"/>
              </w:rPr>
            </w:pPr>
            <w:r>
              <w:rPr>
                <w:bCs/>
                <w:color w:val="auto"/>
                <w:sz w:val="24"/>
                <w:highlight w:val="none"/>
              </w:rPr>
              <w:t>制定危险废物收集操作规程，内容包括适用范围、操作程序和方法、专用设备和工具、转移和交接、安全保障和应急防护等。</w:t>
            </w:r>
          </w:p>
          <w:p w14:paraId="1645F2A8">
            <w:pPr>
              <w:numPr>
                <w:ilvl w:val="0"/>
                <w:numId w:val="4"/>
              </w:numPr>
              <w:adjustRightInd w:val="0"/>
              <w:snapToGrid w:val="0"/>
              <w:spacing w:line="360" w:lineRule="auto"/>
              <w:ind w:firstLine="480" w:firstLineChars="200"/>
              <w:rPr>
                <w:bCs/>
                <w:color w:val="auto"/>
                <w:sz w:val="24"/>
                <w:highlight w:val="none"/>
              </w:rPr>
            </w:pPr>
            <w:r>
              <w:rPr>
                <w:bCs/>
                <w:color w:val="auto"/>
                <w:sz w:val="24"/>
                <w:highlight w:val="none"/>
              </w:rPr>
              <w:t>危险废物收集和转运作业人员根据工作需要配备必要的个人防护装备，如手套、防护镜、防护服、防毒面具或口罩等。</w:t>
            </w:r>
          </w:p>
          <w:p w14:paraId="1D8D7A5B">
            <w:pPr>
              <w:adjustRightInd w:val="0"/>
              <w:snapToGrid w:val="0"/>
              <w:spacing w:line="360" w:lineRule="auto"/>
              <w:ind w:firstLine="480" w:firstLineChars="200"/>
              <w:rPr>
                <w:bCs/>
                <w:color w:val="auto"/>
                <w:sz w:val="24"/>
                <w:highlight w:val="none"/>
              </w:rPr>
            </w:pPr>
            <w:r>
              <w:rPr>
                <w:bCs/>
                <w:color w:val="auto"/>
                <w:sz w:val="24"/>
                <w:highlight w:val="none"/>
              </w:rPr>
              <w:t>D、危险废物收集时应根据危险废物的种类、数量、危险特性、物理形态、运输要求等因素选择合适的包装形式，本项目产生</w:t>
            </w:r>
            <w:r>
              <w:rPr>
                <w:rFonts w:hint="eastAsia"/>
                <w:bCs/>
                <w:color w:val="auto"/>
                <w:sz w:val="24"/>
                <w:highlight w:val="none"/>
                <w:lang w:eastAsia="zh-CN"/>
              </w:rPr>
              <w:t>有</w:t>
            </w:r>
            <w:r>
              <w:rPr>
                <w:bCs/>
                <w:color w:val="auto"/>
                <w:sz w:val="24"/>
                <w:highlight w:val="none"/>
              </w:rPr>
              <w:t>液体危险废物，故储存容器应为开孔直径不超过70mm的有放气孔的桶中，容器顶部与液体表面之间保留100</w:t>
            </w:r>
            <w:r>
              <w:rPr>
                <w:rFonts w:hint="eastAsia"/>
                <w:bCs/>
                <w:color w:val="auto"/>
                <w:sz w:val="24"/>
                <w:highlight w:val="none"/>
                <w:lang w:val="en-US" w:eastAsia="zh-CN"/>
              </w:rPr>
              <w:t>mm</w:t>
            </w:r>
            <w:r>
              <w:rPr>
                <w:bCs/>
                <w:color w:val="auto"/>
                <w:sz w:val="24"/>
                <w:highlight w:val="none"/>
              </w:rPr>
              <w:t>以上的空间。</w:t>
            </w:r>
          </w:p>
          <w:p w14:paraId="260FDE96">
            <w:pPr>
              <w:adjustRightInd w:val="0"/>
              <w:snapToGrid w:val="0"/>
              <w:spacing w:line="360" w:lineRule="auto"/>
              <w:ind w:firstLine="480" w:firstLineChars="200"/>
              <w:rPr>
                <w:bCs/>
                <w:color w:val="auto"/>
                <w:sz w:val="24"/>
                <w:highlight w:val="none"/>
              </w:rPr>
            </w:pPr>
            <w:r>
              <w:rPr>
                <w:bCs/>
                <w:color w:val="auto"/>
                <w:sz w:val="24"/>
                <w:highlight w:val="none"/>
              </w:rPr>
              <w:t>危险废物在收集时，应清楚废物的类别及</w:t>
            </w:r>
            <w:r>
              <w:rPr>
                <w:rFonts w:hint="eastAsia"/>
                <w:bCs/>
                <w:color w:val="auto"/>
                <w:sz w:val="24"/>
                <w:highlight w:val="none"/>
                <w:lang w:eastAsia="zh-CN"/>
              </w:rPr>
              <w:t>主要成分</w:t>
            </w:r>
            <w:r>
              <w:rPr>
                <w:bCs/>
                <w:color w:val="auto"/>
                <w:sz w:val="24"/>
                <w:highlight w:val="none"/>
              </w:rPr>
              <w:t>，以方便委托处理单位处理，根据危险废物的性质和形态，可采用不同大小和不同材质的容器进行包装，所有包装容器应足够安全，并经过周密检查，严防在装载、搬移或运输途中出现渗漏、溢出、抛洒或挥发等情况，对危险废物进行安全包装，并在包装的明显位置附上危险废物标签。为方便运输和暂存，废活性炭</w:t>
            </w:r>
            <w:r>
              <w:rPr>
                <w:rFonts w:hint="eastAsia"/>
                <w:bCs/>
                <w:color w:val="auto"/>
                <w:sz w:val="24"/>
                <w:highlight w:val="none"/>
                <w:lang w:eastAsia="zh-CN"/>
              </w:rPr>
              <w:t>、</w:t>
            </w:r>
            <w:r>
              <w:rPr>
                <w:rFonts w:hint="eastAsia" w:cs="Times New Roman"/>
                <w:color w:val="auto"/>
                <w:sz w:val="24"/>
                <w:szCs w:val="24"/>
                <w:lang w:val="en-US" w:eastAsia="zh-CN"/>
              </w:rPr>
              <w:t>废</w:t>
            </w:r>
            <w:r>
              <w:rPr>
                <w:rFonts w:hint="default" w:ascii="Times New Roman" w:hAnsi="Times New Roman" w:eastAsia="宋体" w:cs="Times New Roman"/>
                <w:color w:val="auto"/>
                <w:sz w:val="24"/>
                <w:szCs w:val="24"/>
                <w:lang w:val="en-US" w:eastAsia="zh-CN"/>
              </w:rPr>
              <w:t>镍催化剂</w:t>
            </w:r>
            <w:r>
              <w:rPr>
                <w:rFonts w:hint="eastAsia"/>
                <w:bCs/>
                <w:color w:val="auto"/>
                <w:sz w:val="24"/>
                <w:highlight w:val="none"/>
                <w:lang w:eastAsia="zh-CN"/>
              </w:rPr>
              <w:t>和</w:t>
            </w:r>
            <w:r>
              <w:rPr>
                <w:rFonts w:hint="eastAsia"/>
                <w:bCs/>
                <w:color w:val="auto"/>
                <w:sz w:val="24"/>
                <w:highlight w:val="none"/>
                <w:lang w:val="en-US" w:eastAsia="zh-CN"/>
              </w:rPr>
              <w:t>废弃含油抹布、劳保用品</w:t>
            </w:r>
            <w:r>
              <w:rPr>
                <w:bCs/>
                <w:color w:val="auto"/>
                <w:sz w:val="24"/>
                <w:highlight w:val="none"/>
              </w:rPr>
              <w:t>为固态废物，采用专用包装袋收集包装</w:t>
            </w:r>
            <w:r>
              <w:rPr>
                <w:rFonts w:hint="eastAsia"/>
                <w:bCs/>
                <w:color w:val="auto"/>
                <w:sz w:val="24"/>
                <w:highlight w:val="none"/>
                <w:lang w:eastAsia="zh-CN"/>
              </w:rPr>
              <w:t>，废机油采用专用收集桶盛装</w:t>
            </w:r>
            <w:r>
              <w:rPr>
                <w:bCs/>
                <w:color w:val="auto"/>
                <w:sz w:val="24"/>
                <w:highlight w:val="none"/>
              </w:rPr>
              <w:t>。</w:t>
            </w:r>
          </w:p>
          <w:p w14:paraId="34E15761">
            <w:pPr>
              <w:adjustRightInd w:val="0"/>
              <w:snapToGrid w:val="0"/>
              <w:spacing w:line="360" w:lineRule="auto"/>
              <w:ind w:firstLine="480" w:firstLineChars="200"/>
              <w:rPr>
                <w:bCs/>
                <w:color w:val="auto"/>
                <w:sz w:val="24"/>
                <w:highlight w:val="none"/>
              </w:rPr>
            </w:pPr>
            <w:r>
              <w:rPr>
                <w:bCs/>
                <w:color w:val="auto"/>
                <w:sz w:val="24"/>
                <w:highlight w:val="none"/>
              </w:rPr>
              <w:t>（5）危险废物暂存污染防治措施分析</w:t>
            </w:r>
          </w:p>
          <w:p w14:paraId="0CBDC648">
            <w:pPr>
              <w:spacing w:line="360" w:lineRule="auto"/>
              <w:ind w:firstLine="480" w:firstLineChars="200"/>
              <w:rPr>
                <w:bCs/>
                <w:color w:val="auto"/>
                <w:sz w:val="24"/>
                <w:highlight w:val="none"/>
              </w:rPr>
            </w:pPr>
            <w:r>
              <w:rPr>
                <w:bCs/>
                <w:color w:val="auto"/>
                <w:sz w:val="24"/>
                <w:highlight w:val="none"/>
              </w:rPr>
              <w:t>项目产生的危险废物须严格按照《危险废物贮存污染控制标准》（GB18597-2</w:t>
            </w:r>
            <w:r>
              <w:rPr>
                <w:rFonts w:hint="eastAsia"/>
                <w:bCs/>
                <w:color w:val="auto"/>
                <w:sz w:val="24"/>
                <w:highlight w:val="none"/>
              </w:rPr>
              <w:t>023</w:t>
            </w:r>
            <w:r>
              <w:rPr>
                <w:bCs/>
                <w:color w:val="auto"/>
                <w:sz w:val="24"/>
                <w:highlight w:val="none"/>
              </w:rPr>
              <w:t>）</w:t>
            </w:r>
            <w:r>
              <w:rPr>
                <w:rFonts w:hint="eastAsia"/>
                <w:bCs/>
                <w:color w:val="auto"/>
                <w:sz w:val="24"/>
                <w:highlight w:val="none"/>
              </w:rPr>
              <w:t>及</w:t>
            </w:r>
            <w:r>
              <w:rPr>
                <w:bCs/>
                <w:color w:val="auto"/>
                <w:sz w:val="24"/>
                <w:highlight w:val="none"/>
              </w:rPr>
              <w:t>《危险废物收集贮存运输技术规范》（HJ2025-2012）的相关要求，暂存于危废暂存间，定期交给有资质的单位处理。建设单位在</w:t>
            </w:r>
            <w:r>
              <w:rPr>
                <w:rFonts w:hint="eastAsia"/>
                <w:bCs/>
                <w:color w:val="auto"/>
                <w:sz w:val="24"/>
                <w:highlight w:val="none"/>
              </w:rPr>
              <w:t>一般固废暂存间</w:t>
            </w:r>
            <w:r>
              <w:rPr>
                <w:rFonts w:hint="eastAsia"/>
                <w:bCs/>
                <w:color w:val="auto"/>
                <w:sz w:val="24"/>
                <w:highlight w:val="none"/>
                <w:lang w:eastAsia="zh-CN"/>
              </w:rPr>
              <w:t>旁</w:t>
            </w:r>
            <w:r>
              <w:rPr>
                <w:bCs/>
                <w:color w:val="auto"/>
                <w:sz w:val="24"/>
                <w:highlight w:val="none"/>
              </w:rPr>
              <w:t>设置面积约</w:t>
            </w:r>
            <w:r>
              <w:rPr>
                <w:rFonts w:hint="eastAsia"/>
                <w:bCs/>
                <w:color w:val="auto"/>
                <w:sz w:val="24"/>
                <w:highlight w:val="none"/>
                <w:lang w:val="en-US" w:eastAsia="zh-CN"/>
              </w:rPr>
              <w:t>15</w:t>
            </w:r>
            <w:r>
              <w:rPr>
                <w:bCs/>
                <w:color w:val="auto"/>
                <w:sz w:val="24"/>
                <w:highlight w:val="none"/>
              </w:rPr>
              <w:t>m</w:t>
            </w:r>
            <w:r>
              <w:rPr>
                <w:bCs/>
                <w:color w:val="auto"/>
                <w:sz w:val="24"/>
                <w:highlight w:val="none"/>
                <w:vertAlign w:val="superscript"/>
              </w:rPr>
              <w:t>2</w:t>
            </w:r>
            <w:r>
              <w:rPr>
                <w:bCs/>
                <w:color w:val="auto"/>
                <w:sz w:val="24"/>
                <w:highlight w:val="none"/>
              </w:rPr>
              <w:t xml:space="preserve">的危废库，专门用于存放危险废物。危险废物应尽快送往委托单位处理，不宜存放过长时间，确需暂存的，应做到以下几点： </w:t>
            </w:r>
          </w:p>
          <w:p w14:paraId="16A4EEBC">
            <w:pPr>
              <w:spacing w:line="360" w:lineRule="auto"/>
              <w:ind w:firstLine="480" w:firstLineChars="200"/>
              <w:rPr>
                <w:bCs/>
                <w:color w:val="auto"/>
                <w:sz w:val="24"/>
                <w:highlight w:val="none"/>
              </w:rPr>
            </w:pPr>
            <w:r>
              <w:rPr>
                <w:bCs/>
                <w:color w:val="auto"/>
                <w:sz w:val="24"/>
                <w:highlight w:val="none"/>
              </w:rPr>
              <w:t>①贮存场所应符合GB18597-</w:t>
            </w:r>
            <w:r>
              <w:rPr>
                <w:rFonts w:hint="eastAsia"/>
                <w:bCs/>
                <w:color w:val="auto"/>
                <w:sz w:val="24"/>
                <w:highlight w:val="none"/>
              </w:rPr>
              <w:t>2023</w:t>
            </w:r>
            <w:r>
              <w:rPr>
                <w:bCs/>
                <w:color w:val="auto"/>
                <w:sz w:val="24"/>
                <w:highlight w:val="none"/>
              </w:rPr>
              <w:t>规定的贮存控制标准，有符合要求的专用标志。</w:t>
            </w:r>
          </w:p>
          <w:p w14:paraId="4F06E26D">
            <w:pPr>
              <w:spacing w:line="360" w:lineRule="auto"/>
              <w:ind w:firstLine="480" w:firstLineChars="200"/>
              <w:rPr>
                <w:bCs/>
                <w:color w:val="auto"/>
                <w:sz w:val="24"/>
                <w:highlight w:val="none"/>
              </w:rPr>
            </w:pPr>
            <w:r>
              <w:rPr>
                <w:bCs/>
                <w:color w:val="auto"/>
                <w:sz w:val="24"/>
                <w:highlight w:val="none"/>
              </w:rPr>
              <w:t>②贮存区内禁止混放不相容危险废物。</w:t>
            </w:r>
          </w:p>
          <w:p w14:paraId="6EA238C4">
            <w:pPr>
              <w:spacing w:line="360" w:lineRule="auto"/>
              <w:ind w:firstLine="480" w:firstLineChars="200"/>
              <w:rPr>
                <w:bCs/>
                <w:color w:val="auto"/>
                <w:sz w:val="24"/>
                <w:highlight w:val="none"/>
              </w:rPr>
            </w:pPr>
            <w:r>
              <w:rPr>
                <w:bCs/>
                <w:color w:val="auto"/>
                <w:sz w:val="24"/>
                <w:highlight w:val="none"/>
              </w:rPr>
              <w:t>③贮存区考虑相应的集排水和防渗设施。</w:t>
            </w:r>
          </w:p>
          <w:p w14:paraId="311FAB03">
            <w:pPr>
              <w:spacing w:line="360" w:lineRule="auto"/>
              <w:ind w:firstLine="480" w:firstLineChars="200"/>
              <w:rPr>
                <w:bCs/>
                <w:color w:val="auto"/>
                <w:sz w:val="24"/>
                <w:highlight w:val="none"/>
              </w:rPr>
            </w:pPr>
            <w:r>
              <w:rPr>
                <w:bCs/>
                <w:color w:val="auto"/>
                <w:sz w:val="24"/>
                <w:highlight w:val="none"/>
              </w:rPr>
              <w:t>④贮存区符合消防要求。</w:t>
            </w:r>
          </w:p>
          <w:p w14:paraId="06B6965B">
            <w:pPr>
              <w:spacing w:line="360" w:lineRule="auto"/>
              <w:ind w:firstLine="480" w:firstLineChars="200"/>
              <w:rPr>
                <w:bCs/>
                <w:color w:val="auto"/>
                <w:sz w:val="24"/>
                <w:highlight w:val="none"/>
              </w:rPr>
            </w:pPr>
            <w:r>
              <w:rPr>
                <w:bCs/>
                <w:color w:val="auto"/>
                <w:sz w:val="24"/>
                <w:highlight w:val="none"/>
              </w:rPr>
              <w:t>⑤蒸馏残液（渣）、升华残液等的贮存容器必须有明显标志，具有耐腐蚀、耐压、密封和不与所贮存的废物</w:t>
            </w:r>
            <w:r>
              <w:rPr>
                <w:rFonts w:hint="eastAsia"/>
                <w:bCs/>
                <w:color w:val="auto"/>
                <w:sz w:val="24"/>
                <w:highlight w:val="none"/>
                <w:lang w:eastAsia="zh-CN"/>
              </w:rPr>
              <w:t>发生反应</w:t>
            </w:r>
            <w:r>
              <w:rPr>
                <w:bCs/>
                <w:color w:val="auto"/>
                <w:sz w:val="24"/>
                <w:highlight w:val="none"/>
              </w:rPr>
              <w:t>等特性。</w:t>
            </w:r>
          </w:p>
          <w:p w14:paraId="63D4A868">
            <w:pPr>
              <w:adjustRightInd w:val="0"/>
              <w:snapToGrid w:val="0"/>
              <w:spacing w:line="360" w:lineRule="auto"/>
              <w:ind w:firstLine="480" w:firstLineChars="200"/>
              <w:rPr>
                <w:color w:val="auto"/>
                <w:highlight w:val="none"/>
              </w:rPr>
            </w:pPr>
            <w:r>
              <w:rPr>
                <w:bCs/>
                <w:color w:val="auto"/>
                <w:sz w:val="24"/>
                <w:highlight w:val="none"/>
              </w:rPr>
              <w:t>⑥基础防渗层为至少1m厚</w:t>
            </w:r>
            <w:r>
              <w:rPr>
                <w:rFonts w:hint="eastAsia"/>
                <w:bCs/>
                <w:color w:val="auto"/>
                <w:sz w:val="24"/>
                <w:highlight w:val="none"/>
                <w:lang w:eastAsia="zh-CN"/>
              </w:rPr>
              <w:t>黏土</w:t>
            </w:r>
            <w:r>
              <w:rPr>
                <w:bCs/>
                <w:color w:val="auto"/>
                <w:sz w:val="24"/>
                <w:highlight w:val="none"/>
              </w:rPr>
              <w:t>层（渗透系数≤10</w:t>
            </w:r>
            <w:r>
              <w:rPr>
                <w:bCs/>
                <w:color w:val="auto"/>
                <w:sz w:val="24"/>
                <w:highlight w:val="none"/>
                <w:vertAlign w:val="superscript"/>
              </w:rPr>
              <w:t>-7</w:t>
            </w:r>
            <w:r>
              <w:rPr>
                <w:bCs/>
                <w:color w:val="auto"/>
                <w:sz w:val="24"/>
                <w:highlight w:val="none"/>
              </w:rPr>
              <w:t>cm/s），或2mm厚高密度聚乙烯，或至少2mm厚的其他人工材料，渗透系数≤10</w:t>
            </w:r>
            <w:r>
              <w:rPr>
                <w:bCs/>
                <w:color w:val="auto"/>
                <w:sz w:val="24"/>
                <w:highlight w:val="none"/>
                <w:vertAlign w:val="superscript"/>
              </w:rPr>
              <w:t>-10</w:t>
            </w:r>
            <w:r>
              <w:rPr>
                <w:bCs/>
                <w:color w:val="auto"/>
                <w:sz w:val="24"/>
                <w:highlight w:val="none"/>
              </w:rPr>
              <w:t>cm/s。</w:t>
            </w:r>
          </w:p>
          <w:p w14:paraId="42280AF0">
            <w:pPr>
              <w:pStyle w:val="12"/>
              <w:kinsoku w:val="0"/>
              <w:overflowPunct w:val="0"/>
              <w:adjustRightInd w:val="0"/>
              <w:spacing w:before="0" w:after="0" w:line="360" w:lineRule="auto"/>
              <w:ind w:right="0" w:firstLine="480" w:firstLineChars="200"/>
              <w:rPr>
                <w:color w:val="auto"/>
                <w:sz w:val="24"/>
                <w:szCs w:val="24"/>
                <w:highlight w:val="none"/>
              </w:rPr>
            </w:pPr>
            <w:r>
              <w:rPr>
                <w:color w:val="auto"/>
                <w:sz w:val="24"/>
                <w:szCs w:val="24"/>
                <w:highlight w:val="none"/>
              </w:rPr>
              <w:t>（6）</w:t>
            </w:r>
            <w:r>
              <w:rPr>
                <w:bCs/>
                <w:color w:val="auto"/>
                <w:sz w:val="24"/>
                <w:szCs w:val="24"/>
                <w:highlight w:val="none"/>
              </w:rPr>
              <w:t>项目危险废物规范化管理要求</w:t>
            </w:r>
          </w:p>
          <w:p w14:paraId="46CF2AD3">
            <w:pPr>
              <w:spacing w:line="360" w:lineRule="auto"/>
              <w:ind w:firstLine="480" w:firstLineChars="200"/>
              <w:rPr>
                <w:color w:val="auto"/>
                <w:sz w:val="24"/>
                <w:highlight w:val="none"/>
              </w:rPr>
            </w:pPr>
            <w:r>
              <w:rPr>
                <w:color w:val="auto"/>
                <w:sz w:val="24"/>
                <w:highlight w:val="none"/>
              </w:rPr>
              <w:t>企业须加强管理，危险废物在厂内收集和临时储存严格执行《危险废物贮存污染控制标准》（</w:t>
            </w:r>
            <w:r>
              <w:rPr>
                <w:rFonts w:hint="eastAsia"/>
                <w:color w:val="auto"/>
                <w:sz w:val="24"/>
                <w:highlight w:val="none"/>
              </w:rPr>
              <w:t>GB18597-2023</w:t>
            </w:r>
            <w:r>
              <w:rPr>
                <w:color w:val="auto"/>
                <w:sz w:val="24"/>
                <w:highlight w:val="none"/>
              </w:rPr>
              <w:t>）和《危险废物收集、贮存、运输技术规范》（HJ2025-2012）等规范要求。主要要求如下：</w:t>
            </w:r>
          </w:p>
          <w:p w14:paraId="4BDA1185">
            <w:pPr>
              <w:spacing w:line="360" w:lineRule="auto"/>
              <w:ind w:firstLine="480" w:firstLineChars="200"/>
              <w:rPr>
                <w:color w:val="auto"/>
                <w:sz w:val="24"/>
                <w:highlight w:val="none"/>
              </w:rPr>
            </w:pPr>
            <w:r>
              <w:rPr>
                <w:color w:val="auto"/>
                <w:sz w:val="24"/>
                <w:highlight w:val="none"/>
              </w:rPr>
              <w:t>①危险废物贮存设施应依法履行环评手续，作为污染防治设施纳入建设项</w:t>
            </w:r>
            <w:r>
              <w:rPr>
                <w:rFonts w:hint="eastAsia" w:ascii="宋体" w:hAnsi="宋体" w:eastAsia="宋体" w:cs="宋体"/>
                <w:color w:val="auto"/>
                <w:sz w:val="24"/>
                <w:highlight w:val="none"/>
              </w:rPr>
              <w:t>目“三同时”验收，并</w:t>
            </w:r>
            <w:r>
              <w:rPr>
                <w:color w:val="auto"/>
                <w:sz w:val="24"/>
                <w:highlight w:val="none"/>
              </w:rPr>
              <w:t>应符合规划、建设、安全生产、消防等相关职能部门的相关要求。</w:t>
            </w:r>
          </w:p>
          <w:p w14:paraId="07B52E3C">
            <w:pPr>
              <w:spacing w:line="360" w:lineRule="auto"/>
              <w:ind w:firstLine="480" w:firstLineChars="200"/>
              <w:rPr>
                <w:color w:val="auto"/>
                <w:sz w:val="24"/>
                <w:highlight w:val="none"/>
              </w:rPr>
            </w:pPr>
            <w:r>
              <w:rPr>
                <w:color w:val="auto"/>
                <w:sz w:val="24"/>
                <w:highlight w:val="none"/>
              </w:rPr>
              <w:t>②企业应按规定申报危险废物产生、贮存、转移、利用处置等信息，制定危险废物年度管理计划，并</w:t>
            </w:r>
            <w:r>
              <w:rPr>
                <w:rFonts w:hint="eastAsia" w:ascii="宋体" w:hAnsi="宋体" w:eastAsia="宋体" w:cs="宋体"/>
                <w:color w:val="auto"/>
                <w:sz w:val="24"/>
                <w:highlight w:val="none"/>
              </w:rPr>
              <w:t>在“安徽省危险废物动态管理信息系统”</w:t>
            </w:r>
            <w:r>
              <w:rPr>
                <w:color w:val="auto"/>
                <w:sz w:val="24"/>
                <w:highlight w:val="none"/>
              </w:rPr>
              <w:t>中备案。危险废物产生企业应结合自身实际，建立危险废物台账，如实记载危险废物的种类、数量、性质、产生环节、流向、贮存、利用处置等信息，并</w:t>
            </w:r>
            <w:r>
              <w:rPr>
                <w:rFonts w:hint="eastAsia" w:ascii="宋体" w:hAnsi="宋体" w:eastAsia="宋体" w:cs="宋体"/>
                <w:color w:val="auto"/>
                <w:sz w:val="24"/>
                <w:highlight w:val="none"/>
              </w:rPr>
              <w:t>在“安徽省危险废物动态管理信息系统”</w:t>
            </w:r>
            <w:r>
              <w:rPr>
                <w:color w:val="auto"/>
                <w:sz w:val="24"/>
                <w:highlight w:val="none"/>
              </w:rPr>
              <w:t>中进行如实规范申报，申报数据应与台账、管理计划数据相一致。</w:t>
            </w:r>
          </w:p>
          <w:p w14:paraId="417317DD">
            <w:pPr>
              <w:spacing w:line="360" w:lineRule="auto"/>
              <w:ind w:firstLine="480" w:firstLineChars="200"/>
              <w:rPr>
                <w:color w:val="auto"/>
                <w:sz w:val="24"/>
                <w:highlight w:val="none"/>
              </w:rPr>
            </w:pPr>
            <w:r>
              <w:rPr>
                <w:color w:val="auto"/>
                <w:sz w:val="24"/>
                <w:highlight w:val="none"/>
              </w:rPr>
              <w:t>③企业应落实信息公开力度，在厂门口显著位置设置危险废物信息公开栏，主动公开危险废物产生、利用处置情况。</w:t>
            </w:r>
          </w:p>
          <w:p w14:paraId="42823990">
            <w:pPr>
              <w:spacing w:line="360" w:lineRule="auto"/>
              <w:ind w:firstLine="480" w:firstLineChars="200"/>
              <w:rPr>
                <w:color w:val="auto"/>
                <w:sz w:val="24"/>
                <w:highlight w:val="none"/>
              </w:rPr>
            </w:pPr>
            <w:r>
              <w:rPr>
                <w:color w:val="auto"/>
                <w:sz w:val="24"/>
                <w:highlight w:val="none"/>
              </w:rPr>
              <w:t>④加强环保业务培训，经营单位负责人、相关管理人员、环保技术人员及相关操作人员等应了解国家相关法律法规、规范性文件要领，熟悉本单位规章制度、操作流程和应急预案等要求，掌握危险废物分类收集、运输、贮存、利用和处置的正确方法和操作程序。严格按照技术规范、行业管理要求和经批准的环评、验收、经营许可条件规定的各类技术要求、操作规程，规范开展处置利用活动。按要求建立健全经营</w:t>
            </w:r>
            <w:r>
              <w:rPr>
                <w:rFonts w:hint="eastAsia"/>
                <w:color w:val="auto"/>
                <w:sz w:val="24"/>
                <w:highlight w:val="none"/>
                <w:lang w:eastAsia="zh-CN"/>
              </w:rPr>
              <w:t>记录簿</w:t>
            </w:r>
            <w:r>
              <w:rPr>
                <w:color w:val="auto"/>
                <w:sz w:val="24"/>
                <w:highlight w:val="none"/>
              </w:rPr>
              <w:t>，如实记载危险废物经营情况。严格落实污染防治要求，妥善运行污染防治设施，严防二次污染。要对处置利用设施、污染防治设施设备等，定期进行检测检验，严防老化、破损导致事故性排放。</w:t>
            </w:r>
          </w:p>
          <w:p w14:paraId="2FBE4836">
            <w:pPr>
              <w:numPr>
                <w:ilvl w:val="0"/>
                <w:numId w:val="5"/>
              </w:numPr>
              <w:tabs>
                <w:tab w:val="left" w:pos="360"/>
              </w:tabs>
              <w:autoSpaceDE w:val="0"/>
              <w:autoSpaceDN w:val="0"/>
              <w:adjustRightInd w:val="0"/>
              <w:snapToGrid w:val="0"/>
              <w:spacing w:line="360" w:lineRule="auto"/>
              <w:ind w:firstLine="480" w:firstLineChars="200"/>
              <w:rPr>
                <w:color w:val="auto"/>
                <w:sz w:val="24"/>
                <w:highlight w:val="none"/>
              </w:rPr>
            </w:pPr>
            <w:r>
              <w:rPr>
                <w:color w:val="auto"/>
                <w:sz w:val="24"/>
                <w:highlight w:val="none"/>
              </w:rPr>
              <w:t>委托利用或处置的可行性分析</w:t>
            </w:r>
          </w:p>
          <w:p w14:paraId="6B9E431C">
            <w:pPr>
              <w:tabs>
                <w:tab w:val="left" w:pos="360"/>
              </w:tabs>
              <w:autoSpaceDE w:val="0"/>
              <w:autoSpaceDN w:val="0"/>
              <w:adjustRightInd w:val="0"/>
              <w:snapToGrid w:val="0"/>
              <w:spacing w:line="360" w:lineRule="auto"/>
              <w:ind w:firstLine="480" w:firstLineChars="200"/>
              <w:rPr>
                <w:color w:val="auto"/>
                <w:highlight w:val="none"/>
              </w:rPr>
            </w:pPr>
            <w:r>
              <w:rPr>
                <w:color w:val="auto"/>
                <w:sz w:val="24"/>
                <w:highlight w:val="none"/>
              </w:rPr>
              <w:t>目前</w:t>
            </w:r>
            <w:r>
              <w:rPr>
                <w:rFonts w:hint="eastAsia"/>
                <w:color w:val="auto"/>
                <w:sz w:val="24"/>
                <w:highlight w:val="none"/>
              </w:rPr>
              <w:t>宿州</w:t>
            </w:r>
            <w:r>
              <w:rPr>
                <w:color w:val="auto"/>
                <w:sz w:val="24"/>
                <w:highlight w:val="none"/>
              </w:rPr>
              <w:t>有多家危废处理企业，拥有先进的处理设备和能力，本项目危废的种类和数量均在</w:t>
            </w:r>
            <w:r>
              <w:rPr>
                <w:rFonts w:hint="eastAsia"/>
                <w:color w:val="auto"/>
                <w:sz w:val="24"/>
                <w:highlight w:val="none"/>
              </w:rPr>
              <w:t>宿州</w:t>
            </w:r>
            <w:r>
              <w:rPr>
                <w:color w:val="auto"/>
                <w:sz w:val="24"/>
                <w:highlight w:val="none"/>
              </w:rPr>
              <w:t>市危废处置单位的能力范围内。</w:t>
            </w:r>
          </w:p>
          <w:p w14:paraId="4C456903">
            <w:pPr>
              <w:pStyle w:val="12"/>
              <w:kinsoku w:val="0"/>
              <w:overflowPunct w:val="0"/>
              <w:adjustRightInd w:val="0"/>
              <w:spacing w:before="0" w:after="0" w:line="360" w:lineRule="auto"/>
              <w:ind w:right="0" w:firstLine="480" w:firstLineChars="200"/>
              <w:rPr>
                <w:color w:val="auto"/>
                <w:sz w:val="24"/>
                <w:szCs w:val="24"/>
                <w:highlight w:val="none"/>
              </w:rPr>
            </w:pPr>
            <w:r>
              <w:rPr>
                <w:color w:val="auto"/>
                <w:sz w:val="24"/>
                <w:szCs w:val="24"/>
                <w:highlight w:val="none"/>
              </w:rPr>
              <w:t>（8）危险废物风险防范措施</w:t>
            </w:r>
          </w:p>
          <w:p w14:paraId="3E359AB1">
            <w:pPr>
              <w:pStyle w:val="12"/>
              <w:kinsoku w:val="0"/>
              <w:overflowPunct w:val="0"/>
              <w:adjustRightInd w:val="0"/>
              <w:spacing w:before="0" w:after="0" w:line="360" w:lineRule="auto"/>
              <w:ind w:right="0" w:firstLine="480" w:firstLineChars="200"/>
              <w:rPr>
                <w:color w:val="auto"/>
                <w:sz w:val="24"/>
                <w:szCs w:val="24"/>
                <w:highlight w:val="none"/>
              </w:rPr>
            </w:pPr>
            <w:r>
              <w:rPr>
                <w:color w:val="auto"/>
                <w:sz w:val="24"/>
                <w:szCs w:val="24"/>
                <w:highlight w:val="none"/>
              </w:rPr>
              <w:t>①加</w:t>
            </w:r>
            <w:r>
              <w:rPr>
                <w:color w:val="auto"/>
                <w:spacing w:val="-3"/>
                <w:sz w:val="24"/>
                <w:szCs w:val="24"/>
                <w:highlight w:val="none"/>
              </w:rPr>
              <w:t>强</w:t>
            </w:r>
            <w:r>
              <w:rPr>
                <w:color w:val="auto"/>
                <w:sz w:val="24"/>
                <w:szCs w:val="24"/>
                <w:highlight w:val="none"/>
              </w:rPr>
              <w:t>企</w:t>
            </w:r>
            <w:r>
              <w:rPr>
                <w:color w:val="auto"/>
                <w:spacing w:val="-3"/>
                <w:sz w:val="24"/>
                <w:szCs w:val="24"/>
                <w:highlight w:val="none"/>
              </w:rPr>
              <w:t>业</w:t>
            </w:r>
            <w:r>
              <w:rPr>
                <w:color w:val="auto"/>
                <w:sz w:val="24"/>
                <w:szCs w:val="24"/>
                <w:highlight w:val="none"/>
              </w:rPr>
              <w:t>危</w:t>
            </w:r>
            <w:r>
              <w:rPr>
                <w:color w:val="auto"/>
                <w:spacing w:val="-3"/>
                <w:sz w:val="24"/>
                <w:szCs w:val="24"/>
                <w:highlight w:val="none"/>
              </w:rPr>
              <w:t>险</w:t>
            </w:r>
            <w:r>
              <w:rPr>
                <w:color w:val="auto"/>
                <w:sz w:val="24"/>
                <w:szCs w:val="24"/>
                <w:highlight w:val="none"/>
              </w:rPr>
              <w:t>废</w:t>
            </w:r>
            <w:r>
              <w:rPr>
                <w:color w:val="auto"/>
                <w:spacing w:val="-3"/>
                <w:sz w:val="24"/>
                <w:szCs w:val="24"/>
                <w:highlight w:val="none"/>
              </w:rPr>
              <w:t>物</w:t>
            </w:r>
            <w:r>
              <w:rPr>
                <w:color w:val="auto"/>
                <w:sz w:val="24"/>
                <w:szCs w:val="24"/>
                <w:highlight w:val="none"/>
              </w:rPr>
              <w:t>管</w:t>
            </w:r>
            <w:r>
              <w:rPr>
                <w:color w:val="auto"/>
                <w:spacing w:val="-3"/>
                <w:sz w:val="24"/>
                <w:szCs w:val="24"/>
                <w:highlight w:val="none"/>
              </w:rPr>
              <w:t>理</w:t>
            </w:r>
            <w:r>
              <w:rPr>
                <w:color w:val="auto"/>
                <w:sz w:val="24"/>
                <w:szCs w:val="24"/>
                <w:highlight w:val="none"/>
              </w:rPr>
              <w:t>人员</w:t>
            </w:r>
            <w:r>
              <w:rPr>
                <w:color w:val="auto"/>
                <w:spacing w:val="-2"/>
                <w:sz w:val="24"/>
                <w:szCs w:val="24"/>
                <w:highlight w:val="none"/>
              </w:rPr>
              <w:t>的</w:t>
            </w:r>
            <w:r>
              <w:rPr>
                <w:color w:val="auto"/>
                <w:sz w:val="24"/>
                <w:szCs w:val="24"/>
                <w:highlight w:val="none"/>
              </w:rPr>
              <w:t>培</w:t>
            </w:r>
            <w:r>
              <w:rPr>
                <w:color w:val="auto"/>
                <w:spacing w:val="-3"/>
                <w:sz w:val="24"/>
                <w:szCs w:val="24"/>
                <w:highlight w:val="none"/>
              </w:rPr>
              <w:t>训</w:t>
            </w:r>
            <w:r>
              <w:rPr>
                <w:color w:val="auto"/>
                <w:spacing w:val="-53"/>
                <w:sz w:val="24"/>
                <w:szCs w:val="24"/>
                <w:highlight w:val="none"/>
              </w:rPr>
              <w:t>，</w:t>
            </w:r>
            <w:r>
              <w:rPr>
                <w:color w:val="auto"/>
                <w:spacing w:val="-3"/>
                <w:sz w:val="24"/>
                <w:szCs w:val="24"/>
                <w:highlight w:val="none"/>
              </w:rPr>
              <w:t>了</w:t>
            </w:r>
            <w:r>
              <w:rPr>
                <w:color w:val="auto"/>
                <w:sz w:val="24"/>
                <w:szCs w:val="24"/>
                <w:highlight w:val="none"/>
              </w:rPr>
              <w:t>解</w:t>
            </w:r>
            <w:r>
              <w:rPr>
                <w:color w:val="auto"/>
                <w:spacing w:val="-3"/>
                <w:sz w:val="24"/>
                <w:szCs w:val="24"/>
                <w:highlight w:val="none"/>
              </w:rPr>
              <w:t>危</w:t>
            </w:r>
            <w:r>
              <w:rPr>
                <w:color w:val="auto"/>
                <w:sz w:val="24"/>
                <w:szCs w:val="24"/>
                <w:highlight w:val="none"/>
              </w:rPr>
              <w:t>险</w:t>
            </w:r>
            <w:r>
              <w:rPr>
                <w:color w:val="auto"/>
                <w:spacing w:val="-3"/>
                <w:sz w:val="24"/>
                <w:szCs w:val="24"/>
                <w:highlight w:val="none"/>
              </w:rPr>
              <w:t>废</w:t>
            </w:r>
            <w:r>
              <w:rPr>
                <w:color w:val="auto"/>
                <w:sz w:val="24"/>
                <w:szCs w:val="24"/>
                <w:highlight w:val="none"/>
              </w:rPr>
              <w:t>物危</w:t>
            </w:r>
            <w:r>
              <w:rPr>
                <w:color w:val="auto"/>
                <w:spacing w:val="-3"/>
                <w:sz w:val="24"/>
                <w:szCs w:val="24"/>
                <w:highlight w:val="none"/>
              </w:rPr>
              <w:t>害</w:t>
            </w:r>
            <w:r>
              <w:rPr>
                <w:color w:val="auto"/>
                <w:sz w:val="24"/>
                <w:szCs w:val="24"/>
                <w:highlight w:val="none"/>
              </w:rPr>
              <w:t>性</w:t>
            </w:r>
            <w:r>
              <w:rPr>
                <w:color w:val="auto"/>
                <w:spacing w:val="-56"/>
                <w:sz w:val="24"/>
                <w:szCs w:val="24"/>
                <w:highlight w:val="none"/>
              </w:rPr>
              <w:t>、</w:t>
            </w:r>
            <w:r>
              <w:rPr>
                <w:color w:val="auto"/>
                <w:sz w:val="24"/>
                <w:szCs w:val="24"/>
                <w:highlight w:val="none"/>
              </w:rPr>
              <w:t>分</w:t>
            </w:r>
            <w:r>
              <w:rPr>
                <w:color w:val="auto"/>
                <w:spacing w:val="-3"/>
                <w:sz w:val="24"/>
                <w:szCs w:val="24"/>
                <w:highlight w:val="none"/>
              </w:rPr>
              <w:t>类</w:t>
            </w:r>
            <w:r>
              <w:rPr>
                <w:color w:val="auto"/>
                <w:sz w:val="24"/>
                <w:szCs w:val="24"/>
                <w:highlight w:val="none"/>
              </w:rPr>
              <w:t>贮</w:t>
            </w:r>
            <w:r>
              <w:rPr>
                <w:color w:val="auto"/>
                <w:spacing w:val="-3"/>
                <w:sz w:val="24"/>
                <w:szCs w:val="24"/>
                <w:highlight w:val="none"/>
              </w:rPr>
              <w:t>存</w:t>
            </w:r>
            <w:r>
              <w:rPr>
                <w:color w:val="auto"/>
                <w:sz w:val="24"/>
                <w:szCs w:val="24"/>
                <w:highlight w:val="none"/>
              </w:rPr>
              <w:t>要</w:t>
            </w:r>
            <w:r>
              <w:rPr>
                <w:color w:val="auto"/>
                <w:spacing w:val="-2"/>
                <w:sz w:val="24"/>
                <w:szCs w:val="24"/>
                <w:highlight w:val="none"/>
              </w:rPr>
              <w:t>求</w:t>
            </w:r>
            <w:r>
              <w:rPr>
                <w:color w:val="auto"/>
                <w:sz w:val="24"/>
                <w:szCs w:val="24"/>
                <w:highlight w:val="none"/>
              </w:rPr>
              <w:t>以及</w:t>
            </w:r>
            <w:r>
              <w:rPr>
                <w:color w:val="auto"/>
                <w:spacing w:val="-3"/>
                <w:sz w:val="24"/>
                <w:szCs w:val="24"/>
                <w:highlight w:val="none"/>
              </w:rPr>
              <w:t>简</w:t>
            </w:r>
            <w:r>
              <w:rPr>
                <w:color w:val="auto"/>
                <w:sz w:val="24"/>
                <w:szCs w:val="24"/>
                <w:highlight w:val="none"/>
              </w:rPr>
              <w:t>单</w:t>
            </w:r>
            <w:r>
              <w:rPr>
                <w:color w:val="auto"/>
                <w:spacing w:val="-3"/>
                <w:sz w:val="24"/>
                <w:szCs w:val="24"/>
                <w:highlight w:val="none"/>
              </w:rPr>
              <w:t>的</w:t>
            </w:r>
            <w:r>
              <w:rPr>
                <w:color w:val="auto"/>
                <w:sz w:val="24"/>
                <w:szCs w:val="24"/>
                <w:highlight w:val="none"/>
              </w:rPr>
              <w:t>前期处</w:t>
            </w:r>
            <w:r>
              <w:rPr>
                <w:color w:val="auto"/>
                <w:spacing w:val="-3"/>
                <w:sz w:val="24"/>
                <w:szCs w:val="24"/>
                <w:highlight w:val="none"/>
              </w:rPr>
              <w:t>理</w:t>
            </w:r>
            <w:r>
              <w:rPr>
                <w:color w:val="auto"/>
                <w:sz w:val="24"/>
                <w:szCs w:val="24"/>
                <w:highlight w:val="none"/>
              </w:rPr>
              <w:t>措</w:t>
            </w:r>
            <w:r>
              <w:rPr>
                <w:color w:val="auto"/>
                <w:spacing w:val="-3"/>
                <w:sz w:val="24"/>
                <w:szCs w:val="24"/>
                <w:highlight w:val="none"/>
              </w:rPr>
              <w:t>施</w:t>
            </w:r>
            <w:r>
              <w:rPr>
                <w:color w:val="auto"/>
                <w:sz w:val="24"/>
                <w:szCs w:val="24"/>
                <w:highlight w:val="none"/>
              </w:rPr>
              <w:t>；</w:t>
            </w:r>
          </w:p>
          <w:p w14:paraId="057F4496">
            <w:pPr>
              <w:pStyle w:val="12"/>
              <w:keepNext w:val="0"/>
              <w:keepLines w:val="0"/>
              <w:pageBreakBefore w:val="0"/>
              <w:widowControl/>
              <w:kinsoku/>
              <w:wordWrap/>
              <w:overflowPunct w:val="0"/>
              <w:topLinePunct w:val="0"/>
              <w:autoSpaceDE/>
              <w:autoSpaceDN/>
              <w:bidi w:val="0"/>
              <w:adjustRightInd w:val="0"/>
              <w:snapToGrid w:val="0"/>
              <w:spacing w:before="0" w:after="0" w:line="360" w:lineRule="auto"/>
              <w:ind w:right="0" w:firstLine="480" w:firstLineChars="200"/>
              <w:textAlignment w:val="auto"/>
              <w:rPr>
                <w:color w:val="auto"/>
                <w:sz w:val="24"/>
                <w:szCs w:val="24"/>
                <w:highlight w:val="none"/>
              </w:rPr>
            </w:pPr>
            <w:r>
              <w:rPr>
                <w:color w:val="auto"/>
                <w:sz w:val="24"/>
                <w:szCs w:val="24"/>
                <w:highlight w:val="none"/>
              </w:rPr>
              <w:t>②危废贮存设施内地面必须采取硬化等防渗措施，地面须设置</w:t>
            </w:r>
            <w:r>
              <w:rPr>
                <w:rFonts w:hint="eastAsia"/>
                <w:color w:val="auto"/>
                <w:sz w:val="24"/>
                <w:szCs w:val="24"/>
                <w:highlight w:val="none"/>
                <w:lang w:eastAsia="zh-CN"/>
              </w:rPr>
              <w:t>泄漏液体</w:t>
            </w:r>
            <w:r>
              <w:rPr>
                <w:color w:val="auto"/>
                <w:sz w:val="24"/>
                <w:szCs w:val="24"/>
                <w:highlight w:val="none"/>
              </w:rPr>
              <w:t>收集渠，然后自流至在最低处设置的地下收集池</w:t>
            </w:r>
            <w:r>
              <w:rPr>
                <w:rFonts w:hint="eastAsia"/>
                <w:color w:val="auto"/>
                <w:sz w:val="24"/>
                <w:szCs w:val="24"/>
                <w:highlight w:val="none"/>
                <w:lang w:eastAsia="zh-CN"/>
              </w:rPr>
              <w:t>（</w:t>
            </w:r>
            <w:r>
              <w:rPr>
                <w:color w:val="auto"/>
                <w:sz w:val="24"/>
                <w:szCs w:val="24"/>
                <w:highlight w:val="none"/>
              </w:rPr>
              <w:t>容积由企业根据实际自定</w:t>
            </w:r>
            <w:r>
              <w:rPr>
                <w:rFonts w:hint="eastAsia"/>
                <w:color w:val="auto"/>
                <w:sz w:val="24"/>
                <w:szCs w:val="24"/>
                <w:highlight w:val="none"/>
                <w:lang w:eastAsia="zh-CN"/>
              </w:rPr>
              <w:t>）</w:t>
            </w:r>
            <w:r>
              <w:rPr>
                <w:color w:val="auto"/>
                <w:sz w:val="24"/>
                <w:szCs w:val="24"/>
                <w:highlight w:val="none"/>
              </w:rPr>
              <w:t>，废水须设置废水导排管或泵或人工方式，将废液废水引入企业的废水处理设施。暂存间门口须有围堰</w:t>
            </w:r>
            <w:r>
              <w:rPr>
                <w:rFonts w:hint="eastAsia"/>
                <w:color w:val="auto"/>
                <w:sz w:val="24"/>
                <w:szCs w:val="24"/>
                <w:highlight w:val="none"/>
                <w:lang w:eastAsia="zh-CN"/>
              </w:rPr>
              <w:t>（</w:t>
            </w:r>
            <w:r>
              <w:rPr>
                <w:color w:val="auto"/>
                <w:sz w:val="24"/>
                <w:szCs w:val="24"/>
                <w:highlight w:val="none"/>
              </w:rPr>
              <w:t>缓坡</w:t>
            </w:r>
            <w:r>
              <w:rPr>
                <w:rFonts w:hint="eastAsia"/>
                <w:color w:val="auto"/>
                <w:sz w:val="24"/>
                <w:szCs w:val="24"/>
                <w:highlight w:val="none"/>
                <w:lang w:eastAsia="zh-CN"/>
              </w:rPr>
              <w:t>）</w:t>
            </w:r>
            <w:r>
              <w:rPr>
                <w:color w:val="auto"/>
                <w:sz w:val="24"/>
                <w:szCs w:val="24"/>
                <w:highlight w:val="none"/>
              </w:rPr>
              <w:t>或截留沟，防止暂存间废物向外泄漏。同时，暂存间地面应保持干净整洁。</w:t>
            </w:r>
          </w:p>
          <w:p w14:paraId="58F192E3">
            <w:pPr>
              <w:adjustRightInd w:val="0"/>
              <w:snapToGrid w:val="0"/>
              <w:spacing w:line="360" w:lineRule="auto"/>
              <w:ind w:firstLine="480" w:firstLineChars="200"/>
              <w:rPr>
                <w:bCs/>
                <w:color w:val="auto"/>
                <w:sz w:val="24"/>
                <w:highlight w:val="none"/>
              </w:rPr>
            </w:pPr>
            <w:r>
              <w:rPr>
                <w:color w:val="auto"/>
                <w:sz w:val="24"/>
                <w:highlight w:val="none"/>
              </w:rPr>
              <w:t>③加</w:t>
            </w:r>
            <w:r>
              <w:rPr>
                <w:color w:val="auto"/>
                <w:spacing w:val="-3"/>
                <w:sz w:val="24"/>
                <w:highlight w:val="none"/>
              </w:rPr>
              <w:t>强</w:t>
            </w:r>
            <w:r>
              <w:rPr>
                <w:color w:val="auto"/>
                <w:sz w:val="24"/>
                <w:highlight w:val="none"/>
              </w:rPr>
              <w:t>对</w:t>
            </w:r>
            <w:r>
              <w:rPr>
                <w:color w:val="auto"/>
                <w:spacing w:val="-3"/>
                <w:sz w:val="24"/>
                <w:highlight w:val="none"/>
              </w:rPr>
              <w:t>危</w:t>
            </w:r>
            <w:r>
              <w:rPr>
                <w:color w:val="auto"/>
                <w:sz w:val="24"/>
                <w:highlight w:val="none"/>
              </w:rPr>
              <w:t>废</w:t>
            </w:r>
            <w:r>
              <w:rPr>
                <w:color w:val="auto"/>
                <w:spacing w:val="-3"/>
                <w:sz w:val="24"/>
                <w:highlight w:val="none"/>
              </w:rPr>
              <w:t>贮</w:t>
            </w:r>
            <w:r>
              <w:rPr>
                <w:color w:val="auto"/>
                <w:sz w:val="24"/>
                <w:highlight w:val="none"/>
              </w:rPr>
              <w:t>存</w:t>
            </w:r>
            <w:r>
              <w:rPr>
                <w:color w:val="auto"/>
                <w:spacing w:val="-3"/>
                <w:sz w:val="24"/>
                <w:highlight w:val="none"/>
              </w:rPr>
              <w:t>设</w:t>
            </w:r>
            <w:r>
              <w:rPr>
                <w:color w:val="auto"/>
                <w:sz w:val="24"/>
                <w:highlight w:val="none"/>
              </w:rPr>
              <w:t>施</w:t>
            </w:r>
            <w:r>
              <w:rPr>
                <w:color w:val="auto"/>
                <w:spacing w:val="-3"/>
                <w:sz w:val="24"/>
                <w:highlight w:val="none"/>
              </w:rPr>
              <w:t>的</w:t>
            </w:r>
            <w:r>
              <w:rPr>
                <w:color w:val="auto"/>
                <w:sz w:val="24"/>
                <w:highlight w:val="none"/>
              </w:rPr>
              <w:t>巡查</w:t>
            </w:r>
            <w:r>
              <w:rPr>
                <w:color w:val="auto"/>
                <w:spacing w:val="-3"/>
                <w:sz w:val="24"/>
                <w:highlight w:val="none"/>
              </w:rPr>
              <w:t>，</w:t>
            </w:r>
            <w:r>
              <w:rPr>
                <w:color w:val="auto"/>
                <w:sz w:val="24"/>
                <w:highlight w:val="none"/>
              </w:rPr>
              <w:t>尤</w:t>
            </w:r>
            <w:r>
              <w:rPr>
                <w:color w:val="auto"/>
                <w:spacing w:val="-3"/>
                <w:sz w:val="24"/>
                <w:highlight w:val="none"/>
              </w:rPr>
              <w:t>其</w:t>
            </w:r>
            <w:r>
              <w:rPr>
                <w:color w:val="auto"/>
                <w:sz w:val="24"/>
                <w:highlight w:val="none"/>
              </w:rPr>
              <w:t>是</w:t>
            </w:r>
            <w:r>
              <w:rPr>
                <w:color w:val="auto"/>
                <w:spacing w:val="-3"/>
                <w:sz w:val="24"/>
                <w:highlight w:val="none"/>
              </w:rPr>
              <w:t>台</w:t>
            </w:r>
            <w:r>
              <w:rPr>
                <w:color w:val="auto"/>
                <w:sz w:val="24"/>
                <w:highlight w:val="none"/>
              </w:rPr>
              <w:t>风</w:t>
            </w:r>
            <w:r>
              <w:rPr>
                <w:color w:val="auto"/>
                <w:spacing w:val="-3"/>
                <w:sz w:val="24"/>
                <w:highlight w:val="none"/>
              </w:rPr>
              <w:t>、</w:t>
            </w:r>
            <w:r>
              <w:rPr>
                <w:color w:val="auto"/>
                <w:sz w:val="24"/>
                <w:highlight w:val="none"/>
              </w:rPr>
              <w:t>暴</w:t>
            </w:r>
            <w:r>
              <w:rPr>
                <w:color w:val="auto"/>
                <w:spacing w:val="-3"/>
                <w:sz w:val="24"/>
                <w:highlight w:val="none"/>
              </w:rPr>
              <w:t>雨</w:t>
            </w:r>
            <w:r>
              <w:rPr>
                <w:color w:val="auto"/>
                <w:sz w:val="24"/>
                <w:highlight w:val="none"/>
              </w:rPr>
              <w:t>等恶</w:t>
            </w:r>
            <w:r>
              <w:rPr>
                <w:color w:val="auto"/>
                <w:spacing w:val="-3"/>
                <w:sz w:val="24"/>
                <w:highlight w:val="none"/>
              </w:rPr>
              <w:t>劣</w:t>
            </w:r>
            <w:r>
              <w:rPr>
                <w:color w:val="auto"/>
                <w:sz w:val="24"/>
                <w:highlight w:val="none"/>
              </w:rPr>
              <w:t>天</w:t>
            </w:r>
            <w:r>
              <w:rPr>
                <w:color w:val="auto"/>
                <w:spacing w:val="-3"/>
                <w:sz w:val="24"/>
                <w:highlight w:val="none"/>
              </w:rPr>
              <w:t>气</w:t>
            </w:r>
            <w:r>
              <w:rPr>
                <w:color w:val="auto"/>
                <w:sz w:val="24"/>
                <w:highlight w:val="none"/>
              </w:rPr>
              <w:t>时</w:t>
            </w:r>
            <w:r>
              <w:rPr>
                <w:color w:val="auto"/>
                <w:spacing w:val="-3"/>
                <w:sz w:val="24"/>
                <w:highlight w:val="none"/>
              </w:rPr>
              <w:t>期</w:t>
            </w:r>
            <w:r>
              <w:rPr>
                <w:color w:val="auto"/>
                <w:sz w:val="24"/>
                <w:highlight w:val="none"/>
              </w:rPr>
              <w:t>，</w:t>
            </w:r>
            <w:r>
              <w:rPr>
                <w:color w:val="auto"/>
                <w:spacing w:val="-3"/>
                <w:sz w:val="24"/>
                <w:highlight w:val="none"/>
              </w:rPr>
              <w:t>发</w:t>
            </w:r>
            <w:r>
              <w:rPr>
                <w:color w:val="auto"/>
                <w:sz w:val="24"/>
                <w:highlight w:val="none"/>
              </w:rPr>
              <w:t>现</w:t>
            </w:r>
            <w:r>
              <w:rPr>
                <w:color w:val="auto"/>
                <w:spacing w:val="-3"/>
                <w:sz w:val="24"/>
                <w:highlight w:val="none"/>
              </w:rPr>
              <w:t>问</w:t>
            </w:r>
            <w:r>
              <w:rPr>
                <w:color w:val="auto"/>
                <w:sz w:val="24"/>
                <w:highlight w:val="none"/>
              </w:rPr>
              <w:t>题及</w:t>
            </w:r>
            <w:r>
              <w:rPr>
                <w:color w:val="auto"/>
                <w:spacing w:val="-3"/>
                <w:sz w:val="24"/>
                <w:highlight w:val="none"/>
              </w:rPr>
              <w:t>时</w:t>
            </w:r>
            <w:r>
              <w:rPr>
                <w:color w:val="auto"/>
                <w:sz w:val="24"/>
                <w:highlight w:val="none"/>
              </w:rPr>
              <w:t>处</w:t>
            </w:r>
            <w:r>
              <w:rPr>
                <w:color w:val="auto"/>
                <w:spacing w:val="-5"/>
                <w:sz w:val="24"/>
                <w:highlight w:val="none"/>
              </w:rPr>
              <w:t>理</w:t>
            </w:r>
            <w:r>
              <w:rPr>
                <w:color w:val="auto"/>
                <w:sz w:val="24"/>
                <w:highlight w:val="none"/>
              </w:rPr>
              <w:t>。</w:t>
            </w:r>
          </w:p>
          <w:p w14:paraId="14052A9B">
            <w:pPr>
              <w:spacing w:line="360" w:lineRule="auto"/>
              <w:ind w:firstLine="480" w:firstLineChars="200"/>
              <w:rPr>
                <w:color w:val="auto"/>
                <w:sz w:val="24"/>
                <w:highlight w:val="none"/>
              </w:rPr>
            </w:pPr>
            <w:r>
              <w:rPr>
                <w:color w:val="auto"/>
                <w:sz w:val="24"/>
                <w:highlight w:val="none"/>
              </w:rPr>
              <w:t>此外，建议项目方采取以下措施：</w:t>
            </w:r>
          </w:p>
          <w:p w14:paraId="779FFBD9">
            <w:pPr>
              <w:spacing w:line="360" w:lineRule="auto"/>
              <w:ind w:firstLine="480" w:firstLineChars="200"/>
              <w:jc w:val="left"/>
              <w:rPr>
                <w:color w:val="auto"/>
                <w:sz w:val="24"/>
                <w:highlight w:val="none"/>
              </w:rPr>
            </w:pPr>
            <w:r>
              <w:rPr>
                <w:rFonts w:hint="eastAsia"/>
                <w:color w:val="auto"/>
                <w:sz w:val="24"/>
                <w:highlight w:val="none"/>
              </w:rPr>
              <w:t>（1）</w:t>
            </w:r>
            <w:r>
              <w:rPr>
                <w:color w:val="auto"/>
                <w:sz w:val="24"/>
                <w:highlight w:val="none"/>
              </w:rPr>
              <w:t>加强区内的卫生管理，及时进行项目区域的地面的清扫、维护。</w:t>
            </w:r>
          </w:p>
          <w:p w14:paraId="1B8AFBB4">
            <w:pPr>
              <w:spacing w:line="360" w:lineRule="auto"/>
              <w:ind w:firstLine="480" w:firstLineChars="200"/>
              <w:jc w:val="left"/>
              <w:rPr>
                <w:color w:val="auto"/>
                <w:sz w:val="24"/>
                <w:highlight w:val="none"/>
              </w:rPr>
            </w:pPr>
            <w:r>
              <w:rPr>
                <w:rFonts w:hint="eastAsia"/>
                <w:color w:val="auto"/>
                <w:sz w:val="24"/>
                <w:highlight w:val="none"/>
              </w:rPr>
              <w:t>（2）</w:t>
            </w:r>
            <w:r>
              <w:rPr>
                <w:color w:val="auto"/>
                <w:sz w:val="24"/>
                <w:highlight w:val="none"/>
              </w:rPr>
              <w:t>积极推广垃圾分类、袋装、定点、及时收集的原则，垃圾分类收集后，对可以回收利用的部分应尽可能回用以减少垃圾的产生量，对不能利用的部分要及时清运，以免因长期堆积滋生蚊蝇、传播疾病。</w:t>
            </w:r>
          </w:p>
          <w:p w14:paraId="3A144DB6">
            <w:pPr>
              <w:spacing w:line="360" w:lineRule="auto"/>
              <w:ind w:firstLine="480" w:firstLineChars="200"/>
              <w:rPr>
                <w:b/>
                <w:color w:val="auto"/>
                <w:sz w:val="24"/>
                <w:highlight w:val="none"/>
              </w:rPr>
            </w:pPr>
            <w:r>
              <w:rPr>
                <w:rFonts w:hint="eastAsia"/>
                <w:color w:val="auto"/>
                <w:sz w:val="24"/>
                <w:highlight w:val="none"/>
              </w:rPr>
              <w:t>（3）</w:t>
            </w:r>
            <w:r>
              <w:rPr>
                <w:color w:val="auto"/>
                <w:sz w:val="24"/>
                <w:highlight w:val="none"/>
              </w:rPr>
              <w:t>项目管理部门应加强管理并适当进行环保及卫生方面知识的宣传教育，</w:t>
            </w:r>
            <w:r>
              <w:rPr>
                <w:rFonts w:hint="eastAsia"/>
                <w:color w:val="auto"/>
                <w:sz w:val="24"/>
                <w:highlight w:val="none"/>
                <w:lang w:eastAsia="zh-CN"/>
              </w:rPr>
              <w:t>增强</w:t>
            </w:r>
            <w:r>
              <w:rPr>
                <w:color w:val="auto"/>
                <w:sz w:val="24"/>
                <w:highlight w:val="none"/>
              </w:rPr>
              <w:t>职工的环保意识，生产加工过程中，杜绝原辅材料的浪费。</w:t>
            </w:r>
          </w:p>
          <w:p w14:paraId="055D59EB">
            <w:pPr>
              <w:adjustRightInd w:val="0"/>
              <w:snapToGrid w:val="0"/>
              <w:spacing w:line="360" w:lineRule="auto"/>
              <w:ind w:firstLine="482" w:firstLineChars="200"/>
              <w:rPr>
                <w:b/>
                <w:color w:val="auto"/>
                <w:sz w:val="24"/>
                <w:highlight w:val="none"/>
              </w:rPr>
            </w:pPr>
            <w:r>
              <w:rPr>
                <w:b/>
                <w:color w:val="auto"/>
                <w:sz w:val="24"/>
                <w:highlight w:val="none"/>
              </w:rPr>
              <w:t>由上可知，本项目所有固体废物均得到了妥善处理及处置，可避免产生二次污染。</w:t>
            </w:r>
          </w:p>
          <w:p w14:paraId="2284B52B">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b/>
                <w:bCs/>
                <w:snapToGrid/>
                <w:color w:val="auto"/>
                <w:spacing w:val="0"/>
                <w:kern w:val="0"/>
                <w:position w:val="0"/>
                <w:sz w:val="24"/>
                <w:szCs w:val="24"/>
                <w:lang w:val="en-US" w:eastAsia="zh-CN"/>
              </w:rPr>
            </w:pPr>
            <w:r>
              <w:rPr>
                <w:rFonts w:hint="eastAsia"/>
                <w:b/>
                <w:bCs/>
                <w:snapToGrid/>
                <w:color w:val="auto"/>
                <w:spacing w:val="0"/>
                <w:kern w:val="0"/>
                <w:position w:val="0"/>
                <w:sz w:val="24"/>
                <w:szCs w:val="24"/>
                <w:lang w:val="en-US" w:eastAsia="zh-CN"/>
              </w:rPr>
              <w:t>5、地下水、土壤环境</w:t>
            </w:r>
          </w:p>
          <w:p w14:paraId="3841710D">
            <w:pPr>
              <w:pStyle w:val="2"/>
              <w:ind w:left="0" w:leftChars="0" w:firstLine="480" w:firstLineChars="200"/>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sz w:val="24"/>
                <w:szCs w:val="24"/>
                <w:highlight w:val="none"/>
                <w:shd w:val="clear" w:color="auto" w:fill="auto"/>
                <w:lang w:val="en-US" w:eastAsia="zh-CN"/>
              </w:rPr>
              <w:t>（1）地下水环境</w:t>
            </w:r>
          </w:p>
          <w:p w14:paraId="5C1DB3A6">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snapToGrid/>
                <w:color w:val="auto"/>
                <w:spacing w:val="0"/>
                <w:kern w:val="0"/>
                <w:position w:val="0"/>
                <w:sz w:val="24"/>
                <w:szCs w:val="24"/>
                <w:lang w:val="en-US" w:eastAsia="zh-CN"/>
              </w:rPr>
            </w:pPr>
            <w:r>
              <w:rPr>
                <w:rFonts w:hint="default" w:ascii="Times New Roman" w:hAnsi="Times New Roman" w:eastAsia="宋体" w:cs="Times New Roman"/>
                <w:b/>
                <w:bCs/>
                <w:snapToGrid/>
                <w:color w:val="auto"/>
                <w:spacing w:val="0"/>
                <w:kern w:val="0"/>
                <w:position w:val="0"/>
                <w:sz w:val="24"/>
                <w:szCs w:val="24"/>
                <w:lang w:val="en-US" w:eastAsia="zh-CN"/>
              </w:rPr>
              <w:t>地下水污染途径</w:t>
            </w:r>
            <w:r>
              <w:rPr>
                <w:rFonts w:hint="eastAsia" w:ascii="Times New Roman" w:hAnsi="Times New Roman" w:eastAsia="宋体" w:cs="Times New Roman"/>
                <w:b/>
                <w:bCs/>
                <w:snapToGrid/>
                <w:color w:val="auto"/>
                <w:spacing w:val="0"/>
                <w:kern w:val="0"/>
                <w:position w:val="0"/>
                <w:sz w:val="24"/>
                <w:szCs w:val="24"/>
                <w:lang w:val="en-US" w:eastAsia="zh-CN"/>
              </w:rPr>
              <w:t>：</w:t>
            </w:r>
          </w:p>
          <w:p w14:paraId="0C974925">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snapToGrid/>
                <w:color w:val="auto"/>
                <w:spacing w:val="0"/>
                <w:kern w:val="0"/>
                <w:position w:val="0"/>
                <w:sz w:val="24"/>
                <w:szCs w:val="24"/>
                <w:lang w:val="en-US" w:eastAsia="zh-CN"/>
              </w:rPr>
            </w:pPr>
            <w:r>
              <w:rPr>
                <w:rFonts w:hint="default" w:ascii="Times New Roman" w:hAnsi="Times New Roman" w:eastAsia="宋体" w:cs="Times New Roman"/>
                <w:b w:val="0"/>
                <w:bCs w:val="0"/>
                <w:snapToGrid/>
                <w:color w:val="auto"/>
                <w:spacing w:val="0"/>
                <w:kern w:val="0"/>
                <w:position w:val="0"/>
                <w:sz w:val="24"/>
                <w:szCs w:val="24"/>
                <w:lang w:val="en-US" w:eastAsia="zh-CN"/>
              </w:rPr>
              <w:t>①</w:t>
            </w:r>
            <w:r>
              <w:rPr>
                <w:rFonts w:hint="eastAsia" w:ascii="Times New Roman" w:hAnsi="Times New Roman" w:eastAsia="宋体" w:cs="Times New Roman"/>
                <w:b w:val="0"/>
                <w:bCs w:val="0"/>
                <w:snapToGrid/>
                <w:color w:val="auto"/>
                <w:spacing w:val="0"/>
                <w:kern w:val="0"/>
                <w:position w:val="0"/>
                <w:sz w:val="24"/>
                <w:szCs w:val="24"/>
                <w:lang w:val="en-US" w:eastAsia="zh-CN"/>
              </w:rPr>
              <w:t xml:space="preserve"> 危险废物暂存间</w:t>
            </w:r>
            <w:r>
              <w:rPr>
                <w:rFonts w:hint="eastAsia" w:cs="Times New Roman"/>
                <w:b w:val="0"/>
                <w:bCs w:val="0"/>
                <w:snapToGrid/>
                <w:color w:val="auto"/>
                <w:spacing w:val="0"/>
                <w:kern w:val="0"/>
                <w:position w:val="0"/>
                <w:sz w:val="24"/>
                <w:szCs w:val="24"/>
                <w:lang w:val="en-US" w:eastAsia="zh-CN"/>
              </w:rPr>
              <w:t>、</w:t>
            </w:r>
            <w:r>
              <w:rPr>
                <w:rFonts w:hint="eastAsia" w:cs="Times New Roman"/>
                <w:b w:val="0"/>
                <w:bCs w:val="0"/>
                <w:color w:val="auto"/>
                <w:sz w:val="24"/>
                <w:lang w:val="en-US" w:eastAsia="zh-CN"/>
              </w:rPr>
              <w:t>液氨储罐区</w:t>
            </w:r>
            <w:r>
              <w:rPr>
                <w:rFonts w:hint="eastAsia" w:cs="Times New Roman"/>
                <w:b w:val="0"/>
                <w:bCs w:val="0"/>
                <w:snapToGrid/>
                <w:color w:val="auto"/>
                <w:spacing w:val="0"/>
                <w:kern w:val="0"/>
                <w:position w:val="0"/>
                <w:sz w:val="24"/>
                <w:szCs w:val="24"/>
                <w:lang w:val="en-US" w:eastAsia="zh-CN"/>
              </w:rPr>
              <w:t>等</w:t>
            </w:r>
            <w:r>
              <w:rPr>
                <w:rFonts w:hint="eastAsia" w:ascii="Times New Roman" w:hAnsi="Times New Roman" w:eastAsia="宋体" w:cs="Times New Roman"/>
                <w:b w:val="0"/>
                <w:bCs w:val="0"/>
                <w:snapToGrid/>
                <w:color w:val="auto"/>
                <w:spacing w:val="0"/>
                <w:kern w:val="0"/>
                <w:position w:val="0"/>
                <w:sz w:val="24"/>
                <w:szCs w:val="24"/>
                <w:lang w:val="en-US" w:eastAsia="zh-CN"/>
              </w:rPr>
              <w:t>未进行防腐、防渗处理，以跑、冒、滴、漏方式渗入地下水中。</w:t>
            </w:r>
          </w:p>
          <w:p w14:paraId="3BBD058E">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bCs/>
                <w:snapToGrid/>
                <w:color w:val="auto"/>
                <w:spacing w:val="0"/>
                <w:kern w:val="0"/>
                <w:position w:val="0"/>
                <w:sz w:val="24"/>
                <w:szCs w:val="24"/>
                <w:lang w:val="en-US" w:eastAsia="zh-CN"/>
              </w:rPr>
            </w:pPr>
            <w:r>
              <w:rPr>
                <w:rFonts w:hint="default" w:ascii="Times New Roman" w:hAnsi="Times New Roman" w:eastAsia="宋体" w:cs="Times New Roman"/>
                <w:b w:val="0"/>
                <w:bCs w:val="0"/>
                <w:snapToGrid/>
                <w:color w:val="auto"/>
                <w:spacing w:val="0"/>
                <w:kern w:val="0"/>
                <w:position w:val="0"/>
                <w:sz w:val="24"/>
                <w:szCs w:val="24"/>
                <w:lang w:val="en-US" w:eastAsia="zh-CN"/>
              </w:rPr>
              <w:t>②</w:t>
            </w:r>
            <w:r>
              <w:rPr>
                <w:rFonts w:hint="eastAsia" w:ascii="Times New Roman" w:hAnsi="Times New Roman" w:eastAsia="宋体" w:cs="Times New Roman"/>
                <w:b w:val="0"/>
                <w:bCs w:val="0"/>
                <w:snapToGrid/>
                <w:color w:val="auto"/>
                <w:spacing w:val="0"/>
                <w:kern w:val="0"/>
                <w:position w:val="0"/>
                <w:sz w:val="24"/>
                <w:szCs w:val="24"/>
                <w:lang w:val="en-US" w:eastAsia="zh-CN"/>
              </w:rPr>
              <w:t xml:space="preserve"> 危险废物暂存间</w:t>
            </w:r>
            <w:r>
              <w:rPr>
                <w:rFonts w:hint="eastAsia" w:cs="Times New Roman"/>
                <w:b w:val="0"/>
                <w:bCs w:val="0"/>
                <w:snapToGrid/>
                <w:color w:val="auto"/>
                <w:spacing w:val="0"/>
                <w:kern w:val="0"/>
                <w:position w:val="0"/>
                <w:sz w:val="24"/>
                <w:szCs w:val="24"/>
                <w:lang w:val="en-US" w:eastAsia="zh-CN"/>
              </w:rPr>
              <w:t>、</w:t>
            </w:r>
            <w:r>
              <w:rPr>
                <w:rFonts w:hint="eastAsia" w:cs="Times New Roman"/>
                <w:b w:val="0"/>
                <w:bCs w:val="0"/>
                <w:color w:val="auto"/>
                <w:sz w:val="24"/>
                <w:lang w:val="en-US" w:eastAsia="zh-CN"/>
              </w:rPr>
              <w:t>液氨储罐区</w:t>
            </w:r>
            <w:r>
              <w:rPr>
                <w:rFonts w:hint="eastAsia" w:cs="Times New Roman"/>
                <w:b w:val="0"/>
                <w:bCs w:val="0"/>
                <w:snapToGrid/>
                <w:color w:val="auto"/>
                <w:spacing w:val="0"/>
                <w:kern w:val="0"/>
                <w:position w:val="0"/>
                <w:sz w:val="24"/>
                <w:szCs w:val="24"/>
                <w:lang w:val="en-US" w:eastAsia="zh-CN"/>
              </w:rPr>
              <w:t>等</w:t>
            </w:r>
            <w:r>
              <w:rPr>
                <w:rFonts w:hint="eastAsia" w:ascii="Times New Roman" w:hAnsi="Times New Roman" w:eastAsia="宋体" w:cs="Times New Roman"/>
                <w:b w:val="0"/>
                <w:bCs w:val="0"/>
                <w:snapToGrid/>
                <w:color w:val="auto"/>
                <w:spacing w:val="0"/>
                <w:kern w:val="0"/>
                <w:position w:val="0"/>
                <w:sz w:val="24"/>
                <w:szCs w:val="24"/>
                <w:lang w:val="en-US" w:eastAsia="zh-CN"/>
              </w:rPr>
              <w:t>长期使用或工程质量不符合要求出现破损、断裂情况，造成废</w:t>
            </w:r>
            <w:r>
              <w:rPr>
                <w:rFonts w:hint="eastAsia" w:cs="Times New Roman"/>
                <w:b w:val="0"/>
                <w:bCs w:val="0"/>
                <w:snapToGrid/>
                <w:color w:val="auto"/>
                <w:spacing w:val="0"/>
                <w:kern w:val="0"/>
                <w:position w:val="0"/>
                <w:sz w:val="24"/>
                <w:szCs w:val="24"/>
                <w:lang w:val="en-US" w:eastAsia="zh-CN"/>
              </w:rPr>
              <w:t>液</w:t>
            </w:r>
            <w:r>
              <w:rPr>
                <w:rFonts w:hint="eastAsia" w:ascii="Times New Roman" w:hAnsi="Times New Roman" w:eastAsia="宋体" w:cs="Times New Roman"/>
                <w:b w:val="0"/>
                <w:bCs w:val="0"/>
                <w:snapToGrid/>
                <w:color w:val="auto"/>
                <w:spacing w:val="0"/>
                <w:kern w:val="0"/>
                <w:position w:val="0"/>
                <w:sz w:val="24"/>
                <w:szCs w:val="24"/>
                <w:lang w:val="en-US" w:eastAsia="zh-CN"/>
              </w:rPr>
              <w:t>下渗。</w:t>
            </w:r>
          </w:p>
          <w:p w14:paraId="0860CE9A">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eastAsia"/>
                <w:b/>
                <w:bCs/>
                <w:snapToGrid/>
                <w:color w:val="auto"/>
                <w:spacing w:val="0"/>
                <w:kern w:val="0"/>
                <w:position w:val="0"/>
                <w:sz w:val="24"/>
                <w:szCs w:val="24"/>
                <w:lang w:val="en-US" w:eastAsia="zh-CN"/>
              </w:rPr>
            </w:pPr>
            <w:r>
              <w:rPr>
                <w:rFonts w:hint="eastAsia"/>
                <w:b/>
                <w:bCs/>
                <w:snapToGrid/>
                <w:color w:val="auto"/>
                <w:spacing w:val="0"/>
                <w:kern w:val="0"/>
                <w:position w:val="0"/>
                <w:sz w:val="24"/>
                <w:szCs w:val="24"/>
                <w:lang w:val="en-US" w:eastAsia="zh-CN"/>
              </w:rPr>
              <w:t>地下水污染防治措施：</w:t>
            </w:r>
          </w:p>
          <w:p w14:paraId="4125C300">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snapToGrid/>
                <w:color w:val="auto"/>
                <w:spacing w:val="0"/>
                <w:kern w:val="0"/>
                <w:position w:val="0"/>
                <w:sz w:val="24"/>
                <w:szCs w:val="24"/>
                <w:lang w:val="en-US" w:eastAsia="zh-CN"/>
              </w:rPr>
            </w:pPr>
            <w:r>
              <w:rPr>
                <w:rFonts w:hint="eastAsia"/>
                <w:b w:val="0"/>
                <w:bCs w:val="0"/>
                <w:snapToGrid/>
                <w:color w:val="auto"/>
                <w:spacing w:val="0"/>
                <w:kern w:val="0"/>
                <w:position w:val="0"/>
                <w:sz w:val="24"/>
                <w:szCs w:val="24"/>
                <w:lang w:val="en-US" w:eastAsia="zh-CN"/>
              </w:rPr>
              <w:t>根据厂区各生产功能单元是否可能对地下水造成污染及其风险程度，将厂区划分为重点防渗区、一般防渗区和简单防渗区。重点防渗区是可能会对地下水造成污染，风险程度较高，需要重点防治的区域，主要为</w:t>
            </w:r>
            <w:r>
              <w:rPr>
                <w:snapToGrid/>
                <w:color w:val="auto"/>
                <w:spacing w:val="0"/>
                <w:kern w:val="0"/>
                <w:position w:val="0"/>
                <w:sz w:val="24"/>
                <w:szCs w:val="24"/>
              </w:rPr>
              <w:t>危险废物暂存</w:t>
            </w:r>
            <w:r>
              <w:rPr>
                <w:rFonts w:hint="eastAsia"/>
                <w:snapToGrid/>
                <w:color w:val="auto"/>
                <w:spacing w:val="0"/>
                <w:kern w:val="0"/>
                <w:position w:val="0"/>
                <w:sz w:val="24"/>
                <w:szCs w:val="24"/>
                <w:lang w:eastAsia="zh-CN"/>
              </w:rPr>
              <w:t>间、</w:t>
            </w:r>
            <w:r>
              <w:rPr>
                <w:rFonts w:hint="eastAsia" w:cs="Times New Roman"/>
                <w:b w:val="0"/>
                <w:bCs w:val="0"/>
                <w:color w:val="auto"/>
                <w:sz w:val="24"/>
                <w:lang w:val="en-US" w:eastAsia="zh-CN"/>
              </w:rPr>
              <w:t>液氨储罐区</w:t>
            </w:r>
            <w:r>
              <w:rPr>
                <w:rFonts w:hint="eastAsia" w:ascii="Times New Roman" w:hAnsi="Times New Roman" w:eastAsia="宋体" w:cs="Times New Roman"/>
                <w:b w:val="0"/>
                <w:bCs w:val="0"/>
                <w:snapToGrid/>
                <w:color w:val="auto"/>
                <w:spacing w:val="0"/>
                <w:kern w:val="0"/>
                <w:position w:val="0"/>
                <w:sz w:val="24"/>
                <w:szCs w:val="24"/>
                <w:lang w:val="en-US" w:eastAsia="zh-CN"/>
              </w:rPr>
              <w:t>等区域。一般防渗区是可能会对地下水造成污染，但危害性或风险程度相对较低的区域，包括具有可能污染地下水污染源的生产车间区域，主要包括生产车间、原料仓库、成品堆放区等区域。简单防渗区为不会对地下水造成污染的区域，主要包括厂区道路等区域。</w:t>
            </w:r>
          </w:p>
          <w:p w14:paraId="1728BCDF">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snapToGrid/>
                <w:color w:val="auto"/>
                <w:spacing w:val="0"/>
                <w:kern w:val="0"/>
                <w:position w:val="0"/>
                <w:sz w:val="24"/>
                <w:szCs w:val="24"/>
                <w:lang w:val="en-US" w:eastAsia="zh-CN"/>
              </w:rPr>
            </w:pPr>
            <w:r>
              <w:rPr>
                <w:rFonts w:hint="eastAsia" w:ascii="Times New Roman" w:hAnsi="Times New Roman" w:eastAsia="宋体" w:cs="Times New Roman"/>
                <w:b w:val="0"/>
                <w:bCs w:val="0"/>
                <w:snapToGrid/>
                <w:color w:val="auto"/>
                <w:spacing w:val="0"/>
                <w:kern w:val="0"/>
                <w:position w:val="0"/>
                <w:sz w:val="24"/>
                <w:szCs w:val="24"/>
                <w:lang w:val="en-US" w:eastAsia="zh-CN"/>
              </w:rPr>
              <w:t>针对本项目，为避免废水的非正常排放对地下水造成影响，应采取以下防渗措施：</w:t>
            </w:r>
          </w:p>
          <w:p w14:paraId="1AF6167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cs="Times New Roman"/>
                <w:b/>
                <w:bCs/>
                <w:snapToGrid/>
                <w:color w:val="auto"/>
                <w:spacing w:val="0"/>
                <w:kern w:val="0"/>
                <w:position w:val="0"/>
                <w:sz w:val="24"/>
                <w:szCs w:val="24"/>
                <w:lang w:val="en-US" w:eastAsia="zh-CN"/>
              </w:rPr>
            </w:pPr>
          </w:p>
          <w:p w14:paraId="6B3BC0B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snapToGrid/>
                <w:color w:val="auto"/>
                <w:spacing w:val="0"/>
                <w:kern w:val="0"/>
                <w:position w:val="0"/>
                <w:sz w:val="24"/>
                <w:szCs w:val="24"/>
                <w:lang w:val="en-US" w:eastAsia="zh-CN"/>
              </w:rPr>
            </w:pPr>
            <w:r>
              <w:rPr>
                <w:rFonts w:hint="eastAsia" w:cs="Times New Roman"/>
                <w:b/>
                <w:bCs/>
                <w:snapToGrid/>
                <w:color w:val="auto"/>
                <w:spacing w:val="0"/>
                <w:kern w:val="0"/>
                <w:position w:val="0"/>
                <w:sz w:val="24"/>
                <w:szCs w:val="24"/>
                <w:lang w:val="en-US" w:eastAsia="zh-CN"/>
              </w:rPr>
              <w:t>表4.15  项目地下水污染防治措施一览表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515"/>
              <w:gridCol w:w="3180"/>
              <w:gridCol w:w="2881"/>
            </w:tblGrid>
            <w:tr w14:paraId="49CB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dxa"/>
                  <w:vAlign w:val="center"/>
                </w:tcPr>
                <w:p w14:paraId="2A1847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序号</w:t>
                  </w:r>
                </w:p>
              </w:tc>
              <w:tc>
                <w:tcPr>
                  <w:tcW w:w="4695" w:type="dxa"/>
                  <w:gridSpan w:val="2"/>
                  <w:vAlign w:val="center"/>
                </w:tcPr>
                <w:p w14:paraId="109D8F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区域</w:t>
                  </w:r>
                </w:p>
              </w:tc>
              <w:tc>
                <w:tcPr>
                  <w:tcW w:w="2881" w:type="dxa"/>
                  <w:vAlign w:val="center"/>
                </w:tcPr>
                <w:p w14:paraId="639817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保护措施</w:t>
                  </w:r>
                </w:p>
              </w:tc>
            </w:tr>
            <w:tr w14:paraId="09F1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dxa"/>
                  <w:vAlign w:val="center"/>
                </w:tcPr>
                <w:p w14:paraId="3AA395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1</w:t>
                  </w:r>
                </w:p>
              </w:tc>
              <w:tc>
                <w:tcPr>
                  <w:tcW w:w="1515" w:type="dxa"/>
                  <w:vAlign w:val="center"/>
                </w:tcPr>
                <w:p w14:paraId="321B1D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lang w:val="en-US" w:eastAsia="zh-CN"/>
                    </w:rPr>
                    <w:t>重点防渗区</w:t>
                  </w:r>
                </w:p>
              </w:tc>
              <w:tc>
                <w:tcPr>
                  <w:tcW w:w="3180" w:type="dxa"/>
                  <w:vAlign w:val="center"/>
                </w:tcPr>
                <w:p w14:paraId="584EBF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pPr>
                  <w:r>
                    <w:rPr>
                      <w:snapToGrid/>
                      <w:color w:val="auto"/>
                      <w:spacing w:val="0"/>
                      <w:kern w:val="0"/>
                      <w:position w:val="0"/>
                      <w:sz w:val="21"/>
                      <w:szCs w:val="21"/>
                    </w:rPr>
                    <w:t>危险废物暂存</w:t>
                  </w:r>
                  <w:r>
                    <w:rPr>
                      <w:rFonts w:hint="eastAsia"/>
                      <w:snapToGrid/>
                      <w:color w:val="auto"/>
                      <w:spacing w:val="0"/>
                      <w:kern w:val="0"/>
                      <w:position w:val="0"/>
                      <w:sz w:val="21"/>
                      <w:szCs w:val="21"/>
                      <w:lang w:eastAsia="zh-CN"/>
                    </w:rPr>
                    <w:t>间、</w:t>
                  </w:r>
                  <w:r>
                    <w:rPr>
                      <w:rFonts w:hint="eastAsia"/>
                      <w:snapToGrid/>
                      <w:color w:val="auto"/>
                      <w:spacing w:val="0"/>
                      <w:kern w:val="0"/>
                      <w:position w:val="0"/>
                      <w:sz w:val="21"/>
                      <w:szCs w:val="21"/>
                      <w:lang w:val="en-US" w:eastAsia="zh-CN"/>
                    </w:rPr>
                    <w:t>液氨储罐区</w:t>
                  </w:r>
                </w:p>
              </w:tc>
              <w:tc>
                <w:tcPr>
                  <w:tcW w:w="2881" w:type="dxa"/>
                  <w:vAlign w:val="center"/>
                </w:tcPr>
                <w:p w14:paraId="2F0F96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ascii="Times New Roman" w:hAnsi="Times New Roman" w:eastAsia="宋体" w:cs="Times New Roman"/>
                      <w:b w:val="0"/>
                      <w:bCs w:val="0"/>
                      <w:color w:val="auto"/>
                      <w:sz w:val="21"/>
                      <w:szCs w:val="21"/>
                      <w:lang w:val="en-US" w:eastAsia="zh-CN"/>
                    </w:rPr>
                    <w:t>采取</w:t>
                  </w:r>
                  <w:r>
                    <w:rPr>
                      <w:rFonts w:hint="default" w:ascii="Times New Roman" w:hAnsi="Times New Roman" w:eastAsia="宋体" w:cs="Times New Roman"/>
                      <w:b w:val="0"/>
                      <w:bCs w:val="0"/>
                      <w:color w:val="auto"/>
                      <w:sz w:val="21"/>
                      <w:szCs w:val="21"/>
                      <w:lang w:val="en-US" w:eastAsia="zh-CN"/>
                    </w:rPr>
                    <w:t>200mm防渗混凝土</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1.5mm环氧树脂漆</w:t>
                  </w:r>
                  <w:r>
                    <w:rPr>
                      <w:rFonts w:hint="eastAsia" w:ascii="Times New Roman" w:hAnsi="Times New Roman" w:eastAsia="宋体" w:cs="Times New Roman"/>
                      <w:b w:val="0"/>
                      <w:bCs w:val="0"/>
                      <w:color w:val="auto"/>
                      <w:sz w:val="21"/>
                      <w:szCs w:val="21"/>
                      <w:lang w:val="en-US" w:eastAsia="zh-CN"/>
                    </w:rPr>
                    <w:t>，</w:t>
                  </w:r>
                  <w:r>
                    <w:rPr>
                      <w:rFonts w:hint="eastAsia" w:ascii="Times New Roman" w:hAnsi="Times New Roman" w:eastAsia="宋体" w:cs="Times New Roman"/>
                      <w:b w:val="0"/>
                      <w:bCs w:val="0"/>
                      <w:snapToGrid/>
                      <w:color w:val="auto"/>
                      <w:spacing w:val="0"/>
                      <w:kern w:val="0"/>
                      <w:position w:val="0"/>
                      <w:sz w:val="21"/>
                      <w:szCs w:val="21"/>
                      <w:lang w:val="en-US" w:eastAsia="zh-CN"/>
                    </w:rPr>
                    <w:t>防渗层渗透系数达到1.0</w:t>
                  </w:r>
                  <w:r>
                    <w:rPr>
                      <w:rFonts w:hint="default" w:ascii="Arial" w:hAnsi="Arial" w:eastAsia="宋体" w:cs="Arial"/>
                      <w:b w:val="0"/>
                      <w:bCs w:val="0"/>
                      <w:snapToGrid/>
                      <w:color w:val="auto"/>
                      <w:spacing w:val="0"/>
                      <w:kern w:val="0"/>
                      <w:position w:val="0"/>
                      <w:sz w:val="21"/>
                      <w:szCs w:val="21"/>
                      <w:lang w:val="en-US" w:eastAsia="zh-CN"/>
                    </w:rPr>
                    <w:t>×</w:t>
                  </w:r>
                  <w:r>
                    <w:rPr>
                      <w:rFonts w:hint="eastAsia" w:ascii="Times New Roman" w:hAnsi="Times New Roman" w:eastAsia="宋体" w:cs="Times New Roman"/>
                      <w:b w:val="0"/>
                      <w:bCs w:val="0"/>
                      <w:snapToGrid/>
                      <w:color w:val="auto"/>
                      <w:spacing w:val="0"/>
                      <w:kern w:val="0"/>
                      <w:position w:val="0"/>
                      <w:sz w:val="21"/>
                      <w:szCs w:val="21"/>
                      <w:lang w:val="en-US" w:eastAsia="zh-CN"/>
                    </w:rPr>
                    <w:t>10</w:t>
                  </w:r>
                  <w:r>
                    <w:rPr>
                      <w:rFonts w:hint="eastAsia" w:ascii="Times New Roman" w:hAnsi="Times New Roman" w:eastAsia="宋体" w:cs="Times New Roman"/>
                      <w:b w:val="0"/>
                      <w:bCs w:val="0"/>
                      <w:snapToGrid/>
                      <w:color w:val="auto"/>
                      <w:spacing w:val="0"/>
                      <w:kern w:val="0"/>
                      <w:position w:val="0"/>
                      <w:sz w:val="21"/>
                      <w:szCs w:val="21"/>
                      <w:vertAlign w:val="superscript"/>
                      <w:lang w:val="en-US" w:eastAsia="zh-CN"/>
                    </w:rPr>
                    <w:t>-</w:t>
                  </w:r>
                  <w:r>
                    <w:rPr>
                      <w:rFonts w:hint="eastAsia" w:cs="Times New Roman"/>
                      <w:b w:val="0"/>
                      <w:bCs w:val="0"/>
                      <w:snapToGrid/>
                      <w:color w:val="auto"/>
                      <w:spacing w:val="0"/>
                      <w:kern w:val="0"/>
                      <w:position w:val="0"/>
                      <w:sz w:val="21"/>
                      <w:szCs w:val="21"/>
                      <w:vertAlign w:val="superscript"/>
                      <w:lang w:val="en-US" w:eastAsia="zh-CN"/>
                    </w:rPr>
                    <w:t>10</w:t>
                  </w:r>
                  <w:r>
                    <w:rPr>
                      <w:rFonts w:hint="eastAsia" w:ascii="Times New Roman" w:hAnsi="Times New Roman" w:eastAsia="宋体" w:cs="Times New Roman"/>
                      <w:b w:val="0"/>
                      <w:bCs w:val="0"/>
                      <w:snapToGrid/>
                      <w:color w:val="auto"/>
                      <w:spacing w:val="0"/>
                      <w:kern w:val="0"/>
                      <w:position w:val="0"/>
                      <w:sz w:val="21"/>
                      <w:szCs w:val="21"/>
                      <w:lang w:val="en-US" w:eastAsia="zh-CN"/>
                    </w:rPr>
                    <w:t>cm/s</w:t>
                  </w:r>
                  <w:r>
                    <w:rPr>
                      <w:rFonts w:hint="eastAsia" w:cs="Times New Roman"/>
                      <w:b w:val="0"/>
                      <w:bCs w:val="0"/>
                      <w:snapToGrid/>
                      <w:color w:val="auto"/>
                      <w:spacing w:val="0"/>
                      <w:kern w:val="0"/>
                      <w:position w:val="0"/>
                      <w:sz w:val="21"/>
                      <w:szCs w:val="21"/>
                      <w:lang w:val="en-US" w:eastAsia="zh-CN"/>
                    </w:rPr>
                    <w:t>。</w:t>
                  </w:r>
                </w:p>
              </w:tc>
            </w:tr>
            <w:tr w14:paraId="6E0E6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dxa"/>
                  <w:vAlign w:val="center"/>
                </w:tcPr>
                <w:p w14:paraId="1FF5A3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2</w:t>
                  </w:r>
                </w:p>
              </w:tc>
              <w:tc>
                <w:tcPr>
                  <w:tcW w:w="1515" w:type="dxa"/>
                  <w:vAlign w:val="center"/>
                </w:tcPr>
                <w:p w14:paraId="71FC16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lang w:val="en-US" w:eastAsia="zh-CN"/>
                    </w:rPr>
                    <w:t>一般防渗区</w:t>
                  </w:r>
                </w:p>
              </w:tc>
              <w:tc>
                <w:tcPr>
                  <w:tcW w:w="3180" w:type="dxa"/>
                  <w:vAlign w:val="center"/>
                </w:tcPr>
                <w:p w14:paraId="15F253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lang w:val="en-US" w:eastAsia="zh-CN"/>
                    </w:rPr>
                    <w:t>生产车间、原料仓库、成品堆放区等区域</w:t>
                  </w:r>
                </w:p>
              </w:tc>
              <w:tc>
                <w:tcPr>
                  <w:tcW w:w="2881" w:type="dxa"/>
                  <w:vAlign w:val="center"/>
                </w:tcPr>
                <w:p w14:paraId="75E587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lang w:val="en-US" w:eastAsia="zh-CN"/>
                    </w:rPr>
                    <w:t>采取粘土铺底+10～15cm的防渗水泥进行硬化，防渗层渗透系数达到1.0×10</w:t>
                  </w:r>
                  <w:r>
                    <w:rPr>
                      <w:rFonts w:hint="eastAsia" w:ascii="Times New Roman" w:hAnsi="Times New Roman" w:eastAsia="宋体" w:cs="Times New Roman"/>
                      <w:b w:val="0"/>
                      <w:bCs w:val="0"/>
                      <w:snapToGrid/>
                      <w:color w:val="auto"/>
                      <w:spacing w:val="0"/>
                      <w:kern w:val="0"/>
                      <w:position w:val="0"/>
                      <w:sz w:val="21"/>
                      <w:szCs w:val="21"/>
                      <w:vertAlign w:val="superscript"/>
                      <w:lang w:val="en-US" w:eastAsia="zh-CN"/>
                    </w:rPr>
                    <w:t>-7</w:t>
                  </w:r>
                  <w:r>
                    <w:rPr>
                      <w:rFonts w:hint="eastAsia" w:ascii="Times New Roman" w:hAnsi="Times New Roman" w:eastAsia="宋体" w:cs="Times New Roman"/>
                      <w:b w:val="0"/>
                      <w:bCs w:val="0"/>
                      <w:snapToGrid/>
                      <w:color w:val="auto"/>
                      <w:spacing w:val="0"/>
                      <w:kern w:val="0"/>
                      <w:position w:val="0"/>
                      <w:sz w:val="21"/>
                      <w:szCs w:val="21"/>
                      <w:lang w:val="en-US" w:eastAsia="zh-CN"/>
                    </w:rPr>
                    <w:t>cm/s。</w:t>
                  </w:r>
                </w:p>
              </w:tc>
            </w:tr>
            <w:tr w14:paraId="3E2C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dxa"/>
                  <w:vAlign w:val="center"/>
                </w:tcPr>
                <w:p w14:paraId="1B3604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cs="Times New Roman"/>
                      <w:b w:val="0"/>
                      <w:bCs w:val="0"/>
                      <w:snapToGrid/>
                      <w:color w:val="auto"/>
                      <w:spacing w:val="0"/>
                      <w:kern w:val="0"/>
                      <w:position w:val="0"/>
                      <w:sz w:val="21"/>
                      <w:szCs w:val="21"/>
                      <w:vertAlign w:val="baseline"/>
                      <w:lang w:val="en-US" w:eastAsia="zh-CN"/>
                    </w:rPr>
                    <w:t>3</w:t>
                  </w:r>
                </w:p>
              </w:tc>
              <w:tc>
                <w:tcPr>
                  <w:tcW w:w="1515" w:type="dxa"/>
                  <w:vAlign w:val="center"/>
                </w:tcPr>
                <w:p w14:paraId="240FB2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lang w:val="en-US" w:eastAsia="zh-CN"/>
                    </w:rPr>
                    <w:t>简单防渗区</w:t>
                  </w:r>
                </w:p>
              </w:tc>
              <w:tc>
                <w:tcPr>
                  <w:tcW w:w="3180" w:type="dxa"/>
                  <w:vAlign w:val="center"/>
                </w:tcPr>
                <w:p w14:paraId="5F65DB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lang w:val="en-US" w:eastAsia="zh-CN"/>
                    </w:rPr>
                    <w:t>项目区厂区内的绿化区和厂区道路等</w:t>
                  </w:r>
                </w:p>
              </w:tc>
              <w:tc>
                <w:tcPr>
                  <w:tcW w:w="2881" w:type="dxa"/>
                  <w:vAlign w:val="center"/>
                </w:tcPr>
                <w:p w14:paraId="5D5F09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pPr>
                  <w:r>
                    <w:rPr>
                      <w:rFonts w:hint="eastAsia" w:ascii="Times New Roman" w:hAnsi="Times New Roman" w:eastAsia="宋体" w:cs="Times New Roman"/>
                      <w:b w:val="0"/>
                      <w:bCs w:val="0"/>
                      <w:snapToGrid/>
                      <w:color w:val="auto"/>
                      <w:spacing w:val="0"/>
                      <w:kern w:val="0"/>
                      <w:position w:val="0"/>
                      <w:sz w:val="21"/>
                      <w:szCs w:val="21"/>
                      <w:vertAlign w:val="baseline"/>
                      <w:lang w:val="en-US" w:eastAsia="zh-CN"/>
                    </w:rPr>
                    <w:t>混凝土硬化处理</w:t>
                  </w:r>
                  <w:r>
                    <w:rPr>
                      <w:rFonts w:hint="eastAsia" w:cs="Times New Roman"/>
                      <w:b w:val="0"/>
                      <w:bCs w:val="0"/>
                      <w:snapToGrid/>
                      <w:color w:val="auto"/>
                      <w:spacing w:val="0"/>
                      <w:kern w:val="0"/>
                      <w:position w:val="0"/>
                      <w:sz w:val="21"/>
                      <w:szCs w:val="21"/>
                      <w:vertAlign w:val="baseline"/>
                      <w:lang w:val="en-US" w:eastAsia="zh-CN"/>
                    </w:rPr>
                    <w:t>。</w:t>
                  </w:r>
                </w:p>
              </w:tc>
            </w:tr>
          </w:tbl>
          <w:p w14:paraId="5E205276">
            <w:pPr>
              <w:keepNext w:val="0"/>
              <w:keepLines w:val="0"/>
              <w:pageBreakBefore w:val="0"/>
              <w:widowControl/>
              <w:suppressLineNumbers w:val="0"/>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ascii="Times New Roman" w:hAnsi="Times New Roman" w:eastAsia="宋体" w:cs="Times New Roman"/>
                <w:b w:val="0"/>
                <w:bCs w:val="0"/>
                <w:snapToGrid/>
                <w:color w:val="auto"/>
                <w:spacing w:val="0"/>
                <w:kern w:val="0"/>
                <w:position w:val="0"/>
                <w:sz w:val="24"/>
                <w:szCs w:val="24"/>
                <w:lang w:val="en-US" w:eastAsia="zh-CN"/>
              </w:rPr>
            </w:pPr>
            <w:r>
              <w:rPr>
                <w:rFonts w:hint="eastAsia" w:ascii="Times New Roman" w:hAnsi="Times New Roman" w:eastAsia="宋体" w:cs="Times New Roman"/>
                <w:b w:val="0"/>
                <w:bCs w:val="0"/>
                <w:snapToGrid/>
                <w:color w:val="auto"/>
                <w:spacing w:val="0"/>
                <w:kern w:val="0"/>
                <w:position w:val="0"/>
                <w:sz w:val="24"/>
                <w:szCs w:val="24"/>
                <w:lang w:val="en-US" w:eastAsia="zh-CN"/>
              </w:rPr>
              <w:t>综上，由污染途径及对应措施分析可知，项目对可能产生地下水影响的各项途径均进行有效预防；在确保各项防渗措施得以落实，并加强维护和厂区环境管理的前提下，可有效控制厂区内的废水污染物下渗现象，避免污染地下水。</w:t>
            </w:r>
          </w:p>
          <w:p w14:paraId="2F3A8F2A">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snapToGrid/>
                <w:color w:val="auto"/>
                <w:spacing w:val="0"/>
                <w:kern w:val="0"/>
                <w:position w:val="0"/>
                <w:sz w:val="24"/>
                <w:szCs w:val="24"/>
                <w:lang w:val="en-US" w:eastAsia="zh-CN"/>
              </w:rPr>
            </w:pPr>
            <w:r>
              <w:rPr>
                <w:rFonts w:hint="eastAsia" w:ascii="Times New Roman" w:hAnsi="Times New Roman" w:eastAsia="宋体" w:cs="Times New Roman"/>
                <w:b w:val="0"/>
                <w:bCs w:val="0"/>
                <w:snapToGrid/>
                <w:color w:val="auto"/>
                <w:spacing w:val="0"/>
                <w:kern w:val="0"/>
                <w:position w:val="0"/>
                <w:sz w:val="24"/>
                <w:szCs w:val="24"/>
                <w:lang w:val="en-US" w:eastAsia="zh-CN"/>
              </w:rPr>
              <w:t>因此，采取以上措施后正常状态下，厂区的地表与地下的水力联系基本被切断，污染物不会规模性渗入地下水，本项目不会对区域地下水环境产生明显影响。</w:t>
            </w:r>
          </w:p>
          <w:p w14:paraId="432E1C9A">
            <w:pPr>
              <w:pStyle w:val="12"/>
              <w:keepNext w:val="0"/>
              <w:keepLines w:val="0"/>
              <w:pageBreakBefore w:val="0"/>
              <w:widowControl/>
              <w:kinsoku/>
              <w:wordWrap/>
              <w:overflowPunct/>
              <w:topLinePunct w:val="0"/>
              <w:autoSpaceDE/>
              <w:autoSpaceDN/>
              <w:bidi w:val="0"/>
              <w:adjustRightInd w:val="0"/>
              <w:snapToGrid w:val="0"/>
              <w:spacing w:before="0" w:after="0" w:line="360" w:lineRule="auto"/>
              <w:ind w:right="0" w:firstLine="482" w:firstLineChars="200"/>
              <w:textAlignment w:val="auto"/>
              <w:rPr>
                <w:rFonts w:hint="default"/>
                <w:b/>
                <w:bCs/>
                <w:snapToGrid/>
                <w:color w:val="auto"/>
                <w:spacing w:val="0"/>
                <w:kern w:val="0"/>
                <w:position w:val="0"/>
                <w:sz w:val="24"/>
                <w:szCs w:val="24"/>
                <w:lang w:val="en-US" w:eastAsia="zh-CN"/>
              </w:rPr>
            </w:pPr>
            <w:r>
              <w:rPr>
                <w:rFonts w:hint="default"/>
                <w:b/>
                <w:bCs/>
                <w:snapToGrid/>
                <w:color w:val="auto"/>
                <w:spacing w:val="0"/>
                <w:kern w:val="0"/>
                <w:position w:val="0"/>
                <w:sz w:val="24"/>
                <w:szCs w:val="24"/>
                <w:lang w:val="en-US" w:eastAsia="zh-CN"/>
              </w:rPr>
              <w:t>跟踪监测要求</w:t>
            </w:r>
            <w:r>
              <w:rPr>
                <w:rFonts w:hint="eastAsia"/>
                <w:b/>
                <w:bCs/>
                <w:snapToGrid/>
                <w:color w:val="auto"/>
                <w:spacing w:val="0"/>
                <w:kern w:val="0"/>
                <w:position w:val="0"/>
                <w:sz w:val="24"/>
                <w:szCs w:val="24"/>
                <w:lang w:val="en-US" w:eastAsia="zh-CN"/>
              </w:rPr>
              <w:t>：</w:t>
            </w:r>
          </w:p>
          <w:p w14:paraId="1CBD6244">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b w:val="0"/>
                <w:bCs w:val="0"/>
                <w:snapToGrid/>
                <w:color w:val="auto"/>
                <w:spacing w:val="0"/>
                <w:kern w:val="0"/>
                <w:position w:val="0"/>
                <w:sz w:val="24"/>
                <w:szCs w:val="24"/>
                <w:lang w:val="en-US" w:eastAsia="zh-CN"/>
              </w:rPr>
            </w:pPr>
            <w:r>
              <w:rPr>
                <w:rFonts w:hint="eastAsia"/>
                <w:b w:val="0"/>
                <w:bCs w:val="0"/>
                <w:snapToGrid/>
                <w:color w:val="auto"/>
                <w:spacing w:val="0"/>
                <w:kern w:val="0"/>
                <w:position w:val="0"/>
                <w:sz w:val="24"/>
                <w:szCs w:val="24"/>
                <w:lang w:val="en-US" w:eastAsia="zh-CN"/>
              </w:rPr>
              <w:t>本项目不对地下水环境进行跟踪监测。</w:t>
            </w:r>
          </w:p>
          <w:p w14:paraId="383B0837">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snapToGrid/>
                <w:color w:val="auto"/>
                <w:spacing w:val="0"/>
                <w:kern w:val="0"/>
                <w:position w:val="0"/>
                <w:sz w:val="24"/>
                <w:szCs w:val="24"/>
                <w:lang w:val="en-US" w:eastAsia="zh-CN"/>
              </w:rPr>
            </w:pPr>
            <w:r>
              <w:rPr>
                <w:rFonts w:hint="default" w:ascii="Times New Roman" w:hAnsi="Times New Roman" w:eastAsia="宋体" w:cs="Times New Roman"/>
                <w:b w:val="0"/>
                <w:bCs w:val="0"/>
                <w:snapToGrid/>
                <w:color w:val="auto"/>
                <w:spacing w:val="0"/>
                <w:kern w:val="0"/>
                <w:position w:val="0"/>
                <w:sz w:val="24"/>
                <w:szCs w:val="24"/>
                <w:lang w:val="en-US" w:eastAsia="zh-CN"/>
              </w:rPr>
              <w:t>土壤环境</w:t>
            </w:r>
          </w:p>
          <w:p w14:paraId="12E76C8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eastAsia"/>
                <w:b/>
                <w:bCs/>
                <w:snapToGrid/>
                <w:color w:val="auto"/>
                <w:spacing w:val="0"/>
                <w:kern w:val="0"/>
                <w:position w:val="0"/>
                <w:sz w:val="24"/>
                <w:szCs w:val="24"/>
                <w:lang w:val="en-US" w:eastAsia="zh-CN"/>
              </w:rPr>
            </w:pPr>
            <w:r>
              <w:rPr>
                <w:rFonts w:hint="eastAsia"/>
                <w:b/>
                <w:bCs/>
                <w:snapToGrid/>
                <w:color w:val="auto"/>
                <w:spacing w:val="0"/>
                <w:kern w:val="0"/>
                <w:position w:val="0"/>
                <w:sz w:val="24"/>
                <w:szCs w:val="24"/>
                <w:lang w:val="en-US" w:eastAsia="zh-CN"/>
              </w:rPr>
              <w:t>土壤污染途径：</w:t>
            </w:r>
          </w:p>
          <w:p w14:paraId="1C8AB324">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b w:val="0"/>
                <w:bCs w:val="0"/>
                <w:snapToGrid/>
                <w:color w:val="auto"/>
                <w:spacing w:val="0"/>
                <w:kern w:val="0"/>
                <w:position w:val="0"/>
                <w:sz w:val="24"/>
                <w:szCs w:val="24"/>
                <w:lang w:val="en-US" w:eastAsia="zh-CN"/>
              </w:rPr>
            </w:pPr>
            <w:r>
              <w:rPr>
                <w:rFonts w:hint="eastAsia"/>
                <w:b w:val="0"/>
                <w:bCs w:val="0"/>
                <w:snapToGrid/>
                <w:color w:val="auto"/>
                <w:spacing w:val="0"/>
                <w:kern w:val="0"/>
                <w:position w:val="0"/>
                <w:sz w:val="24"/>
                <w:szCs w:val="24"/>
                <w:lang w:val="en-US" w:eastAsia="zh-CN"/>
              </w:rPr>
              <w:t>本项目建设地点位于</w:t>
            </w:r>
            <w:r>
              <w:rPr>
                <w:rFonts w:hint="eastAsia" w:cs="Times New Roman"/>
                <w:color w:val="auto"/>
                <w:sz w:val="24"/>
                <w:szCs w:val="24"/>
                <w:lang w:eastAsia="zh-CN"/>
              </w:rPr>
              <w:t>安徽省宿州市灵璧县尹集镇田路村</w:t>
            </w:r>
            <w:r>
              <w:rPr>
                <w:rFonts w:hint="eastAsia"/>
                <w:b w:val="0"/>
                <w:bCs w:val="0"/>
                <w:snapToGrid/>
                <w:color w:val="auto"/>
                <w:spacing w:val="0"/>
                <w:kern w:val="0"/>
                <w:position w:val="0"/>
                <w:sz w:val="24"/>
                <w:szCs w:val="24"/>
                <w:lang w:val="en-US" w:eastAsia="zh-CN"/>
              </w:rPr>
              <w:t>，土壤环境影响途径主要有大气沉降、地面漫流、垂直入渗及地下水位等。本项目土壤影响类型及途径主要有废气污染物通过降水、扩散和重力作用降落至地面，渗透进入土壤，进而污染土壤环境；固体废物尤其是危险废物及危险物质在厂区内储存过程中渗出液进入土壤，危害土壤环境。</w:t>
            </w:r>
          </w:p>
          <w:p w14:paraId="2C6A283C">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eastAsia"/>
                <w:b/>
                <w:bCs/>
                <w:snapToGrid/>
                <w:color w:val="auto"/>
                <w:spacing w:val="0"/>
                <w:kern w:val="0"/>
                <w:position w:val="0"/>
                <w:sz w:val="24"/>
                <w:szCs w:val="24"/>
                <w:lang w:val="en-US" w:eastAsia="zh-CN"/>
              </w:rPr>
            </w:pPr>
            <w:r>
              <w:rPr>
                <w:rFonts w:hint="eastAsia"/>
                <w:b/>
                <w:bCs/>
                <w:snapToGrid/>
                <w:color w:val="auto"/>
                <w:spacing w:val="0"/>
                <w:kern w:val="0"/>
                <w:position w:val="0"/>
                <w:sz w:val="24"/>
                <w:szCs w:val="24"/>
                <w:lang w:val="en-US" w:eastAsia="zh-CN"/>
              </w:rPr>
              <w:t>土壤污染防治措施：</w:t>
            </w:r>
          </w:p>
          <w:p w14:paraId="67ADD682">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b w:val="0"/>
                <w:bCs w:val="0"/>
                <w:snapToGrid/>
                <w:color w:val="auto"/>
                <w:spacing w:val="0"/>
                <w:kern w:val="0"/>
                <w:position w:val="0"/>
                <w:sz w:val="24"/>
                <w:szCs w:val="24"/>
                <w:lang w:val="en-US" w:eastAsia="zh-CN"/>
              </w:rPr>
            </w:pPr>
            <w:r>
              <w:rPr>
                <w:rFonts w:hint="eastAsia"/>
                <w:b w:val="0"/>
                <w:bCs w:val="0"/>
                <w:snapToGrid/>
                <w:color w:val="auto"/>
                <w:spacing w:val="0"/>
                <w:kern w:val="0"/>
                <w:position w:val="0"/>
                <w:sz w:val="24"/>
                <w:szCs w:val="24"/>
                <w:lang w:val="en-US" w:eastAsia="zh-CN"/>
              </w:rPr>
              <w:t>为减少项目对土壤的污染，应采取以下防治措施：</w:t>
            </w:r>
          </w:p>
          <w:p w14:paraId="6E3A4E9C">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b w:val="0"/>
                <w:bCs w:val="0"/>
                <w:snapToGrid/>
                <w:color w:val="auto"/>
                <w:spacing w:val="0"/>
                <w:kern w:val="0"/>
                <w:position w:val="0"/>
                <w:sz w:val="24"/>
                <w:szCs w:val="24"/>
                <w:lang w:val="en-US" w:eastAsia="zh-CN"/>
              </w:rPr>
            </w:pPr>
            <w:r>
              <w:rPr>
                <w:rFonts w:hint="eastAsia"/>
                <w:b w:val="0"/>
                <w:bCs w:val="0"/>
                <w:snapToGrid/>
                <w:color w:val="auto"/>
                <w:spacing w:val="0"/>
                <w:kern w:val="0"/>
                <w:position w:val="0"/>
                <w:sz w:val="24"/>
                <w:szCs w:val="24"/>
                <w:lang w:val="en-US" w:eastAsia="zh-CN"/>
              </w:rPr>
              <w:t>（1）源头控制：严格控制项目生产过程中废气的产生量，应严格控制污染物排放，按照废气处理措施要求处理，确保废气处理达到相应的标准要求。土壤的污染多半是大气沉降影响，因此还应杜绝废气事故排放的发生。</w:t>
            </w:r>
          </w:p>
          <w:p w14:paraId="3D453429">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b w:val="0"/>
                <w:bCs w:val="0"/>
                <w:snapToGrid/>
                <w:color w:val="auto"/>
                <w:spacing w:val="0"/>
                <w:kern w:val="0"/>
                <w:position w:val="0"/>
                <w:sz w:val="24"/>
                <w:szCs w:val="24"/>
                <w:lang w:val="en-US" w:eastAsia="zh-CN"/>
              </w:rPr>
            </w:pPr>
            <w:r>
              <w:rPr>
                <w:rFonts w:hint="eastAsia"/>
                <w:b w:val="0"/>
                <w:bCs w:val="0"/>
                <w:snapToGrid/>
                <w:color w:val="auto"/>
                <w:spacing w:val="0"/>
                <w:kern w:val="0"/>
                <w:position w:val="0"/>
                <w:sz w:val="24"/>
                <w:szCs w:val="24"/>
                <w:lang w:val="en-US" w:eastAsia="zh-CN"/>
              </w:rPr>
              <w:t>（2）过程防控措施：做好厂区防渗措施，按照防渗要求，采取严格的基础防渗措施，重点防渗区防渗层厚度相当于防渗透系数</w:t>
            </w:r>
            <w:r>
              <w:rPr>
                <w:rFonts w:hint="default" w:ascii="Times New Roman" w:hAnsi="Times New Roman" w:cs="Times New Roman"/>
                <w:b w:val="0"/>
                <w:bCs w:val="0"/>
                <w:snapToGrid/>
                <w:color w:val="auto"/>
                <w:spacing w:val="0"/>
                <w:kern w:val="0"/>
                <w:position w:val="0"/>
                <w:sz w:val="24"/>
                <w:szCs w:val="24"/>
                <w:lang w:val="en-US" w:eastAsia="zh-CN"/>
              </w:rPr>
              <w:t>≤</w:t>
            </w:r>
            <w:r>
              <w:rPr>
                <w:rFonts w:hint="eastAsia"/>
                <w:b w:val="0"/>
                <w:bCs w:val="0"/>
                <w:snapToGrid/>
                <w:color w:val="auto"/>
                <w:spacing w:val="0"/>
                <w:kern w:val="0"/>
                <w:position w:val="0"/>
                <w:sz w:val="24"/>
                <w:szCs w:val="24"/>
                <w:lang w:val="en-US" w:eastAsia="zh-CN"/>
              </w:rPr>
              <w:t>10</w:t>
            </w:r>
            <w:r>
              <w:rPr>
                <w:rFonts w:hint="eastAsia"/>
                <w:b w:val="0"/>
                <w:bCs w:val="0"/>
                <w:snapToGrid/>
                <w:color w:val="auto"/>
                <w:spacing w:val="0"/>
                <w:kern w:val="0"/>
                <w:position w:val="0"/>
                <w:sz w:val="24"/>
                <w:szCs w:val="24"/>
                <w:vertAlign w:val="superscript"/>
                <w:lang w:val="en-US" w:eastAsia="zh-CN"/>
              </w:rPr>
              <w:t>-7</w:t>
            </w:r>
            <w:r>
              <w:rPr>
                <w:rFonts w:hint="eastAsia"/>
                <w:b w:val="0"/>
                <w:bCs w:val="0"/>
                <w:snapToGrid/>
                <w:color w:val="auto"/>
                <w:spacing w:val="0"/>
                <w:kern w:val="0"/>
                <w:position w:val="0"/>
                <w:sz w:val="24"/>
                <w:szCs w:val="24"/>
                <w:lang w:val="en-US" w:eastAsia="zh-CN"/>
              </w:rPr>
              <w:t>cm/s和厚度6m的黏土层的防渗性能。其他区域做好水泥防渗处理，以防止土壤环境污染；加强管理，防止意外事故发生，以防止土壤环境污染。</w:t>
            </w:r>
          </w:p>
          <w:p w14:paraId="745EFF48">
            <w:pPr>
              <w:pStyle w:val="12"/>
              <w:keepNext w:val="0"/>
              <w:keepLines w:val="0"/>
              <w:pageBreakBefore w:val="0"/>
              <w:widowControl/>
              <w:kinsoku/>
              <w:wordWrap/>
              <w:overflowPunct/>
              <w:topLinePunct w:val="0"/>
              <w:autoSpaceDE/>
              <w:autoSpaceDN/>
              <w:bidi w:val="0"/>
              <w:adjustRightInd w:val="0"/>
              <w:snapToGrid w:val="0"/>
              <w:spacing w:before="0" w:after="0" w:line="360" w:lineRule="auto"/>
              <w:ind w:right="0" w:firstLine="482" w:firstLineChars="200"/>
              <w:textAlignment w:val="auto"/>
              <w:rPr>
                <w:rFonts w:hint="default"/>
                <w:b/>
                <w:bCs/>
                <w:snapToGrid/>
                <w:color w:val="auto"/>
                <w:spacing w:val="0"/>
                <w:kern w:val="0"/>
                <w:position w:val="0"/>
                <w:sz w:val="24"/>
                <w:szCs w:val="24"/>
                <w:lang w:val="en-US" w:eastAsia="zh-CN"/>
              </w:rPr>
            </w:pPr>
            <w:r>
              <w:rPr>
                <w:rFonts w:hint="default"/>
                <w:b/>
                <w:bCs/>
                <w:snapToGrid/>
                <w:color w:val="auto"/>
                <w:spacing w:val="0"/>
                <w:kern w:val="0"/>
                <w:position w:val="0"/>
                <w:sz w:val="24"/>
                <w:szCs w:val="24"/>
                <w:lang w:val="en-US" w:eastAsia="zh-CN"/>
              </w:rPr>
              <w:t>跟踪监测要求</w:t>
            </w:r>
            <w:r>
              <w:rPr>
                <w:rFonts w:hint="eastAsia"/>
                <w:b/>
                <w:bCs/>
                <w:snapToGrid/>
                <w:color w:val="auto"/>
                <w:spacing w:val="0"/>
                <w:kern w:val="0"/>
                <w:position w:val="0"/>
                <w:sz w:val="24"/>
                <w:szCs w:val="24"/>
                <w:lang w:val="en-US" w:eastAsia="zh-CN"/>
              </w:rPr>
              <w:t>：</w:t>
            </w:r>
          </w:p>
          <w:p w14:paraId="0908689B">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b w:val="0"/>
                <w:bCs w:val="0"/>
                <w:snapToGrid/>
                <w:color w:val="auto"/>
                <w:spacing w:val="0"/>
                <w:kern w:val="0"/>
                <w:position w:val="0"/>
                <w:sz w:val="24"/>
                <w:szCs w:val="24"/>
                <w:lang w:val="en-US" w:eastAsia="zh-CN"/>
              </w:rPr>
            </w:pPr>
            <w:r>
              <w:rPr>
                <w:rFonts w:hint="eastAsia"/>
                <w:b w:val="0"/>
                <w:bCs w:val="0"/>
                <w:snapToGrid/>
                <w:color w:val="auto"/>
                <w:spacing w:val="0"/>
                <w:kern w:val="0"/>
                <w:position w:val="0"/>
                <w:sz w:val="24"/>
                <w:szCs w:val="24"/>
                <w:lang w:val="en-US" w:eastAsia="zh-CN"/>
              </w:rPr>
              <w:t>本项目不对土壤环境进行跟踪监测。</w:t>
            </w:r>
          </w:p>
          <w:p w14:paraId="476F0AF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snapToGrid/>
                <w:color w:val="auto"/>
                <w:spacing w:val="0"/>
                <w:kern w:val="0"/>
                <w:position w:val="0"/>
                <w:sz w:val="24"/>
                <w:szCs w:val="24"/>
                <w:highlight w:val="none"/>
                <w:lang w:val="en-US" w:eastAsia="zh-CN"/>
              </w:rPr>
            </w:pPr>
            <w:r>
              <w:rPr>
                <w:rFonts w:hint="eastAsia" w:cs="Times New Roman"/>
                <w:b/>
                <w:bCs/>
                <w:snapToGrid/>
                <w:color w:val="auto"/>
                <w:spacing w:val="0"/>
                <w:kern w:val="0"/>
                <w:position w:val="0"/>
                <w:sz w:val="24"/>
                <w:szCs w:val="24"/>
                <w:highlight w:val="none"/>
                <w:lang w:val="en-US" w:eastAsia="zh-CN"/>
              </w:rPr>
              <w:t>6</w:t>
            </w:r>
            <w:r>
              <w:rPr>
                <w:rFonts w:hint="eastAsia" w:ascii="Times New Roman" w:hAnsi="Times New Roman" w:eastAsia="宋体" w:cs="Times New Roman"/>
                <w:b/>
                <w:bCs/>
                <w:snapToGrid/>
                <w:color w:val="auto"/>
                <w:spacing w:val="0"/>
                <w:kern w:val="0"/>
                <w:position w:val="0"/>
                <w:sz w:val="24"/>
                <w:szCs w:val="24"/>
                <w:highlight w:val="none"/>
                <w:lang w:val="en-US" w:eastAsia="zh-CN"/>
              </w:rPr>
              <w:t>、</w:t>
            </w:r>
            <w:r>
              <w:rPr>
                <w:rFonts w:hint="default" w:ascii="Times New Roman" w:hAnsi="Times New Roman" w:eastAsia="宋体" w:cs="Times New Roman"/>
                <w:b/>
                <w:bCs/>
                <w:snapToGrid/>
                <w:color w:val="auto"/>
                <w:spacing w:val="0"/>
                <w:kern w:val="0"/>
                <w:position w:val="0"/>
                <w:sz w:val="24"/>
                <w:szCs w:val="24"/>
                <w:highlight w:val="none"/>
                <w:lang w:val="en-US" w:eastAsia="zh-CN"/>
              </w:rPr>
              <w:t>环境风险</w:t>
            </w:r>
          </w:p>
          <w:p w14:paraId="7510F65F">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cs="Times New Roman"/>
                <w:snapToGrid/>
                <w:color w:val="auto"/>
                <w:spacing w:val="0"/>
                <w:kern w:val="0"/>
                <w:position w:val="0"/>
                <w:sz w:val="24"/>
                <w:szCs w:val="24"/>
                <w:highlight w:val="none"/>
              </w:rPr>
            </w:pPr>
            <w:r>
              <w:rPr>
                <w:rFonts w:hint="default" w:ascii="Times New Roman" w:hAnsi="Times New Roman" w:cs="Times New Roman"/>
                <w:snapToGrid/>
                <w:color w:val="auto"/>
                <w:spacing w:val="0"/>
                <w:kern w:val="0"/>
                <w:position w:val="0"/>
                <w:sz w:val="24"/>
                <w:szCs w:val="24"/>
                <w:highlight w:val="none"/>
              </w:rPr>
              <w:t>环境风险评价是对项目建设和运营期间发生的可预测突发事件（一般不包括人为破坏和自然灾害）或事故引起有毒有害、易燃易爆等物质</w:t>
            </w:r>
            <w:r>
              <w:rPr>
                <w:rFonts w:hint="eastAsia" w:cs="Times New Roman"/>
                <w:snapToGrid/>
                <w:color w:val="auto"/>
                <w:spacing w:val="0"/>
                <w:kern w:val="0"/>
                <w:position w:val="0"/>
                <w:sz w:val="24"/>
                <w:szCs w:val="24"/>
                <w:highlight w:val="none"/>
                <w:lang w:eastAsia="zh-CN"/>
              </w:rPr>
              <w:t>泄漏</w:t>
            </w:r>
            <w:r>
              <w:rPr>
                <w:rFonts w:hint="default" w:ascii="Times New Roman" w:hAnsi="Times New Roman" w:cs="Times New Roman"/>
                <w:snapToGrid/>
                <w:color w:val="auto"/>
                <w:spacing w:val="0"/>
                <w:kern w:val="0"/>
                <w:position w:val="0"/>
                <w:sz w:val="24"/>
                <w:szCs w:val="24"/>
                <w:highlight w:val="none"/>
              </w:rPr>
              <w:t>，或突发事件产生的新的有毒有害物质，所造成的人身安全和环境的影响进行评估，并提出防范、应急与缓解措施。根据《建设项目环境风险评价技术导则》（HJ 169-2018）的要求，本次环评将着重从风险识别、源项分析、事故后果分析、事故防范措施、事故应急预案等方面对本项目存在的环境风险进行评价；再根据评价结果，对项目提出可行的风险防范措施和建议，达到降低风险性、危害程度，保护环境之目的。</w:t>
            </w:r>
          </w:p>
          <w:p w14:paraId="5EFC9B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napToGrid/>
                <w:color w:val="auto"/>
                <w:spacing w:val="0"/>
                <w:kern w:val="0"/>
                <w:position w:val="0"/>
                <w:sz w:val="24"/>
                <w:szCs w:val="24"/>
                <w:highlight w:val="none"/>
              </w:rPr>
            </w:pPr>
            <w:r>
              <w:rPr>
                <w:rFonts w:hint="default" w:ascii="Times New Roman" w:hAnsi="Times New Roman" w:cs="Times New Roman"/>
                <w:snapToGrid/>
                <w:color w:val="auto"/>
                <w:spacing w:val="0"/>
                <w:kern w:val="0"/>
                <w:position w:val="0"/>
                <w:sz w:val="24"/>
                <w:szCs w:val="24"/>
                <w:highlight w:val="none"/>
              </w:rPr>
              <w:t>本次环境风险评价重点主要对</w:t>
            </w:r>
            <w:r>
              <w:rPr>
                <w:rFonts w:hint="default" w:ascii="Times New Roman" w:hAnsi="Times New Roman" w:cs="Times New Roman"/>
                <w:snapToGrid/>
                <w:color w:val="auto"/>
                <w:spacing w:val="0"/>
                <w:kern w:val="0"/>
                <w:position w:val="0"/>
                <w:sz w:val="24"/>
                <w:szCs w:val="24"/>
                <w:highlight w:val="none"/>
                <w:lang w:eastAsia="zh-CN"/>
              </w:rPr>
              <w:t>项目</w:t>
            </w:r>
            <w:r>
              <w:rPr>
                <w:rFonts w:hint="default" w:ascii="Times New Roman" w:hAnsi="Times New Roman" w:cs="Times New Roman"/>
                <w:snapToGrid/>
                <w:color w:val="auto"/>
                <w:spacing w:val="0"/>
                <w:kern w:val="0"/>
                <w:position w:val="0"/>
                <w:sz w:val="24"/>
                <w:szCs w:val="24"/>
                <w:highlight w:val="none"/>
              </w:rPr>
              <w:t>运营期间可能存在的危险、有害因素进行分析，并对可能发生的突发性事件及事故所造成的人身安全与环境影响、损害程度，提出合理可行的防范、应急与减缓措施。</w:t>
            </w:r>
          </w:p>
          <w:p w14:paraId="16CF2FA3">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360" w:lineRule="auto"/>
              <w:ind w:leftChars="200"/>
              <w:textAlignment w:val="auto"/>
              <w:rPr>
                <w:rFonts w:hint="default" w:ascii="Times New Roman" w:hAnsi="Times New Roman" w:cs="Times New Roman"/>
                <w:b/>
                <w:bCs/>
                <w:snapToGrid/>
                <w:color w:val="auto"/>
                <w:spacing w:val="0"/>
                <w:kern w:val="0"/>
                <w:position w:val="0"/>
                <w:sz w:val="24"/>
                <w:szCs w:val="24"/>
                <w:highlight w:val="none"/>
                <w:lang w:val="en-US" w:eastAsia="zh-CN"/>
              </w:rPr>
            </w:pPr>
            <w:r>
              <w:rPr>
                <w:rFonts w:hint="default" w:ascii="Times New Roman" w:hAnsi="Times New Roman" w:cs="Times New Roman"/>
                <w:b/>
                <w:bCs/>
                <w:snapToGrid/>
                <w:color w:val="auto"/>
                <w:spacing w:val="0"/>
                <w:kern w:val="0"/>
                <w:position w:val="0"/>
                <w:sz w:val="24"/>
                <w:szCs w:val="24"/>
                <w:highlight w:val="none"/>
                <w:lang w:val="en-US" w:eastAsia="zh-CN"/>
              </w:rPr>
              <w:t>评价依据</w:t>
            </w:r>
            <w:r>
              <w:rPr>
                <w:rFonts w:hint="eastAsia" w:ascii="Times New Roman" w:hAnsi="Times New Roman" w:cs="Times New Roman"/>
                <w:b/>
                <w:bCs/>
                <w:snapToGrid/>
                <w:color w:val="auto"/>
                <w:spacing w:val="0"/>
                <w:kern w:val="0"/>
                <w:position w:val="0"/>
                <w:sz w:val="24"/>
                <w:szCs w:val="24"/>
                <w:highlight w:val="none"/>
                <w:lang w:val="en-US" w:eastAsia="zh-CN"/>
              </w:rPr>
              <w:t>：</w:t>
            </w:r>
          </w:p>
          <w:p w14:paraId="381175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napToGrid/>
                <w:color w:val="auto"/>
                <w:spacing w:val="0"/>
                <w:kern w:val="0"/>
                <w:position w:val="0"/>
                <w:sz w:val="24"/>
                <w:szCs w:val="24"/>
                <w:highlight w:val="none"/>
                <w:lang w:val="en-US" w:eastAsia="zh-CN"/>
              </w:rPr>
            </w:pPr>
            <w:r>
              <w:rPr>
                <w:rFonts w:hint="eastAsia" w:ascii="Times New Roman" w:hAnsi="Times New Roman" w:cs="Times New Roman"/>
                <w:snapToGrid/>
                <w:color w:val="auto"/>
                <w:spacing w:val="0"/>
                <w:kern w:val="0"/>
                <w:position w:val="0"/>
                <w:sz w:val="24"/>
                <w:szCs w:val="24"/>
                <w:highlight w:val="none"/>
                <w:lang w:val="en-US" w:eastAsia="zh-CN"/>
              </w:rPr>
              <w:t>（1）</w:t>
            </w:r>
            <w:r>
              <w:rPr>
                <w:rFonts w:hint="default" w:ascii="Times New Roman" w:hAnsi="Times New Roman" w:cs="Times New Roman"/>
                <w:snapToGrid/>
                <w:color w:val="auto"/>
                <w:spacing w:val="0"/>
                <w:kern w:val="0"/>
                <w:position w:val="0"/>
                <w:sz w:val="24"/>
                <w:szCs w:val="24"/>
                <w:highlight w:val="none"/>
                <w:lang w:val="en-US" w:eastAsia="zh-CN"/>
              </w:rPr>
              <w:t>物质风险性调查</w:t>
            </w:r>
          </w:p>
          <w:p w14:paraId="44EE65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napToGrid/>
                <w:color w:val="auto"/>
                <w:spacing w:val="0"/>
                <w:kern w:val="0"/>
                <w:position w:val="0"/>
                <w:sz w:val="24"/>
                <w:szCs w:val="24"/>
                <w:highlight w:val="none"/>
                <w:lang w:val="en-US" w:eastAsia="zh-CN"/>
              </w:rPr>
            </w:pPr>
            <w:r>
              <w:rPr>
                <w:rFonts w:hint="default" w:ascii="Times New Roman" w:hAnsi="Times New Roman" w:cs="Times New Roman"/>
                <w:snapToGrid/>
                <w:color w:val="auto"/>
                <w:spacing w:val="0"/>
                <w:kern w:val="0"/>
                <w:position w:val="0"/>
                <w:sz w:val="24"/>
                <w:szCs w:val="24"/>
                <w:highlight w:val="none"/>
                <w:lang w:val="en-US" w:eastAsia="zh-CN"/>
              </w:rPr>
              <w:t>根据物质风险识别范围主要包括主要原材料及辅助材料、燃料、中间产品、最终产品以及生产过程排放的“三废”污染物等。根据项目原辅材料、产品、中间产品的理化性质，对照 《建设项目环境风险评价技术导则》（HJ169-2018）附录B中重点关注的危险物质进行对比，筛选出本项目的风险物质。</w:t>
            </w:r>
            <w:r>
              <w:rPr>
                <w:rFonts w:hint="eastAsia" w:cs="Times New Roman"/>
                <w:snapToGrid/>
                <w:color w:val="auto"/>
                <w:spacing w:val="0"/>
                <w:kern w:val="0"/>
                <w:position w:val="0"/>
                <w:sz w:val="24"/>
                <w:szCs w:val="24"/>
                <w:highlight w:val="none"/>
                <w:lang w:val="en-US" w:eastAsia="zh-CN"/>
              </w:rPr>
              <w:t>本项目</w:t>
            </w:r>
            <w:r>
              <w:rPr>
                <w:rFonts w:hint="default" w:ascii="Times New Roman" w:hAnsi="Times New Roman" w:cs="Times New Roman"/>
                <w:snapToGrid/>
                <w:color w:val="auto"/>
                <w:spacing w:val="0"/>
                <w:kern w:val="0"/>
                <w:position w:val="0"/>
                <w:sz w:val="24"/>
                <w:szCs w:val="24"/>
                <w:highlight w:val="none"/>
                <w:lang w:val="en-US" w:eastAsia="zh-CN"/>
              </w:rPr>
              <w:t>重点关注的危险物质</w:t>
            </w:r>
            <w:r>
              <w:rPr>
                <w:rFonts w:hint="eastAsia" w:cs="Times New Roman"/>
                <w:snapToGrid/>
                <w:color w:val="auto"/>
                <w:spacing w:val="0"/>
                <w:kern w:val="0"/>
                <w:position w:val="0"/>
                <w:sz w:val="24"/>
                <w:szCs w:val="24"/>
                <w:highlight w:val="none"/>
                <w:lang w:val="en-US" w:eastAsia="zh-CN"/>
              </w:rPr>
              <w:t>为</w:t>
            </w:r>
            <w:r>
              <w:rPr>
                <w:rFonts w:hint="eastAsia" w:cs="Times New Roman"/>
                <w:b w:val="0"/>
                <w:bCs w:val="0"/>
                <w:snapToGrid/>
                <w:color w:val="auto"/>
                <w:spacing w:val="0"/>
                <w:kern w:val="0"/>
                <w:position w:val="0"/>
                <w:sz w:val="24"/>
                <w:szCs w:val="24"/>
                <w:highlight w:val="none"/>
                <w:lang w:val="en-US" w:eastAsia="zh-CN" w:bidi="ar-SA"/>
              </w:rPr>
              <w:t>液氨、机油、镍粉</w:t>
            </w:r>
            <w:r>
              <w:rPr>
                <w:rFonts w:hint="default" w:ascii="Times New Roman" w:hAnsi="Times New Roman" w:cs="Times New Roman"/>
                <w:snapToGrid/>
                <w:color w:val="auto"/>
                <w:spacing w:val="0"/>
                <w:kern w:val="0"/>
                <w:position w:val="0"/>
                <w:sz w:val="24"/>
                <w:szCs w:val="24"/>
                <w:highlight w:val="none"/>
                <w:lang w:val="en-US" w:eastAsia="zh-CN"/>
              </w:rPr>
              <w:t>。</w:t>
            </w:r>
          </w:p>
          <w:p w14:paraId="5FDF34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val="en-US" w:eastAsia="zh-CN"/>
              </w:rPr>
              <w:t>风险潜势初判</w:t>
            </w:r>
          </w:p>
          <w:p w14:paraId="116805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计算所涉及的每种危险物质在厂界内的最大存在总量与其在《建设项目环境风险评价技术导则》（HJ169-2018）附录B中对应临界量的比值Q。在不同厂区的同一种物质，按其在厂界内的最大存在总量计算。</w:t>
            </w:r>
          </w:p>
          <w:p w14:paraId="26E1CD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当只涉及一种危险物质时，计算该物质的总量与其临界量比值，即为Q；</w:t>
            </w:r>
          </w:p>
          <w:p w14:paraId="3AC79C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当存在多种危险物质时，则按下式计算物质总量与其临界量比值Q；</w:t>
            </w:r>
          </w:p>
          <w:p w14:paraId="750F624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center"/>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position w:val="-30"/>
                <w:sz w:val="24"/>
                <w:szCs w:val="24"/>
                <w:highlight w:val="none"/>
                <w:lang w:val="en-US" w:eastAsia="zh-CN"/>
              </w:rPr>
              <w:object>
                <v:shape id="_x0000_i1030" o:spt="75" type="#_x0000_t75" style="height:34pt;width:100pt;" o:ole="t" filled="f" o:preferrelative="t" stroked="f" coordsize="21600,21600">
                  <v:path/>
                  <v:fill on="f" focussize="0,0"/>
                  <v:stroke on="f"/>
                  <v:imagedata r:id="rId25" o:title=""/>
                  <o:lock v:ext="edit" aspectratio="t"/>
                  <w10:wrap type="none"/>
                  <w10:anchorlock/>
                </v:shape>
                <o:OLEObject Type="Embed" ProgID="Equation.KSEE3" ShapeID="_x0000_i1030" DrawAspect="Content" ObjectID="_1468075730" r:id="rId24">
                  <o:LockedField>false</o:LockedField>
                </o:OLEObject>
              </w:object>
            </w:r>
          </w:p>
          <w:p w14:paraId="33B3917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式中：q</w:t>
            </w:r>
            <w:r>
              <w:rPr>
                <w:rFonts w:hint="default" w:ascii="Times New Roman" w:hAnsi="Times New Roman" w:cs="Times New Roman"/>
                <w:color w:val="auto"/>
                <w:sz w:val="24"/>
                <w:szCs w:val="24"/>
                <w:highlight w:val="none"/>
                <w:vertAlign w:val="subscript"/>
                <w:lang w:val="en-US" w:eastAsia="zh-CN"/>
              </w:rPr>
              <w:t>1</w:t>
            </w:r>
            <w:r>
              <w:rPr>
                <w:rFonts w:hint="default" w:ascii="Times New Roman" w:hAnsi="Times New Roman" w:cs="Times New Roman"/>
                <w:color w:val="auto"/>
                <w:sz w:val="24"/>
                <w:szCs w:val="24"/>
                <w:highlight w:val="none"/>
                <w:lang w:val="en-US" w:eastAsia="zh-CN"/>
              </w:rPr>
              <w:t>、q</w:t>
            </w:r>
            <w:r>
              <w:rPr>
                <w:rFonts w:hint="default" w:ascii="Times New Roman" w:hAnsi="Times New Roman" w:cs="Times New Roman"/>
                <w:color w:val="auto"/>
                <w:sz w:val="24"/>
                <w:szCs w:val="24"/>
                <w:highlight w:val="none"/>
                <w:vertAlign w:val="subscript"/>
                <w:lang w:val="en-US" w:eastAsia="zh-CN"/>
              </w:rPr>
              <w:t>2</w:t>
            </w:r>
            <w:r>
              <w:rPr>
                <w:rFonts w:hint="default" w:ascii="Times New Roman" w:hAnsi="Times New Roman" w:cs="Times New Roman"/>
                <w:color w:val="auto"/>
                <w:sz w:val="24"/>
                <w:szCs w:val="24"/>
                <w:highlight w:val="none"/>
                <w:lang w:val="en-US" w:eastAsia="zh-CN"/>
              </w:rPr>
              <w:t>…q</w:t>
            </w:r>
            <w:r>
              <w:rPr>
                <w:rFonts w:hint="default" w:ascii="Times New Roman" w:hAnsi="Times New Roman" w:cs="Times New Roman"/>
                <w:color w:val="auto"/>
                <w:sz w:val="24"/>
                <w:szCs w:val="24"/>
                <w:highlight w:val="none"/>
                <w:vertAlign w:val="subscript"/>
                <w:lang w:val="en-US" w:eastAsia="zh-CN"/>
              </w:rPr>
              <w:t>n</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eastAsia="zh-CN"/>
              </w:rPr>
              <w:t>每种危险废物实际存在量，</w:t>
            </w:r>
            <w:r>
              <w:rPr>
                <w:rFonts w:hint="default" w:ascii="Times New Roman" w:hAnsi="Times New Roman" w:cs="Times New Roman"/>
                <w:color w:val="auto"/>
                <w:sz w:val="24"/>
                <w:szCs w:val="24"/>
                <w:highlight w:val="none"/>
                <w:lang w:val="en-US" w:eastAsia="zh-CN"/>
              </w:rPr>
              <w:t>t。</w:t>
            </w:r>
          </w:p>
          <w:p w14:paraId="7A521654">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Q</w:t>
            </w:r>
            <w:r>
              <w:rPr>
                <w:rFonts w:hint="default" w:ascii="Times New Roman" w:hAnsi="Times New Roman" w:cs="Times New Roman"/>
                <w:color w:val="auto"/>
                <w:sz w:val="24"/>
                <w:szCs w:val="24"/>
                <w:highlight w:val="none"/>
                <w:vertAlign w:val="subscript"/>
                <w:lang w:val="en-US" w:eastAsia="zh-CN"/>
              </w:rPr>
              <w:t>1</w:t>
            </w:r>
            <w:r>
              <w:rPr>
                <w:rFonts w:hint="default" w:ascii="Times New Roman" w:hAnsi="Times New Roman" w:cs="Times New Roman"/>
                <w:color w:val="auto"/>
                <w:sz w:val="24"/>
                <w:szCs w:val="24"/>
                <w:highlight w:val="none"/>
                <w:lang w:val="en-US" w:eastAsia="zh-CN"/>
              </w:rPr>
              <w:t>、Q</w:t>
            </w:r>
            <w:r>
              <w:rPr>
                <w:rFonts w:hint="default" w:ascii="Times New Roman" w:hAnsi="Times New Roman" w:cs="Times New Roman"/>
                <w:color w:val="auto"/>
                <w:sz w:val="24"/>
                <w:szCs w:val="24"/>
                <w:highlight w:val="none"/>
                <w:vertAlign w:val="subscript"/>
                <w:lang w:val="en-US" w:eastAsia="zh-CN"/>
              </w:rPr>
              <w:t>2</w:t>
            </w:r>
            <w:r>
              <w:rPr>
                <w:rFonts w:hint="default" w:ascii="Times New Roman" w:hAnsi="Times New Roman" w:cs="Times New Roman"/>
                <w:color w:val="auto"/>
                <w:sz w:val="24"/>
                <w:szCs w:val="24"/>
                <w:highlight w:val="none"/>
                <w:lang w:val="en-US" w:eastAsia="zh-CN"/>
              </w:rPr>
              <w:t>…Q</w:t>
            </w:r>
            <w:r>
              <w:rPr>
                <w:rFonts w:hint="default" w:ascii="Times New Roman" w:hAnsi="Times New Roman" w:cs="Times New Roman"/>
                <w:color w:val="auto"/>
                <w:sz w:val="24"/>
                <w:szCs w:val="24"/>
                <w:highlight w:val="none"/>
                <w:vertAlign w:val="subscript"/>
                <w:lang w:val="en-US" w:eastAsia="zh-CN"/>
              </w:rPr>
              <w:t>n</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——与各危险物质相对应的生产场所或贮存区的临界量，t。</w:t>
            </w:r>
          </w:p>
          <w:p w14:paraId="43709059">
            <w:pPr>
              <w:pStyle w:val="27"/>
              <w:keepNext w:val="0"/>
              <w:keepLines w:val="0"/>
              <w:pageBreakBefore w:val="0"/>
              <w:widowControl w:val="0"/>
              <w:numPr>
                <w:ilvl w:val="1"/>
                <w:numId w:val="0"/>
              </w:numPr>
              <w:kinsoku/>
              <w:wordWrap/>
              <w:overflowPunct/>
              <w:topLinePunct w:val="0"/>
              <w:bidi w:val="0"/>
              <w:adjustRightInd w:val="0"/>
              <w:snapToGrid w:val="0"/>
              <w:spacing w:line="360" w:lineRule="auto"/>
              <w:ind w:left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当</w:t>
            </w:r>
            <w:r>
              <w:rPr>
                <w:rFonts w:hint="default" w:ascii="Times New Roman" w:hAnsi="Times New Roman" w:eastAsia="宋体" w:cs="Times New Roman"/>
                <w:color w:val="auto"/>
                <w:sz w:val="24"/>
                <w:szCs w:val="24"/>
                <w:highlight w:val="none"/>
                <w:lang w:val="en-US" w:eastAsia="zh-CN"/>
              </w:rPr>
              <w:t>Q&lt;1时，该项目风险潜势为Ⅰ。</w:t>
            </w:r>
          </w:p>
          <w:p w14:paraId="49B371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当Q≥1时，将Q值划分为：（1）1≤Q&lt;10；（2）10≤Q&lt;100；（3）Q≥100。</w:t>
            </w:r>
          </w:p>
          <w:p w14:paraId="538534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bCs/>
                <w:color w:val="auto"/>
                <w:kern w:val="2"/>
                <w:sz w:val="24"/>
                <w:szCs w:val="28"/>
                <w:lang w:val="en-US" w:eastAsia="zh-CN" w:bidi="ar-SA"/>
              </w:rPr>
            </w:pPr>
            <w:r>
              <w:rPr>
                <w:rFonts w:hint="default" w:ascii="Times New Roman" w:hAnsi="Times New Roman" w:cs="Times New Roman"/>
                <w:color w:val="auto"/>
                <w:sz w:val="24"/>
                <w:szCs w:val="24"/>
                <w:lang w:val="en-US" w:eastAsia="zh-CN"/>
              </w:rPr>
              <w:t>《建设项目环境风险评价技术导则》（HJ</w:t>
            </w:r>
            <w:r>
              <w:rPr>
                <w:rFonts w:hint="eastAsia" w:cs="Times New Roman"/>
                <w:color w:val="auto"/>
                <w:sz w:val="24"/>
                <w:szCs w:val="24"/>
                <w:lang w:val="en-US" w:eastAsia="zh-CN"/>
              </w:rPr>
              <w:t xml:space="preserve"> </w:t>
            </w:r>
            <w:r>
              <w:rPr>
                <w:rFonts w:hint="default" w:ascii="Times New Roman" w:hAnsi="Times New Roman" w:cs="Times New Roman"/>
                <w:color w:val="auto"/>
                <w:sz w:val="24"/>
                <w:szCs w:val="24"/>
                <w:lang w:val="en-US" w:eastAsia="zh-CN"/>
              </w:rPr>
              <w:t>169-2018）中附录B表B.1、B.2</w:t>
            </w:r>
            <w:r>
              <w:rPr>
                <w:rFonts w:hint="default" w:ascii="Times New Roman" w:hAnsi="Times New Roman" w:eastAsia="宋体" w:cs="Times New Roman"/>
                <w:b w:val="0"/>
                <w:bCs w:val="0"/>
                <w:color w:val="auto"/>
                <w:kern w:val="2"/>
                <w:sz w:val="24"/>
                <w:szCs w:val="28"/>
                <w:lang w:val="en-US" w:eastAsia="zh-CN" w:bidi="ar-SA"/>
              </w:rPr>
              <w:t>，</w:t>
            </w:r>
            <w:r>
              <w:rPr>
                <w:rFonts w:hint="default" w:ascii="Times New Roman" w:hAnsi="Times New Roman" w:cs="Times New Roman"/>
                <w:color w:val="auto"/>
                <w:sz w:val="24"/>
                <w:szCs w:val="24"/>
                <w:lang w:val="en-US" w:eastAsia="zh-CN"/>
              </w:rPr>
              <w:t>确定本项目的危险物质为</w:t>
            </w:r>
            <w:r>
              <w:rPr>
                <w:rFonts w:hint="eastAsia" w:cs="Times New Roman"/>
                <w:b w:val="0"/>
                <w:bCs w:val="0"/>
                <w:snapToGrid/>
                <w:color w:val="auto"/>
                <w:spacing w:val="0"/>
                <w:kern w:val="0"/>
                <w:position w:val="0"/>
                <w:sz w:val="24"/>
                <w:szCs w:val="24"/>
                <w:highlight w:val="none"/>
                <w:lang w:val="en-US" w:eastAsia="zh-CN" w:bidi="ar-SA"/>
              </w:rPr>
              <w:t>液氨、机油</w:t>
            </w:r>
            <w:r>
              <w:rPr>
                <w:rFonts w:hint="eastAsia" w:ascii="Times New Roman" w:hAnsi="Times New Roman" w:cs="Times New Roman"/>
                <w:color w:val="auto"/>
                <w:sz w:val="24"/>
                <w:szCs w:val="24"/>
                <w:lang w:val="en-US" w:eastAsia="zh-CN"/>
              </w:rPr>
              <w:t>，</w:t>
            </w:r>
            <w:r>
              <w:rPr>
                <w:rFonts w:hint="default" w:ascii="Times New Roman" w:hAnsi="Times New Roman" w:eastAsia="宋体" w:cs="Times New Roman"/>
                <w:b w:val="0"/>
                <w:bCs w:val="0"/>
                <w:color w:val="auto"/>
                <w:kern w:val="2"/>
                <w:sz w:val="24"/>
                <w:szCs w:val="28"/>
                <w:lang w:val="en-US" w:eastAsia="zh-CN" w:bidi="ar-SA"/>
              </w:rPr>
              <w:t>其贮存量对应的临界量的对比情况见</w:t>
            </w:r>
            <w:r>
              <w:rPr>
                <w:rFonts w:hint="eastAsia" w:ascii="Times New Roman" w:hAnsi="Times New Roman" w:eastAsia="宋体" w:cs="Times New Roman"/>
                <w:b w:val="0"/>
                <w:bCs w:val="0"/>
                <w:color w:val="auto"/>
                <w:kern w:val="2"/>
                <w:sz w:val="24"/>
                <w:szCs w:val="28"/>
                <w:lang w:val="en-US" w:eastAsia="zh-CN" w:bidi="ar-SA"/>
              </w:rPr>
              <w:t>下表：</w:t>
            </w:r>
          </w:p>
          <w:p w14:paraId="546D1B88">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360" w:lineRule="auto"/>
              <w:ind w:leftChars="200"/>
              <w:jc w:val="center"/>
              <w:textAlignment w:val="auto"/>
              <w:rPr>
                <w:rFonts w:hint="eastAsia" w:ascii="Times New Roman" w:hAnsi="Times New Roman" w:eastAsia="宋体" w:cs="Times New Roman"/>
                <w:b/>
                <w:bCs/>
                <w:color w:val="auto"/>
                <w:kern w:val="2"/>
                <w:sz w:val="24"/>
                <w:szCs w:val="28"/>
                <w:lang w:val="en-US" w:eastAsia="zh-CN" w:bidi="ar-SA"/>
              </w:rPr>
            </w:pPr>
            <w:r>
              <w:rPr>
                <w:rFonts w:hint="eastAsia" w:ascii="Times New Roman" w:hAnsi="Times New Roman" w:eastAsia="宋体" w:cs="Times New Roman"/>
                <w:b/>
                <w:bCs/>
                <w:color w:val="auto"/>
                <w:kern w:val="2"/>
                <w:sz w:val="24"/>
                <w:szCs w:val="28"/>
                <w:lang w:val="en-US" w:eastAsia="zh-CN" w:bidi="ar-SA"/>
              </w:rPr>
              <w:t>表</w:t>
            </w:r>
            <w:r>
              <w:rPr>
                <w:rFonts w:hint="eastAsia" w:ascii="Times New Roman" w:hAnsi="Times New Roman" w:cs="Times New Roman"/>
                <w:b/>
                <w:bCs/>
                <w:color w:val="auto"/>
                <w:kern w:val="2"/>
                <w:sz w:val="24"/>
                <w:szCs w:val="28"/>
                <w:lang w:val="en-US" w:eastAsia="zh-CN" w:bidi="ar-SA"/>
              </w:rPr>
              <w:t>4.1</w:t>
            </w:r>
            <w:r>
              <w:rPr>
                <w:rFonts w:hint="eastAsia" w:cs="Times New Roman"/>
                <w:b/>
                <w:bCs/>
                <w:color w:val="auto"/>
                <w:kern w:val="2"/>
                <w:sz w:val="24"/>
                <w:szCs w:val="28"/>
                <w:lang w:val="en-US" w:eastAsia="zh-CN" w:bidi="ar-SA"/>
              </w:rPr>
              <w:t>6</w:t>
            </w:r>
            <w:r>
              <w:rPr>
                <w:rFonts w:hint="eastAsia" w:ascii="Times New Roman" w:hAnsi="Times New Roman" w:eastAsia="宋体" w:cs="Times New Roman"/>
                <w:b/>
                <w:bCs/>
                <w:color w:val="auto"/>
                <w:kern w:val="2"/>
                <w:sz w:val="24"/>
                <w:szCs w:val="28"/>
                <w:lang w:val="en-US" w:eastAsia="zh-CN" w:bidi="ar-SA"/>
              </w:rPr>
              <w:t xml:space="preserve">  危险物质</w:t>
            </w:r>
            <w:r>
              <w:rPr>
                <w:rFonts w:hint="default" w:ascii="Times New Roman" w:hAnsi="Times New Roman" w:eastAsia="宋体" w:cs="Times New Roman"/>
                <w:b/>
                <w:bCs/>
                <w:color w:val="auto"/>
                <w:kern w:val="2"/>
                <w:sz w:val="24"/>
                <w:szCs w:val="28"/>
                <w:lang w:val="en-US" w:eastAsia="zh-CN" w:bidi="ar-SA"/>
              </w:rPr>
              <w:t>临界量</w:t>
            </w:r>
            <w:r>
              <w:rPr>
                <w:rFonts w:hint="eastAsia" w:ascii="Times New Roman" w:hAnsi="Times New Roman" w:eastAsia="宋体" w:cs="Times New Roman"/>
                <w:b/>
                <w:bCs/>
                <w:color w:val="auto"/>
                <w:kern w:val="2"/>
                <w:sz w:val="24"/>
                <w:szCs w:val="28"/>
                <w:lang w:val="en-US" w:eastAsia="zh-CN" w:bidi="ar-SA"/>
              </w:rPr>
              <w:t>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1251"/>
              <w:gridCol w:w="2125"/>
              <w:gridCol w:w="1428"/>
              <w:gridCol w:w="1218"/>
            </w:tblGrid>
            <w:tr w14:paraId="6558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0" w:type="dxa"/>
                  <w:tcBorders>
                    <w:tl2br w:val="nil"/>
                    <w:tr2bl w:val="nil"/>
                  </w:tcBorders>
                  <w:noWrap w:val="0"/>
                  <w:vAlign w:val="center"/>
                </w:tcPr>
                <w:p w14:paraId="20127CB8">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before="63" w:beforeLines="20" w:line="240" w:lineRule="auto"/>
                    <w:ind w:left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物质名称</w:t>
                  </w:r>
                </w:p>
              </w:tc>
              <w:tc>
                <w:tcPr>
                  <w:tcW w:w="1251" w:type="dxa"/>
                  <w:tcBorders>
                    <w:tl2br w:val="nil"/>
                    <w:tr2bl w:val="nil"/>
                  </w:tcBorders>
                  <w:noWrap w:val="0"/>
                  <w:vAlign w:val="center"/>
                </w:tcPr>
                <w:p w14:paraId="5763760D">
                  <w:pPr>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b w:val="0"/>
                      <w:bCs/>
                      <w:color w:val="auto"/>
                      <w:sz w:val="21"/>
                      <w:szCs w:val="21"/>
                      <w:vertAlign w:val="baseline"/>
                      <w:lang w:val="zh-CN" w:eastAsia="zh-CN"/>
                    </w:rPr>
                    <w:t>CAS号</w:t>
                  </w:r>
                </w:p>
              </w:tc>
              <w:tc>
                <w:tcPr>
                  <w:tcW w:w="2125" w:type="dxa"/>
                  <w:tcBorders>
                    <w:tl2br w:val="nil"/>
                    <w:tr2bl w:val="nil"/>
                  </w:tcBorders>
                  <w:noWrap w:val="0"/>
                  <w:vAlign w:val="center"/>
                </w:tcPr>
                <w:p w14:paraId="44653E3F">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before="63" w:beforeLines="20" w:line="240" w:lineRule="auto"/>
                    <w:ind w:left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本项目最大储存量，t</w:t>
                  </w:r>
                </w:p>
              </w:tc>
              <w:tc>
                <w:tcPr>
                  <w:tcW w:w="1428" w:type="dxa"/>
                  <w:tcBorders>
                    <w:tl2br w:val="nil"/>
                    <w:tr2bl w:val="nil"/>
                  </w:tcBorders>
                  <w:noWrap w:val="0"/>
                  <w:vAlign w:val="center"/>
                </w:tcPr>
                <w:p w14:paraId="01CBB2F1">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before="63" w:beforeLines="20" w:line="240" w:lineRule="auto"/>
                    <w:ind w:left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临界量，t</w:t>
                  </w:r>
                </w:p>
              </w:tc>
              <w:tc>
                <w:tcPr>
                  <w:tcW w:w="1218" w:type="dxa"/>
                  <w:tcBorders>
                    <w:tl2br w:val="nil"/>
                    <w:tr2bl w:val="nil"/>
                  </w:tcBorders>
                  <w:noWrap w:val="0"/>
                  <w:vAlign w:val="center"/>
                </w:tcPr>
                <w:p w14:paraId="11C2B9CF">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before="63" w:beforeLines="20" w:line="240" w:lineRule="auto"/>
                    <w:ind w:left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q/Q</w:t>
                  </w:r>
                </w:p>
              </w:tc>
            </w:tr>
            <w:tr w14:paraId="5FE2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0" w:type="dxa"/>
                  <w:tcBorders>
                    <w:tl2br w:val="nil"/>
                    <w:tr2bl w:val="nil"/>
                  </w:tcBorders>
                  <w:noWrap w:val="0"/>
                  <w:vAlign w:val="center"/>
                </w:tcPr>
                <w:p w14:paraId="76140F38">
                  <w:pPr>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液氨</w:t>
                  </w:r>
                </w:p>
              </w:tc>
              <w:tc>
                <w:tcPr>
                  <w:tcW w:w="1251" w:type="dxa"/>
                  <w:tcBorders>
                    <w:tl2br w:val="nil"/>
                    <w:tr2bl w:val="nil"/>
                  </w:tcBorders>
                  <w:noWrap w:val="0"/>
                  <w:vAlign w:val="center"/>
                </w:tcPr>
                <w:p w14:paraId="439A07F0">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kern w:val="2"/>
                      <w:sz w:val="21"/>
                      <w:szCs w:val="21"/>
                      <w:highlight w:val="none"/>
                      <w:vertAlign w:val="baseline"/>
                      <w:lang w:val="en-US" w:eastAsia="zh-CN" w:bidi="ar-SA"/>
                    </w:rPr>
                    <w:t xml:space="preserve">7664-41-7 </w:t>
                  </w:r>
                </w:p>
              </w:tc>
              <w:tc>
                <w:tcPr>
                  <w:tcW w:w="2125" w:type="dxa"/>
                  <w:tcBorders>
                    <w:tl2br w:val="nil"/>
                    <w:tr2bl w:val="nil"/>
                  </w:tcBorders>
                  <w:noWrap w:val="0"/>
                  <w:vAlign w:val="center"/>
                </w:tcPr>
                <w:p w14:paraId="19857032">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before="63" w:beforeLines="20" w:line="240" w:lineRule="auto"/>
                    <w:ind w:lef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b w:val="0"/>
                      <w:bCs/>
                      <w:color w:val="auto"/>
                      <w:kern w:val="2"/>
                      <w:sz w:val="21"/>
                      <w:szCs w:val="21"/>
                      <w:highlight w:val="none"/>
                      <w:vertAlign w:val="baseline"/>
                      <w:lang w:val="en-US" w:eastAsia="zh-CN" w:bidi="ar-SA"/>
                    </w:rPr>
                    <w:t>0.2</w:t>
                  </w:r>
                </w:p>
              </w:tc>
              <w:tc>
                <w:tcPr>
                  <w:tcW w:w="1428" w:type="dxa"/>
                  <w:tcBorders>
                    <w:tl2br w:val="nil"/>
                    <w:tr2bl w:val="nil"/>
                  </w:tcBorders>
                  <w:noWrap w:val="0"/>
                  <w:vAlign w:val="center"/>
                </w:tcPr>
                <w:p w14:paraId="57737479">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before="63" w:beforeLines="20" w:line="240" w:lineRule="auto"/>
                    <w:ind w:lef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5</w:t>
                  </w:r>
                </w:p>
              </w:tc>
              <w:tc>
                <w:tcPr>
                  <w:tcW w:w="1218" w:type="dxa"/>
                  <w:tcBorders>
                    <w:tl2br w:val="nil"/>
                    <w:tr2bl w:val="nil"/>
                  </w:tcBorders>
                  <w:noWrap w:val="0"/>
                  <w:vAlign w:val="center"/>
                </w:tcPr>
                <w:p w14:paraId="75935AFA">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before="63" w:beforeLines="20" w:line="240" w:lineRule="auto"/>
                    <w:ind w:lef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0.0</w:t>
                  </w:r>
                  <w:r>
                    <w:rPr>
                      <w:rFonts w:hint="eastAsia" w:cs="Times New Roman"/>
                      <w:color w:val="auto"/>
                      <w:sz w:val="21"/>
                      <w:szCs w:val="21"/>
                      <w:highlight w:val="none"/>
                      <w:vertAlign w:val="baseline"/>
                      <w:lang w:val="en-US" w:eastAsia="zh-CN"/>
                    </w:rPr>
                    <w:t>4</w:t>
                  </w:r>
                </w:p>
              </w:tc>
            </w:tr>
            <w:tr w14:paraId="43CA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0" w:type="dxa"/>
                  <w:tcBorders>
                    <w:tl2br w:val="nil"/>
                    <w:tr2bl w:val="nil"/>
                  </w:tcBorders>
                  <w:noWrap w:val="0"/>
                  <w:vAlign w:val="center"/>
                </w:tcPr>
                <w:p w14:paraId="0F2AEAFD">
                  <w:pPr>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油类物质（矿物油类，如石油、汽油、柴油等；生物柴油等）</w:t>
                  </w:r>
                </w:p>
              </w:tc>
              <w:tc>
                <w:tcPr>
                  <w:tcW w:w="1251" w:type="dxa"/>
                  <w:tcBorders>
                    <w:tl2br w:val="nil"/>
                    <w:tr2bl w:val="nil"/>
                  </w:tcBorders>
                  <w:noWrap w:val="0"/>
                  <w:vAlign w:val="center"/>
                </w:tcPr>
                <w:p w14:paraId="610FA15B">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kern w:val="2"/>
                      <w:sz w:val="21"/>
                      <w:szCs w:val="21"/>
                      <w:highlight w:val="none"/>
                      <w:vertAlign w:val="baseline"/>
                      <w:lang w:val="en-US" w:eastAsia="zh-CN" w:bidi="ar-SA"/>
                    </w:rPr>
                    <w:t>/</w:t>
                  </w:r>
                </w:p>
              </w:tc>
              <w:tc>
                <w:tcPr>
                  <w:tcW w:w="2125" w:type="dxa"/>
                  <w:tcBorders>
                    <w:tl2br w:val="nil"/>
                    <w:tr2bl w:val="nil"/>
                  </w:tcBorders>
                  <w:noWrap w:val="0"/>
                  <w:vAlign w:val="center"/>
                </w:tcPr>
                <w:p w14:paraId="6C9610D4">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before="63" w:beforeLines="20" w:line="240" w:lineRule="auto"/>
                    <w:ind w:lef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w:t>
                  </w:r>
                </w:p>
              </w:tc>
              <w:tc>
                <w:tcPr>
                  <w:tcW w:w="1428" w:type="dxa"/>
                  <w:tcBorders>
                    <w:tl2br w:val="nil"/>
                    <w:tr2bl w:val="nil"/>
                  </w:tcBorders>
                  <w:noWrap w:val="0"/>
                  <w:vAlign w:val="center"/>
                </w:tcPr>
                <w:p w14:paraId="1D18DCC2">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before="63" w:beforeLines="20" w:line="240" w:lineRule="auto"/>
                    <w:ind w:lef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2500</w:t>
                  </w:r>
                </w:p>
              </w:tc>
              <w:tc>
                <w:tcPr>
                  <w:tcW w:w="1218" w:type="dxa"/>
                  <w:tcBorders>
                    <w:tl2br w:val="nil"/>
                    <w:tr2bl w:val="nil"/>
                  </w:tcBorders>
                  <w:noWrap w:val="0"/>
                  <w:vAlign w:val="center"/>
                </w:tcPr>
                <w:p w14:paraId="770E5896">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before="63" w:beforeLines="20" w:line="240" w:lineRule="auto"/>
                    <w:ind w:lef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0.</w:t>
                  </w:r>
                  <w:r>
                    <w:rPr>
                      <w:rFonts w:hint="eastAsia" w:cs="Times New Roman"/>
                      <w:color w:val="auto"/>
                      <w:sz w:val="21"/>
                      <w:szCs w:val="21"/>
                      <w:highlight w:val="none"/>
                      <w:vertAlign w:val="baseline"/>
                      <w:lang w:val="en-US" w:eastAsia="zh-CN"/>
                    </w:rPr>
                    <w:t>0008</w:t>
                  </w:r>
                </w:p>
              </w:tc>
            </w:tr>
            <w:tr w14:paraId="1AB53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0" w:type="dxa"/>
                  <w:tcBorders>
                    <w:tl2br w:val="nil"/>
                    <w:tr2bl w:val="nil"/>
                  </w:tcBorders>
                  <w:noWrap w:val="0"/>
                  <w:vAlign w:val="center"/>
                </w:tcPr>
                <w:p w14:paraId="6726BC75">
                  <w:pPr>
                    <w:keepNext w:val="0"/>
                    <w:keepLines w:val="0"/>
                    <w:pageBreakBefore w:val="0"/>
                    <w:widowControl w:val="0"/>
                    <w:kinsoku/>
                    <w:wordWrap/>
                    <w:overflowPunct/>
                    <w:topLinePunct w:val="0"/>
                    <w:autoSpaceDE w:val="0"/>
                    <w:autoSpaceDN w:val="0"/>
                    <w:bidi w:val="0"/>
                    <w:adjustRightInd w:val="0"/>
                    <w:snapToGrid w:val="0"/>
                    <w:spacing w:before="63" w:beforeLines="20" w:line="240" w:lineRule="auto"/>
                    <w:ind w:firstLine="0" w:firstLineChars="0"/>
                    <w:jc w:val="center"/>
                    <w:textAlignment w:val="auto"/>
                    <w:rPr>
                      <w:rFonts w:hint="eastAsia"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镍及其化合物（以镍计）</w:t>
                  </w:r>
                </w:p>
              </w:tc>
              <w:tc>
                <w:tcPr>
                  <w:tcW w:w="1251" w:type="dxa"/>
                  <w:tcBorders>
                    <w:tl2br w:val="nil"/>
                    <w:tr2bl w:val="nil"/>
                  </w:tcBorders>
                  <w:noWrap w:val="0"/>
                  <w:vAlign w:val="center"/>
                </w:tcPr>
                <w:p w14:paraId="06C1E5CF">
                  <w:pPr>
                    <w:keepNext w:val="0"/>
                    <w:keepLines w:val="0"/>
                    <w:pageBreakBefore w:val="0"/>
                    <w:widowControl w:val="0"/>
                    <w:kinsoku/>
                    <w:wordWrap/>
                    <w:overflowPunct/>
                    <w:topLinePunct w:val="0"/>
                    <w:bidi w:val="0"/>
                    <w:adjustRightInd w:val="0"/>
                    <w:snapToGrid w:val="0"/>
                    <w:spacing w:before="63" w:beforeLines="20" w:line="240" w:lineRule="auto"/>
                    <w:ind w:firstLine="0" w:firstLineChars="0"/>
                    <w:jc w:val="center"/>
                    <w:textAlignment w:val="auto"/>
                    <w:rPr>
                      <w:rFonts w:hint="default" w:cs="Times New Roman"/>
                      <w:b w:val="0"/>
                      <w:bCs/>
                      <w:color w:val="auto"/>
                      <w:kern w:val="2"/>
                      <w:sz w:val="21"/>
                      <w:szCs w:val="21"/>
                      <w:highlight w:val="none"/>
                      <w:vertAlign w:val="baseline"/>
                      <w:lang w:val="en-US" w:eastAsia="zh-CN" w:bidi="ar-SA"/>
                    </w:rPr>
                  </w:pPr>
                  <w:r>
                    <w:rPr>
                      <w:rFonts w:hint="eastAsia" w:cs="Times New Roman"/>
                      <w:b w:val="0"/>
                      <w:bCs/>
                      <w:color w:val="auto"/>
                      <w:kern w:val="2"/>
                      <w:sz w:val="21"/>
                      <w:szCs w:val="21"/>
                      <w:highlight w:val="none"/>
                      <w:vertAlign w:val="baseline"/>
                      <w:lang w:val="en-US" w:eastAsia="zh-CN" w:bidi="ar-SA"/>
                    </w:rPr>
                    <w:t>/</w:t>
                  </w:r>
                </w:p>
              </w:tc>
              <w:tc>
                <w:tcPr>
                  <w:tcW w:w="2125" w:type="dxa"/>
                  <w:tcBorders>
                    <w:tl2br w:val="nil"/>
                    <w:tr2bl w:val="nil"/>
                  </w:tcBorders>
                  <w:noWrap w:val="0"/>
                  <w:vAlign w:val="center"/>
                </w:tcPr>
                <w:p w14:paraId="144A1A86">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before="63" w:beforeLines="20" w:line="240" w:lineRule="auto"/>
                    <w:ind w:left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0.05</w:t>
                  </w:r>
                </w:p>
              </w:tc>
              <w:tc>
                <w:tcPr>
                  <w:tcW w:w="1428" w:type="dxa"/>
                  <w:tcBorders>
                    <w:tl2br w:val="nil"/>
                    <w:tr2bl w:val="nil"/>
                  </w:tcBorders>
                  <w:noWrap w:val="0"/>
                  <w:vAlign w:val="center"/>
                </w:tcPr>
                <w:p w14:paraId="52F671AD">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before="63" w:beforeLines="20" w:line="240" w:lineRule="auto"/>
                    <w:ind w:leftChars="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0.25</w:t>
                  </w:r>
                </w:p>
              </w:tc>
              <w:tc>
                <w:tcPr>
                  <w:tcW w:w="1218" w:type="dxa"/>
                  <w:tcBorders>
                    <w:tl2br w:val="nil"/>
                    <w:tr2bl w:val="nil"/>
                  </w:tcBorders>
                  <w:noWrap w:val="0"/>
                  <w:vAlign w:val="center"/>
                </w:tcPr>
                <w:p w14:paraId="11A696E0">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before="63" w:beforeLines="20" w:line="240" w:lineRule="auto"/>
                    <w:ind w:lef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0.2</w:t>
                  </w:r>
                </w:p>
              </w:tc>
            </w:tr>
          </w:tbl>
          <w:p w14:paraId="137E15D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经计算</w:t>
            </w:r>
            <w:r>
              <w:rPr>
                <w:rFonts w:hint="eastAsia" w:ascii="Times New Roman" w:hAnsi="Times New Roman" w:cs="Times New Roman"/>
                <w:color w:val="auto"/>
                <w:sz w:val="24"/>
                <w:szCs w:val="24"/>
                <w:highlight w:val="none"/>
                <w:lang w:val="en-US" w:eastAsia="zh-CN"/>
              </w:rPr>
              <w:t>本项目Q=</w:t>
            </w:r>
            <w:r>
              <w:rPr>
                <w:rFonts w:hint="eastAsia" w:cs="Times New Roman"/>
                <w:color w:val="auto"/>
                <w:sz w:val="24"/>
                <w:szCs w:val="24"/>
                <w:highlight w:val="none"/>
                <w:lang w:val="en-US" w:eastAsia="zh-CN"/>
              </w:rPr>
              <w:t>0.04+0.0008+0.2=0.2408</w:t>
            </w:r>
            <w:r>
              <w:rPr>
                <w:rFonts w:hint="eastAsia" w:ascii="Times New Roman" w:hAnsi="Times New Roman" w:cs="Times New Roman"/>
                <w:color w:val="auto"/>
                <w:sz w:val="24"/>
                <w:szCs w:val="24"/>
                <w:highlight w:val="none"/>
                <w:lang w:val="en-US" w:eastAsia="zh-CN"/>
              </w:rPr>
              <w:t>&lt;1。</w:t>
            </w:r>
            <w:r>
              <w:rPr>
                <w:rFonts w:hint="default" w:ascii="Times New Roman" w:hAnsi="Times New Roman" w:cs="Times New Roman"/>
                <w:color w:val="auto"/>
                <w:sz w:val="24"/>
                <w:szCs w:val="24"/>
                <w:highlight w:val="none"/>
                <w:lang w:val="en-US" w:eastAsia="zh-CN"/>
              </w:rPr>
              <w:t>根据《建设项目环境风险评价技术导则》（HJ/T169-2018），当Q&lt;1时，该项目</w:t>
            </w:r>
            <w:r>
              <w:rPr>
                <w:rFonts w:hint="eastAsia" w:ascii="Times New Roman" w:hAnsi="Times New Roman" w:cs="Times New Roman"/>
                <w:color w:val="auto"/>
                <w:sz w:val="24"/>
                <w:szCs w:val="24"/>
                <w:highlight w:val="none"/>
                <w:lang w:val="en-US" w:eastAsia="zh-CN"/>
              </w:rPr>
              <w:t>环境</w:t>
            </w:r>
            <w:r>
              <w:rPr>
                <w:rFonts w:hint="default" w:ascii="Times New Roman" w:hAnsi="Times New Roman" w:cs="Times New Roman"/>
                <w:color w:val="auto"/>
                <w:sz w:val="24"/>
                <w:szCs w:val="24"/>
                <w:highlight w:val="none"/>
                <w:lang w:val="en-US" w:eastAsia="zh-CN"/>
              </w:rPr>
              <w:t>风险潜势为</w:t>
            </w:r>
            <w:r>
              <w:rPr>
                <w:rFonts w:hint="default" w:ascii="Times New Roman" w:hAnsi="Times New Roman" w:eastAsia="宋体" w:cs="Times New Roman"/>
                <w:color w:val="auto"/>
                <w:sz w:val="24"/>
                <w:szCs w:val="24"/>
                <w:highlight w:val="none"/>
                <w:lang w:val="en-US" w:eastAsia="zh-CN"/>
              </w:rPr>
              <w:t>Ⅰ</w:t>
            </w:r>
            <w:r>
              <w:rPr>
                <w:rFonts w:hint="eastAsia" w:ascii="Times New Roman" w:hAnsi="Times New Roman" w:eastAsia="宋体" w:cs="Times New Roman"/>
                <w:color w:val="auto"/>
                <w:sz w:val="24"/>
                <w:szCs w:val="24"/>
                <w:highlight w:val="none"/>
                <w:lang w:val="en-US" w:eastAsia="zh-CN"/>
              </w:rPr>
              <w:t>，进行简单分析</w:t>
            </w:r>
            <w:r>
              <w:rPr>
                <w:rFonts w:hint="default" w:ascii="Times New Roman" w:hAnsi="Times New Roman" w:eastAsia="宋体" w:cs="Times New Roman"/>
                <w:color w:val="auto"/>
                <w:sz w:val="24"/>
                <w:szCs w:val="24"/>
                <w:highlight w:val="none"/>
                <w:lang w:val="en-US" w:eastAsia="zh-CN"/>
              </w:rPr>
              <w:t>。</w:t>
            </w:r>
          </w:p>
          <w:p w14:paraId="2A945F93">
            <w:pPr>
              <w:pStyle w:val="27"/>
              <w:keepNext w:val="0"/>
              <w:keepLines w:val="0"/>
              <w:pageBreakBefore w:val="0"/>
              <w:widowControl w:val="0"/>
              <w:numPr>
                <w:ilvl w:val="1"/>
                <w:numId w:val="0"/>
              </w:numPr>
              <w:kinsoku/>
              <w:wordWrap/>
              <w:overflowPunct/>
              <w:topLinePunct w:val="0"/>
              <w:autoSpaceDE w:val="0"/>
              <w:autoSpaceDN w:val="0"/>
              <w:bidi w:val="0"/>
              <w:adjustRightInd w:val="0"/>
              <w:snapToGrid w:val="0"/>
              <w:spacing w:line="360" w:lineRule="auto"/>
              <w:ind w:leftChars="200"/>
              <w:textAlignment w:val="auto"/>
              <w:rPr>
                <w:rFonts w:hint="eastAsia"/>
                <w:b w:val="0"/>
                <w:bCs w:val="0"/>
                <w:color w:val="auto"/>
                <w:highlight w:val="none"/>
                <w:lang w:val="en-US" w:eastAsia="zh-CN"/>
              </w:rPr>
            </w:pPr>
            <w:r>
              <w:rPr>
                <w:rFonts w:hint="eastAsia"/>
                <w:b w:val="0"/>
                <w:bCs w:val="0"/>
                <w:color w:val="auto"/>
                <w:highlight w:val="none"/>
                <w:lang w:val="en-US" w:eastAsia="zh-CN"/>
              </w:rPr>
              <w:t>（3）环境风险分析</w:t>
            </w:r>
          </w:p>
          <w:p w14:paraId="0BA24A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napToGrid w:val="0"/>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①</w:t>
            </w:r>
            <w:r>
              <w:rPr>
                <w:rFonts w:hint="eastAsia"/>
                <w:snapToGrid w:val="0"/>
                <w:color w:val="auto"/>
                <w:kern w:val="0"/>
                <w:sz w:val="24"/>
                <w:szCs w:val="24"/>
                <w:highlight w:val="none"/>
              </w:rPr>
              <w:t>液氨贮罐</w:t>
            </w:r>
            <w:r>
              <w:rPr>
                <w:rFonts w:hint="eastAsia"/>
                <w:snapToGrid w:val="0"/>
                <w:color w:val="auto"/>
                <w:kern w:val="0"/>
                <w:sz w:val="24"/>
                <w:szCs w:val="24"/>
                <w:highlight w:val="none"/>
                <w:lang w:val="en-US" w:eastAsia="zh-CN"/>
              </w:rPr>
              <w:t>风险分析</w:t>
            </w:r>
          </w:p>
          <w:p w14:paraId="758079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napToGrid w:val="0"/>
                <w:color w:val="auto"/>
                <w:kern w:val="0"/>
                <w:sz w:val="24"/>
                <w:szCs w:val="24"/>
                <w:highlight w:val="none"/>
              </w:rPr>
            </w:pPr>
            <w:r>
              <w:rPr>
                <w:rFonts w:hint="eastAsia"/>
                <w:snapToGrid w:val="0"/>
                <w:color w:val="auto"/>
                <w:kern w:val="0"/>
                <w:sz w:val="24"/>
                <w:szCs w:val="24"/>
                <w:highlight w:val="none"/>
              </w:rPr>
              <w:t>本项目液氨贮存设施及氢气管道泄漏，会对大气环境产生影响，故在液氨及氢气输送管道及管件的安装、使用遵守国家压力管道安全管理与监察规定，配备泄漏显示报警和防爆装置。</w:t>
            </w:r>
          </w:p>
          <w:p w14:paraId="3CE4C3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napToGrid w:val="0"/>
                <w:color w:val="auto"/>
                <w:kern w:val="0"/>
                <w:sz w:val="24"/>
                <w:szCs w:val="24"/>
                <w:highlight w:val="none"/>
                <w:lang w:eastAsia="zh-CN"/>
              </w:rPr>
            </w:pPr>
            <w:r>
              <w:rPr>
                <w:rFonts w:hint="eastAsia"/>
                <w:snapToGrid w:val="0"/>
                <w:color w:val="auto"/>
                <w:kern w:val="0"/>
                <w:sz w:val="24"/>
                <w:szCs w:val="24"/>
                <w:highlight w:val="none"/>
              </w:rPr>
              <w:t>液氨贮罐区设置了水喷淋系统，氨泄露后，水喷淋系统自动启动，向罐区喷水，由于氨极易溶于水，因而泄漏的氨绝大部分被水吸收，而不是进入空气中。吸收了氨的喷淋水将被收集在贮氨区事故废液池及围堰中</w:t>
            </w:r>
            <w:r>
              <w:rPr>
                <w:rFonts w:hint="eastAsia"/>
                <w:snapToGrid w:val="0"/>
                <w:color w:val="auto"/>
                <w:kern w:val="0"/>
                <w:sz w:val="24"/>
                <w:szCs w:val="24"/>
                <w:highlight w:val="none"/>
                <w:lang w:eastAsia="zh-CN"/>
              </w:rPr>
              <w:t>，</w:t>
            </w:r>
            <w:r>
              <w:rPr>
                <w:rFonts w:hint="eastAsia"/>
                <w:snapToGrid w:val="0"/>
                <w:color w:val="auto"/>
                <w:kern w:val="0"/>
                <w:sz w:val="24"/>
                <w:szCs w:val="24"/>
                <w:highlight w:val="none"/>
              </w:rPr>
              <w:t>收集的氨水在事故结束时将作为危险化学品进行处理，不排入环境。由分析可知，本工程贮氨区在设置自动喷淋系统、事故废液池及围堰等安全措施后，液氨罐泄漏对环境的影响可大大减轻，因此其风险水平在可接受范围</w:t>
            </w:r>
            <w:r>
              <w:rPr>
                <w:rFonts w:hint="eastAsia"/>
                <w:snapToGrid w:val="0"/>
                <w:color w:val="auto"/>
                <w:kern w:val="0"/>
                <w:sz w:val="24"/>
                <w:szCs w:val="24"/>
                <w:highlight w:val="none"/>
                <w:lang w:eastAsia="zh-CN"/>
              </w:rPr>
              <w:t>。</w:t>
            </w:r>
          </w:p>
          <w:p w14:paraId="002F94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auto"/>
                <w:highlight w:val="none"/>
                <w:lang w:val="en-US" w:eastAsia="zh-CN"/>
              </w:rPr>
            </w:pPr>
            <w:r>
              <w:rPr>
                <w:rFonts w:hint="eastAsia"/>
                <w:snapToGrid w:val="0"/>
                <w:color w:val="auto"/>
                <w:kern w:val="0"/>
                <w:sz w:val="24"/>
                <w:szCs w:val="24"/>
                <w:highlight w:val="none"/>
              </w:rPr>
              <w:t>氢气不存在毒性，是无色并且密度比空气小的气体</w:t>
            </w:r>
            <w:r>
              <w:rPr>
                <w:rFonts w:hint="eastAsia"/>
                <w:snapToGrid w:val="0"/>
                <w:color w:val="auto"/>
                <w:kern w:val="0"/>
                <w:sz w:val="24"/>
                <w:szCs w:val="24"/>
                <w:highlight w:val="none"/>
                <w:lang w:eastAsia="zh-CN"/>
              </w:rPr>
              <w:t>，</w:t>
            </w:r>
            <w:r>
              <w:rPr>
                <w:rFonts w:hint="eastAsia"/>
                <w:snapToGrid w:val="0"/>
                <w:color w:val="auto"/>
                <w:kern w:val="0"/>
                <w:sz w:val="24"/>
                <w:szCs w:val="24"/>
                <w:highlight w:val="none"/>
              </w:rPr>
              <w:t>当狭小空间内氢气浓度达到爆炸极限，遇到火源可引起爆炸。氢气燃烧生成水，产物对环境影响不大。项目车间内设置轴流风机强制通风，保证车间内氢气浓度处于低水平，低于氢气爆炸极限，可大大降低氢气</w:t>
            </w:r>
            <w:r>
              <w:rPr>
                <w:rFonts w:hint="eastAsia"/>
                <w:snapToGrid w:val="0"/>
                <w:color w:val="auto"/>
                <w:kern w:val="0"/>
                <w:sz w:val="24"/>
                <w:szCs w:val="24"/>
                <w:highlight w:val="none"/>
                <w:lang w:eastAsia="zh-CN"/>
              </w:rPr>
              <w:t>的使用风险，</w:t>
            </w:r>
            <w:r>
              <w:rPr>
                <w:rFonts w:hint="eastAsia"/>
                <w:snapToGrid w:val="0"/>
                <w:color w:val="auto"/>
                <w:kern w:val="0"/>
                <w:sz w:val="24"/>
                <w:szCs w:val="24"/>
                <w:highlight w:val="none"/>
              </w:rPr>
              <w:t>因此其风险水平在可接受范围</w:t>
            </w:r>
            <w:r>
              <w:rPr>
                <w:rFonts w:hint="eastAsia"/>
                <w:snapToGrid w:val="0"/>
                <w:color w:val="auto"/>
                <w:kern w:val="0"/>
                <w:sz w:val="24"/>
                <w:szCs w:val="24"/>
                <w:highlight w:val="none"/>
                <w:lang w:eastAsia="zh-CN"/>
              </w:rPr>
              <w:t>。</w:t>
            </w:r>
          </w:p>
          <w:p w14:paraId="7A7FB4D1">
            <w:pPr>
              <w:bidi w:val="0"/>
              <w:spacing w:line="360" w:lineRule="auto"/>
              <w:ind w:firstLine="480" w:firstLineChars="200"/>
              <w:rPr>
                <w:rFonts w:hint="eastAsia"/>
                <w:color w:val="auto"/>
                <w:sz w:val="24"/>
                <w:szCs w:val="24"/>
                <w:lang w:val="en-US" w:eastAsia="zh-CN"/>
              </w:rPr>
            </w:pPr>
            <w:r>
              <w:rPr>
                <w:rFonts w:hint="default" w:ascii="Times New Roman" w:hAnsi="Times New Roman" w:eastAsia="宋体" w:cs="Times New Roman"/>
                <w:color w:val="auto"/>
                <w:kern w:val="0"/>
                <w:sz w:val="24"/>
                <w:szCs w:val="24"/>
                <w:highlight w:val="none"/>
                <w:lang w:val="en-US" w:eastAsia="zh-CN"/>
              </w:rPr>
              <w:t>②</w:t>
            </w:r>
            <w:r>
              <w:rPr>
                <w:rFonts w:hint="eastAsia"/>
                <w:color w:val="auto"/>
                <w:sz w:val="24"/>
                <w:szCs w:val="24"/>
                <w:lang w:val="en-US" w:eastAsia="zh-CN"/>
              </w:rPr>
              <w:t>水环境风险分析</w:t>
            </w:r>
          </w:p>
          <w:p w14:paraId="3F4D305B">
            <w:pPr>
              <w:bidi w:val="0"/>
              <w:spacing w:line="360" w:lineRule="auto"/>
              <w:ind w:firstLine="480" w:firstLineChars="200"/>
              <w:rPr>
                <w:rFonts w:hint="default"/>
                <w:color w:val="000000" w:themeColor="text1"/>
                <w:sz w:val="24"/>
                <w:szCs w:val="24"/>
                <w:lang w:val="en-US" w:eastAsia="zh-CN"/>
                <w14:textFill>
                  <w14:solidFill>
                    <w14:schemeClr w14:val="tx1"/>
                  </w14:solidFill>
                </w14:textFill>
              </w:rPr>
            </w:pPr>
            <w:r>
              <w:rPr>
                <w:rFonts w:hint="eastAsia"/>
                <w:color w:val="auto"/>
                <w:sz w:val="24"/>
                <w:szCs w:val="24"/>
                <w:lang w:val="en-US" w:eastAsia="zh-CN"/>
              </w:rPr>
              <w:t>项目水污染事故风险主要是在</w:t>
            </w:r>
            <w:r>
              <w:rPr>
                <w:rFonts w:hint="eastAsia"/>
                <w:color w:val="000000" w:themeColor="text1"/>
                <w:sz w:val="24"/>
                <w:szCs w:val="24"/>
                <w:lang w:val="en-US" w:eastAsia="zh-CN"/>
                <w14:textFill>
                  <w14:solidFill>
                    <w14:schemeClr w14:val="tx1"/>
                  </w14:solidFill>
                </w14:textFill>
              </w:rPr>
              <w:t>事故状态下的消防废水产生，不进行及时收集的话，可能会影响周边地下水、土壤。</w:t>
            </w:r>
          </w:p>
          <w:p w14:paraId="31F34195">
            <w:pPr>
              <w:bidi w:val="0"/>
              <w:spacing w:line="360" w:lineRule="auto"/>
              <w:ind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本项目水环境事故主要有污水处理设施故障和污水渗漏以及火灾消防废水。若处理不当则会漫流出厂，对周边河流及土壤产生次生污染影响，造成水质、土壤污染事故，同时火灾后会有部分废水、受污染消防水进入土壤，甚至污染地下水。</w:t>
            </w:r>
          </w:p>
          <w:p w14:paraId="54B06DC8">
            <w:pPr>
              <w:bidi w:val="0"/>
              <w:spacing w:line="360" w:lineRule="auto"/>
              <w:ind w:firstLine="480" w:firstLineChars="200"/>
              <w:rPr>
                <w:rFonts w:hint="eastAsia"/>
                <w:color w:val="FF0000"/>
                <w:sz w:val="24"/>
                <w:szCs w:val="24"/>
                <w:lang w:val="en-US" w:eastAsia="zh-CN"/>
              </w:rPr>
            </w:pPr>
            <w:r>
              <w:rPr>
                <w:rFonts w:hint="eastAsia"/>
                <w:color w:val="000000" w:themeColor="text1"/>
                <w:sz w:val="24"/>
                <w:szCs w:val="24"/>
                <w:lang w:val="en-US" w:eastAsia="zh-CN"/>
                <w14:textFill>
                  <w14:solidFill>
                    <w14:schemeClr w14:val="tx1"/>
                  </w14:solidFill>
                </w14:textFill>
              </w:rPr>
              <w:t>事故废水量参考</w:t>
            </w:r>
            <w:r>
              <w:rPr>
                <w:rFonts w:hint="default"/>
                <w:b w:val="0"/>
                <w:bCs/>
                <w:color w:val="000000" w:themeColor="text1"/>
                <w:spacing w:val="0"/>
                <w:w w:val="100"/>
                <w:position w:val="0"/>
                <w:sz w:val="24"/>
                <w:szCs w:val="24"/>
                <w:lang w:val="en-US" w:eastAsia="zh-CN"/>
                <w14:textFill>
                  <w14:solidFill>
                    <w14:schemeClr w14:val="tx1"/>
                  </w14:solidFill>
                </w14:textFill>
              </w:rPr>
              <w:t>《事故状态下水体污染的预防与控制技术要求》</w:t>
            </w:r>
            <w:r>
              <w:rPr>
                <w:rFonts w:hint="eastAsia"/>
                <w:b w:val="0"/>
                <w:bCs/>
                <w:color w:val="000000" w:themeColor="text1"/>
                <w:spacing w:val="0"/>
                <w:w w:val="100"/>
                <w:position w:val="0"/>
                <w:sz w:val="24"/>
                <w:szCs w:val="24"/>
                <w:lang w:val="en-US" w:eastAsia="zh-CN"/>
                <w14:textFill>
                  <w14:solidFill>
                    <w14:schemeClr w14:val="tx1"/>
                  </w14:solidFill>
                </w14:textFill>
              </w:rPr>
              <w:t>（</w:t>
            </w:r>
            <w:r>
              <w:rPr>
                <w:rFonts w:hint="default"/>
                <w:b w:val="0"/>
                <w:bCs/>
                <w:color w:val="000000" w:themeColor="text1"/>
                <w:spacing w:val="0"/>
                <w:w w:val="100"/>
                <w:position w:val="0"/>
                <w:sz w:val="24"/>
                <w:szCs w:val="24"/>
                <w:lang w:val="en-US" w:eastAsia="zh-CN"/>
                <w14:textFill>
                  <w14:solidFill>
                    <w14:schemeClr w14:val="tx1"/>
                  </w14:solidFill>
                </w14:textFill>
              </w:rPr>
              <w:t>Q/SY1</w:t>
            </w:r>
            <w:r>
              <w:rPr>
                <w:rFonts w:hint="default"/>
                <w:b w:val="0"/>
                <w:bCs/>
                <w:color w:val="auto"/>
                <w:spacing w:val="0"/>
                <w:w w:val="100"/>
                <w:position w:val="0"/>
                <w:sz w:val="24"/>
                <w:szCs w:val="24"/>
                <w:lang w:val="en-US" w:eastAsia="zh-CN"/>
              </w:rPr>
              <w:t>190-2013</w:t>
            </w:r>
            <w:r>
              <w:rPr>
                <w:rFonts w:hint="eastAsia"/>
                <w:b w:val="0"/>
                <w:bCs/>
                <w:color w:val="auto"/>
                <w:spacing w:val="0"/>
                <w:w w:val="100"/>
                <w:position w:val="0"/>
                <w:sz w:val="24"/>
                <w:szCs w:val="24"/>
                <w:lang w:val="en-US" w:eastAsia="zh-CN"/>
              </w:rPr>
              <w:t>）中计算公式确定。具体公式如下：</w:t>
            </w:r>
          </w:p>
          <w:p w14:paraId="6F3D1300">
            <w:pPr>
              <w:pStyle w:val="7"/>
              <w:keepNext w:val="0"/>
              <w:keepLines w:val="0"/>
              <w:pageBreakBefore w:val="0"/>
              <w:widowControl w:val="0"/>
              <w:tabs>
                <w:tab w:val="left" w:pos="1080"/>
              </w:tabs>
              <w:kinsoku/>
              <w:wordWrap/>
              <w:overflowPunct/>
              <w:topLinePunct/>
              <w:autoSpaceDE/>
              <w:autoSpaceDN/>
              <w:bidi w:val="0"/>
              <w:adjustRightInd w:val="0"/>
              <w:snapToGrid w:val="0"/>
              <w:spacing w:line="360" w:lineRule="auto"/>
              <w:ind w:left="0" w:leftChars="0" w:firstLine="0" w:firstLineChars="0"/>
              <w:jc w:val="center"/>
              <w:textAlignment w:val="auto"/>
              <w:rPr>
                <w:rFonts w:hint="default"/>
                <w:b w:val="0"/>
                <w:bCs/>
                <w:color w:val="auto"/>
                <w:spacing w:val="0"/>
                <w:w w:val="100"/>
                <w:position w:val="0"/>
                <w:sz w:val="24"/>
                <w:szCs w:val="24"/>
                <w:lang w:val="en-US" w:eastAsia="zh-CN"/>
              </w:rPr>
            </w:pPr>
            <w:r>
              <w:rPr>
                <w:rFonts w:hint="default"/>
                <w:b w:val="0"/>
                <w:bCs/>
                <w:color w:val="auto"/>
                <w:spacing w:val="0"/>
                <w:w w:val="100"/>
                <w:position w:val="0"/>
                <w:sz w:val="24"/>
                <w:szCs w:val="24"/>
                <w:lang w:val="en-US" w:eastAsia="zh-CN"/>
              </w:rPr>
              <w:t xml:space="preserve">V总= </w:t>
            </w:r>
            <w:r>
              <w:rPr>
                <w:rFonts w:hint="eastAsia"/>
                <w:b w:val="0"/>
                <w:bCs/>
                <w:color w:val="auto"/>
                <w:spacing w:val="0"/>
                <w:w w:val="100"/>
                <w:position w:val="0"/>
                <w:sz w:val="24"/>
                <w:szCs w:val="24"/>
                <w:lang w:val="en-US" w:eastAsia="zh-CN"/>
              </w:rPr>
              <w:t>（</w:t>
            </w:r>
            <w:r>
              <w:rPr>
                <w:rFonts w:hint="default"/>
                <w:b w:val="0"/>
                <w:bCs/>
                <w:color w:val="auto"/>
                <w:spacing w:val="0"/>
                <w:w w:val="100"/>
                <w:position w:val="0"/>
                <w:sz w:val="24"/>
                <w:szCs w:val="24"/>
                <w:lang w:val="en-US" w:eastAsia="zh-CN"/>
              </w:rPr>
              <w:t>V1+V2-V3</w:t>
            </w:r>
            <w:r>
              <w:rPr>
                <w:rFonts w:hint="eastAsia"/>
                <w:b w:val="0"/>
                <w:bCs/>
                <w:color w:val="auto"/>
                <w:spacing w:val="0"/>
                <w:w w:val="100"/>
                <w:position w:val="0"/>
                <w:sz w:val="24"/>
                <w:szCs w:val="24"/>
                <w:lang w:val="en-US" w:eastAsia="zh-CN"/>
              </w:rPr>
              <w:t>）</w:t>
            </w:r>
            <w:r>
              <w:rPr>
                <w:rFonts w:hint="default"/>
                <w:b w:val="0"/>
                <w:bCs/>
                <w:color w:val="auto"/>
                <w:spacing w:val="0"/>
                <w:w w:val="100"/>
                <w:position w:val="0"/>
                <w:sz w:val="24"/>
                <w:szCs w:val="24"/>
                <w:lang w:val="en-US" w:eastAsia="zh-CN"/>
              </w:rPr>
              <w:t>max +V4+V5</w:t>
            </w:r>
          </w:p>
          <w:p w14:paraId="365AC695">
            <w:pPr>
              <w:pStyle w:val="7"/>
              <w:keepNext w:val="0"/>
              <w:keepLines w:val="0"/>
              <w:pageBreakBefore w:val="0"/>
              <w:widowControl w:val="0"/>
              <w:tabs>
                <w:tab w:val="left" w:pos="1080"/>
              </w:tabs>
              <w:kinsoku/>
              <w:wordWrap/>
              <w:overflowPunct/>
              <w:topLinePunct/>
              <w:autoSpaceDE/>
              <w:autoSpaceDN/>
              <w:bidi w:val="0"/>
              <w:adjustRightInd w:val="0"/>
              <w:snapToGrid w:val="0"/>
              <w:spacing w:line="360" w:lineRule="auto"/>
              <w:textAlignment w:val="auto"/>
              <w:rPr>
                <w:rFonts w:hint="default"/>
                <w:b w:val="0"/>
                <w:bCs/>
                <w:color w:val="auto"/>
                <w:spacing w:val="0"/>
                <w:w w:val="100"/>
                <w:position w:val="0"/>
                <w:sz w:val="24"/>
                <w:szCs w:val="24"/>
                <w:lang w:val="en-US" w:eastAsia="zh-CN"/>
              </w:rPr>
            </w:pPr>
            <w:r>
              <w:rPr>
                <w:rFonts w:hint="eastAsia"/>
                <w:b w:val="0"/>
                <w:bCs/>
                <w:color w:val="auto"/>
                <w:spacing w:val="0"/>
                <w:w w:val="100"/>
                <w:position w:val="0"/>
                <w:sz w:val="24"/>
                <w:szCs w:val="24"/>
                <w:lang w:val="en-US" w:eastAsia="zh-CN"/>
              </w:rPr>
              <w:t>注：（</w:t>
            </w:r>
            <w:r>
              <w:rPr>
                <w:rFonts w:hint="default"/>
                <w:b w:val="0"/>
                <w:bCs/>
                <w:color w:val="auto"/>
                <w:spacing w:val="0"/>
                <w:w w:val="100"/>
                <w:position w:val="0"/>
                <w:sz w:val="24"/>
                <w:szCs w:val="24"/>
                <w:lang w:val="en-US" w:eastAsia="zh-CN"/>
              </w:rPr>
              <w:t>V1+V2-V3</w:t>
            </w:r>
            <w:r>
              <w:rPr>
                <w:rFonts w:hint="eastAsia"/>
                <w:b w:val="0"/>
                <w:bCs/>
                <w:color w:val="auto"/>
                <w:spacing w:val="0"/>
                <w:w w:val="100"/>
                <w:position w:val="0"/>
                <w:sz w:val="24"/>
                <w:szCs w:val="24"/>
                <w:lang w:val="en-US" w:eastAsia="zh-CN"/>
              </w:rPr>
              <w:t>）</w:t>
            </w:r>
            <w:r>
              <w:rPr>
                <w:rFonts w:hint="default"/>
                <w:b w:val="0"/>
                <w:bCs/>
                <w:color w:val="auto"/>
                <w:spacing w:val="0"/>
                <w:w w:val="100"/>
                <w:position w:val="0"/>
                <w:sz w:val="24"/>
                <w:szCs w:val="24"/>
                <w:lang w:val="en-US" w:eastAsia="zh-CN"/>
              </w:rPr>
              <w:t>max</w:t>
            </w:r>
            <w:r>
              <w:rPr>
                <w:rFonts w:hint="eastAsia"/>
                <w:b w:val="0"/>
                <w:bCs/>
                <w:color w:val="auto"/>
                <w:spacing w:val="0"/>
                <w:w w:val="100"/>
                <w:position w:val="0"/>
                <w:sz w:val="24"/>
                <w:szCs w:val="24"/>
                <w:lang w:val="en-US" w:eastAsia="zh-CN"/>
              </w:rPr>
              <w:t>——</w:t>
            </w:r>
            <w:r>
              <w:rPr>
                <w:rFonts w:hint="default"/>
                <w:b w:val="0"/>
                <w:bCs/>
                <w:color w:val="auto"/>
                <w:spacing w:val="0"/>
                <w:w w:val="100"/>
                <w:position w:val="0"/>
                <w:sz w:val="24"/>
                <w:szCs w:val="24"/>
                <w:lang w:val="en-US" w:eastAsia="zh-CN"/>
              </w:rPr>
              <w:t>收集系统范围内不同罐组或装置分别计算 V1+V2-V3，取其中最大值。</w:t>
            </w:r>
          </w:p>
          <w:p w14:paraId="4ED53445">
            <w:pPr>
              <w:pStyle w:val="7"/>
              <w:keepNext w:val="0"/>
              <w:keepLines w:val="0"/>
              <w:pageBreakBefore w:val="0"/>
              <w:widowControl w:val="0"/>
              <w:tabs>
                <w:tab w:val="left" w:pos="1080"/>
              </w:tabs>
              <w:kinsoku/>
              <w:wordWrap/>
              <w:overflowPunct/>
              <w:topLinePunct/>
              <w:autoSpaceDE/>
              <w:autoSpaceDN/>
              <w:bidi w:val="0"/>
              <w:adjustRightInd w:val="0"/>
              <w:snapToGrid w:val="0"/>
              <w:spacing w:line="360" w:lineRule="auto"/>
              <w:textAlignment w:val="auto"/>
              <w:rPr>
                <w:rFonts w:hint="default"/>
                <w:b w:val="0"/>
                <w:bCs/>
                <w:color w:val="auto"/>
                <w:spacing w:val="0"/>
                <w:w w:val="100"/>
                <w:position w:val="0"/>
                <w:sz w:val="24"/>
                <w:szCs w:val="24"/>
                <w:lang w:val="en-US" w:eastAsia="zh-CN"/>
              </w:rPr>
            </w:pPr>
            <w:r>
              <w:rPr>
                <w:rFonts w:hint="eastAsia"/>
                <w:b w:val="0"/>
                <w:bCs/>
                <w:color w:val="auto"/>
                <w:spacing w:val="0"/>
                <w:w w:val="100"/>
                <w:position w:val="0"/>
                <w:sz w:val="24"/>
                <w:szCs w:val="24"/>
                <w:lang w:val="en-US" w:eastAsia="zh-CN"/>
              </w:rPr>
              <w:t>式中：</w:t>
            </w:r>
            <w:r>
              <w:rPr>
                <w:rFonts w:hint="default"/>
                <w:b w:val="0"/>
                <w:bCs/>
                <w:color w:val="auto"/>
                <w:spacing w:val="0"/>
                <w:w w:val="100"/>
                <w:position w:val="0"/>
                <w:sz w:val="24"/>
                <w:szCs w:val="24"/>
                <w:lang w:val="en-US" w:eastAsia="zh-CN"/>
              </w:rPr>
              <w:t>V1</w:t>
            </w:r>
            <w:r>
              <w:rPr>
                <w:rFonts w:hint="eastAsia"/>
                <w:b w:val="0"/>
                <w:bCs/>
                <w:color w:val="auto"/>
                <w:spacing w:val="0"/>
                <w:w w:val="100"/>
                <w:position w:val="0"/>
                <w:sz w:val="24"/>
                <w:szCs w:val="24"/>
                <w:lang w:val="en-US" w:eastAsia="zh-CN"/>
              </w:rPr>
              <w:t>——</w:t>
            </w:r>
            <w:r>
              <w:rPr>
                <w:rFonts w:hint="default"/>
                <w:b w:val="0"/>
                <w:bCs/>
                <w:color w:val="auto"/>
                <w:spacing w:val="0"/>
                <w:w w:val="100"/>
                <w:position w:val="0"/>
                <w:sz w:val="24"/>
                <w:szCs w:val="24"/>
                <w:lang w:val="en-US" w:eastAsia="zh-CN"/>
              </w:rPr>
              <w:t>收集系统内发生事故时一个罐组或装置最大物料泄漏量；罐组事故泄漏量按最大储罐容量、装置事故泄漏量按最大反应容器容量计；本项目无储罐，V1=0。</w:t>
            </w:r>
          </w:p>
          <w:p w14:paraId="0B0A3D55">
            <w:pPr>
              <w:pStyle w:val="7"/>
              <w:keepNext w:val="0"/>
              <w:keepLines w:val="0"/>
              <w:pageBreakBefore w:val="0"/>
              <w:widowControl w:val="0"/>
              <w:tabs>
                <w:tab w:val="left" w:pos="1080"/>
              </w:tabs>
              <w:kinsoku/>
              <w:wordWrap/>
              <w:overflowPunct/>
              <w:topLinePunct/>
              <w:autoSpaceDE/>
              <w:autoSpaceDN/>
              <w:bidi w:val="0"/>
              <w:adjustRightInd w:val="0"/>
              <w:snapToGrid w:val="0"/>
              <w:spacing w:line="360" w:lineRule="auto"/>
              <w:textAlignment w:val="auto"/>
              <w:rPr>
                <w:rFonts w:hint="default"/>
                <w:b w:val="0"/>
                <w:bCs/>
                <w:color w:val="auto"/>
                <w:spacing w:val="0"/>
                <w:w w:val="100"/>
                <w:position w:val="0"/>
                <w:sz w:val="24"/>
                <w:szCs w:val="24"/>
                <w:lang w:val="en-US" w:eastAsia="zh-CN"/>
              </w:rPr>
            </w:pPr>
            <w:r>
              <w:rPr>
                <w:rFonts w:hint="default"/>
                <w:b w:val="0"/>
                <w:bCs/>
                <w:color w:val="auto"/>
                <w:spacing w:val="0"/>
                <w:w w:val="100"/>
                <w:position w:val="0"/>
                <w:sz w:val="24"/>
                <w:szCs w:val="24"/>
                <w:lang w:val="en-US" w:eastAsia="zh-CN"/>
              </w:rPr>
              <w:t>V2</w:t>
            </w:r>
            <w:r>
              <w:rPr>
                <w:rFonts w:hint="eastAsia"/>
                <w:b w:val="0"/>
                <w:bCs/>
                <w:color w:val="auto"/>
                <w:spacing w:val="0"/>
                <w:w w:val="100"/>
                <w:position w:val="0"/>
                <w:sz w:val="24"/>
                <w:szCs w:val="24"/>
                <w:lang w:val="en-US" w:eastAsia="zh-CN"/>
              </w:rPr>
              <w:t>——</w:t>
            </w:r>
            <w:r>
              <w:rPr>
                <w:rFonts w:hint="default"/>
                <w:b w:val="0"/>
                <w:bCs/>
                <w:color w:val="auto"/>
                <w:spacing w:val="0"/>
                <w:w w:val="100"/>
                <w:position w:val="0"/>
                <w:sz w:val="24"/>
                <w:szCs w:val="24"/>
                <w:lang w:val="en-US" w:eastAsia="zh-CN"/>
              </w:rPr>
              <w:t>发生事故的储罐或装置的消防水量，m³；根据《消防给水及消火栓系统技术规范》（GB50974-2014），根据工厂、仓库、民用建筑一次灭火的室外消火栓用水量以及室内消火栓用水量，确定厂房建筑一次灭火的外消火栓用水量</w:t>
            </w:r>
            <w:r>
              <w:rPr>
                <w:rFonts w:hint="eastAsia"/>
                <w:b w:val="0"/>
                <w:bCs/>
                <w:color w:val="auto"/>
                <w:spacing w:val="0"/>
                <w:w w:val="100"/>
                <w:position w:val="0"/>
                <w:sz w:val="24"/>
                <w:szCs w:val="24"/>
                <w:lang w:val="en-US" w:eastAsia="zh-CN"/>
              </w:rPr>
              <w:t>25</w:t>
            </w:r>
            <w:r>
              <w:rPr>
                <w:rFonts w:hint="default"/>
                <w:b w:val="0"/>
                <w:bCs/>
                <w:color w:val="auto"/>
                <w:spacing w:val="0"/>
                <w:w w:val="100"/>
                <w:position w:val="0"/>
                <w:sz w:val="24"/>
                <w:szCs w:val="24"/>
                <w:lang w:val="en-US" w:eastAsia="zh-CN"/>
              </w:rPr>
              <w:t>L/</w:t>
            </w:r>
            <w:r>
              <w:rPr>
                <w:rFonts w:hint="eastAsia"/>
                <w:b w:val="0"/>
                <w:bCs/>
                <w:color w:val="auto"/>
                <w:spacing w:val="0"/>
                <w:w w:val="100"/>
                <w:position w:val="0"/>
                <w:sz w:val="24"/>
                <w:szCs w:val="24"/>
                <w:lang w:val="en-US" w:eastAsia="zh-CN"/>
              </w:rPr>
              <w:t>s，</w:t>
            </w:r>
            <w:r>
              <w:rPr>
                <w:rFonts w:hint="default"/>
                <w:b w:val="0"/>
                <w:bCs/>
                <w:color w:val="auto"/>
                <w:spacing w:val="0"/>
                <w:w w:val="100"/>
                <w:position w:val="0"/>
                <w:sz w:val="24"/>
                <w:szCs w:val="24"/>
                <w:lang w:val="en-US" w:eastAsia="zh-CN"/>
              </w:rPr>
              <w:t>持续时间按照3小时计，则消防水量为</w:t>
            </w:r>
            <w:r>
              <w:rPr>
                <w:rFonts w:hint="eastAsia"/>
                <w:b w:val="0"/>
                <w:bCs/>
                <w:color w:val="auto"/>
                <w:spacing w:val="0"/>
                <w:w w:val="100"/>
                <w:position w:val="0"/>
                <w:sz w:val="24"/>
                <w:szCs w:val="24"/>
                <w:lang w:val="en-US" w:eastAsia="zh-CN"/>
              </w:rPr>
              <w:t>270</w:t>
            </w:r>
            <w:r>
              <w:rPr>
                <w:rFonts w:hint="default"/>
                <w:b w:val="0"/>
                <w:bCs/>
                <w:color w:val="auto"/>
                <w:spacing w:val="0"/>
                <w:w w:val="100"/>
                <w:position w:val="0"/>
                <w:sz w:val="24"/>
                <w:szCs w:val="24"/>
                <w:lang w:val="en-US" w:eastAsia="zh-CN"/>
              </w:rPr>
              <w:t>m³；</w:t>
            </w:r>
          </w:p>
          <w:p w14:paraId="6FDFBFB7">
            <w:pPr>
              <w:pStyle w:val="7"/>
              <w:keepNext w:val="0"/>
              <w:keepLines w:val="0"/>
              <w:pageBreakBefore w:val="0"/>
              <w:widowControl w:val="0"/>
              <w:tabs>
                <w:tab w:val="left" w:pos="1080"/>
              </w:tabs>
              <w:kinsoku/>
              <w:wordWrap/>
              <w:overflowPunct/>
              <w:topLinePunct/>
              <w:autoSpaceDE/>
              <w:autoSpaceDN/>
              <w:bidi w:val="0"/>
              <w:adjustRightInd w:val="0"/>
              <w:snapToGrid w:val="0"/>
              <w:spacing w:line="360" w:lineRule="auto"/>
              <w:textAlignment w:val="auto"/>
              <w:rPr>
                <w:rFonts w:hint="default"/>
                <w:b w:val="0"/>
                <w:bCs/>
                <w:color w:val="auto"/>
                <w:spacing w:val="0"/>
                <w:w w:val="100"/>
                <w:position w:val="0"/>
                <w:sz w:val="24"/>
                <w:szCs w:val="24"/>
                <w:lang w:val="en-US" w:eastAsia="zh-CN"/>
              </w:rPr>
            </w:pPr>
            <w:r>
              <w:rPr>
                <w:rFonts w:hint="default"/>
                <w:b w:val="0"/>
                <w:bCs/>
                <w:color w:val="auto"/>
                <w:spacing w:val="0"/>
                <w:w w:val="100"/>
                <w:position w:val="0"/>
                <w:sz w:val="24"/>
                <w:szCs w:val="24"/>
                <w:lang w:val="en-US" w:eastAsia="zh-CN"/>
              </w:rPr>
              <w:t>V3</w:t>
            </w:r>
            <w:r>
              <w:rPr>
                <w:rFonts w:hint="eastAsia"/>
                <w:b w:val="0"/>
                <w:bCs/>
                <w:color w:val="auto"/>
                <w:spacing w:val="0"/>
                <w:w w:val="100"/>
                <w:position w:val="0"/>
                <w:sz w:val="24"/>
                <w:szCs w:val="24"/>
                <w:lang w:val="en-US" w:eastAsia="zh-CN"/>
              </w:rPr>
              <w:t>——</w:t>
            </w:r>
            <w:r>
              <w:rPr>
                <w:rFonts w:hint="default"/>
                <w:b w:val="0"/>
                <w:bCs/>
                <w:color w:val="auto"/>
                <w:spacing w:val="0"/>
                <w:w w:val="100"/>
                <w:position w:val="0"/>
                <w:sz w:val="24"/>
                <w:szCs w:val="24"/>
                <w:lang w:val="en-US" w:eastAsia="zh-CN"/>
              </w:rPr>
              <w:t>发生事故时可以转输到其他储存或处理设施的物料量，m³；取</w:t>
            </w:r>
            <w:r>
              <w:rPr>
                <w:rFonts w:hint="eastAsia"/>
                <w:b w:val="0"/>
                <w:bCs/>
                <w:color w:val="auto"/>
                <w:spacing w:val="0"/>
                <w:w w:val="100"/>
                <w:position w:val="0"/>
                <w:sz w:val="24"/>
                <w:szCs w:val="24"/>
                <w:lang w:val="en-US" w:eastAsia="zh-CN"/>
              </w:rPr>
              <w:t>0</w:t>
            </w:r>
            <w:r>
              <w:rPr>
                <w:rFonts w:hint="default"/>
                <w:b w:val="0"/>
                <w:bCs/>
                <w:color w:val="auto"/>
                <w:spacing w:val="0"/>
                <w:w w:val="100"/>
                <w:position w:val="0"/>
                <w:sz w:val="24"/>
                <w:szCs w:val="24"/>
                <w:lang w:val="en-US" w:eastAsia="zh-CN"/>
              </w:rPr>
              <w:t>m³；</w:t>
            </w:r>
          </w:p>
          <w:p w14:paraId="57F5F751">
            <w:pPr>
              <w:pStyle w:val="7"/>
              <w:keepNext w:val="0"/>
              <w:keepLines w:val="0"/>
              <w:pageBreakBefore w:val="0"/>
              <w:widowControl w:val="0"/>
              <w:tabs>
                <w:tab w:val="left" w:pos="1080"/>
              </w:tabs>
              <w:kinsoku/>
              <w:wordWrap/>
              <w:overflowPunct/>
              <w:topLinePunct/>
              <w:autoSpaceDE/>
              <w:autoSpaceDN/>
              <w:bidi w:val="0"/>
              <w:adjustRightInd w:val="0"/>
              <w:snapToGrid w:val="0"/>
              <w:spacing w:line="360" w:lineRule="auto"/>
              <w:textAlignment w:val="auto"/>
              <w:rPr>
                <w:rFonts w:hint="default"/>
                <w:b w:val="0"/>
                <w:bCs/>
                <w:color w:val="auto"/>
                <w:spacing w:val="0"/>
                <w:w w:val="100"/>
                <w:position w:val="0"/>
                <w:sz w:val="24"/>
                <w:szCs w:val="24"/>
                <w:lang w:val="en-US" w:eastAsia="zh-CN"/>
              </w:rPr>
            </w:pPr>
            <w:r>
              <w:rPr>
                <w:rFonts w:hint="default"/>
                <w:b w:val="0"/>
                <w:bCs/>
                <w:color w:val="auto"/>
                <w:spacing w:val="0"/>
                <w:w w:val="100"/>
                <w:position w:val="0"/>
                <w:sz w:val="24"/>
                <w:szCs w:val="24"/>
                <w:lang w:val="en-US" w:eastAsia="zh-CN"/>
              </w:rPr>
              <w:t>V4</w:t>
            </w:r>
            <w:r>
              <w:rPr>
                <w:rFonts w:hint="eastAsia"/>
                <w:b w:val="0"/>
                <w:bCs/>
                <w:color w:val="auto"/>
                <w:spacing w:val="0"/>
                <w:w w:val="100"/>
                <w:position w:val="0"/>
                <w:sz w:val="24"/>
                <w:szCs w:val="24"/>
                <w:lang w:val="en-US" w:eastAsia="zh-CN"/>
              </w:rPr>
              <w:t>——</w:t>
            </w:r>
            <w:r>
              <w:rPr>
                <w:rFonts w:hint="default"/>
                <w:b w:val="0"/>
                <w:bCs/>
                <w:color w:val="auto"/>
                <w:spacing w:val="0"/>
                <w:w w:val="100"/>
                <w:position w:val="0"/>
                <w:sz w:val="24"/>
                <w:szCs w:val="24"/>
                <w:lang w:val="en-US" w:eastAsia="zh-CN"/>
              </w:rPr>
              <w:t>发生事故时仍必须进入该收集系统的生产废水量，m³；本项目污水处理站设置有调节池，本次V4取值为</w:t>
            </w:r>
            <w:r>
              <w:rPr>
                <w:rFonts w:hint="eastAsia"/>
                <w:b w:val="0"/>
                <w:bCs/>
                <w:color w:val="auto"/>
                <w:spacing w:val="0"/>
                <w:w w:val="100"/>
                <w:position w:val="0"/>
                <w:sz w:val="24"/>
                <w:szCs w:val="24"/>
                <w:lang w:val="en-US" w:eastAsia="zh-CN"/>
              </w:rPr>
              <w:t>0</w:t>
            </w:r>
            <w:r>
              <w:rPr>
                <w:rFonts w:hint="default"/>
                <w:b w:val="0"/>
                <w:bCs/>
                <w:color w:val="auto"/>
                <w:spacing w:val="0"/>
                <w:w w:val="100"/>
                <w:position w:val="0"/>
                <w:sz w:val="24"/>
                <w:szCs w:val="24"/>
                <w:lang w:val="en-US" w:eastAsia="zh-CN"/>
              </w:rPr>
              <w:t>m³；</w:t>
            </w:r>
          </w:p>
          <w:p w14:paraId="25B72F12">
            <w:pPr>
              <w:keepNext w:val="0"/>
              <w:keepLines w:val="0"/>
              <w:pageBreakBefore w:val="0"/>
              <w:kinsoku/>
              <w:wordWrap/>
              <w:overflowPunct w:val="0"/>
              <w:topLinePunct w:val="0"/>
              <w:autoSpaceDE/>
              <w:autoSpaceDN/>
              <w:bidi w:val="0"/>
              <w:spacing w:line="360" w:lineRule="auto"/>
              <w:ind w:firstLine="480" w:firstLineChars="200"/>
              <w:textAlignment w:val="baseline"/>
              <w:rPr>
                <w:rFonts w:hint="default"/>
                <w:b w:val="0"/>
                <w:bCs/>
                <w:color w:val="auto"/>
                <w:spacing w:val="0"/>
                <w:w w:val="100"/>
                <w:position w:val="0"/>
                <w:sz w:val="24"/>
                <w:szCs w:val="24"/>
                <w:lang w:val="en-US" w:eastAsia="zh-CN"/>
              </w:rPr>
            </w:pPr>
            <w:r>
              <w:rPr>
                <w:rFonts w:hint="default"/>
                <w:b w:val="0"/>
                <w:bCs/>
                <w:color w:val="auto"/>
                <w:spacing w:val="0"/>
                <w:w w:val="100"/>
                <w:position w:val="0"/>
                <w:sz w:val="24"/>
                <w:szCs w:val="24"/>
                <w:lang w:val="en-US" w:eastAsia="zh-CN"/>
              </w:rPr>
              <w:t>V5</w:t>
            </w:r>
            <w:r>
              <w:rPr>
                <w:rFonts w:hint="eastAsia"/>
                <w:b w:val="0"/>
                <w:bCs/>
                <w:color w:val="auto"/>
                <w:spacing w:val="0"/>
                <w:w w:val="100"/>
                <w:position w:val="0"/>
                <w:sz w:val="24"/>
                <w:szCs w:val="24"/>
                <w:lang w:val="en-US" w:eastAsia="zh-CN"/>
              </w:rPr>
              <w:t>——</w:t>
            </w:r>
            <w:r>
              <w:rPr>
                <w:rFonts w:hint="default"/>
                <w:b w:val="0"/>
                <w:bCs/>
                <w:color w:val="auto"/>
                <w:spacing w:val="0"/>
                <w:w w:val="100"/>
                <w:position w:val="0"/>
                <w:sz w:val="24"/>
                <w:szCs w:val="24"/>
                <w:lang w:val="en-US" w:eastAsia="zh-CN"/>
              </w:rPr>
              <w:t>发生事故时可能进入该收集系统的降雨量，m³。</w:t>
            </w:r>
          </w:p>
          <w:p w14:paraId="73092861">
            <w:pPr>
              <w:spacing w:line="360" w:lineRule="auto"/>
              <w:jc w:val="center"/>
              <w:rPr>
                <w:rFonts w:eastAsia="宋体"/>
                <w:color w:val="auto"/>
                <w:sz w:val="24"/>
                <w:szCs w:val="24"/>
                <w:highlight w:val="none"/>
              </w:rPr>
            </w:pPr>
            <w:r>
              <w:rPr>
                <w:rFonts w:eastAsia="宋体"/>
                <w:color w:val="auto"/>
                <w:sz w:val="24"/>
                <w:szCs w:val="24"/>
                <w:highlight w:val="none"/>
              </w:rPr>
              <w:t>V</w:t>
            </w:r>
            <w:r>
              <w:rPr>
                <w:rFonts w:eastAsia="宋体"/>
                <w:color w:val="auto"/>
                <w:sz w:val="24"/>
                <w:szCs w:val="24"/>
                <w:highlight w:val="none"/>
                <w:vertAlign w:val="baseline"/>
              </w:rPr>
              <w:t>5</w:t>
            </w:r>
            <w:r>
              <w:rPr>
                <w:rFonts w:eastAsia="宋体"/>
                <w:color w:val="auto"/>
                <w:sz w:val="24"/>
                <w:szCs w:val="24"/>
                <w:highlight w:val="none"/>
              </w:rPr>
              <w:t>＝10qF</w:t>
            </w:r>
          </w:p>
          <w:p w14:paraId="3646F9EC">
            <w:pPr>
              <w:spacing w:line="360" w:lineRule="auto"/>
              <w:ind w:firstLine="480"/>
              <w:rPr>
                <w:rFonts w:eastAsia="宋体"/>
                <w:color w:val="auto"/>
                <w:sz w:val="24"/>
                <w:szCs w:val="24"/>
                <w:highlight w:val="none"/>
              </w:rPr>
            </w:pPr>
            <w:r>
              <w:rPr>
                <w:rFonts w:eastAsia="宋体"/>
                <w:color w:val="auto"/>
                <w:sz w:val="24"/>
                <w:szCs w:val="24"/>
                <w:highlight w:val="none"/>
              </w:rPr>
              <w:t>q——降雨强度，mm；按平均日降雨量；</w:t>
            </w:r>
          </w:p>
          <w:p w14:paraId="52346930">
            <w:pPr>
              <w:spacing w:line="360" w:lineRule="auto"/>
              <w:ind w:firstLine="1320" w:firstLineChars="550"/>
              <w:rPr>
                <w:rFonts w:eastAsia="宋体"/>
                <w:color w:val="auto"/>
                <w:sz w:val="24"/>
                <w:szCs w:val="24"/>
                <w:highlight w:val="none"/>
              </w:rPr>
            </w:pPr>
            <w:r>
              <w:rPr>
                <w:rFonts w:eastAsia="宋体"/>
                <w:color w:val="auto"/>
                <w:sz w:val="24"/>
                <w:szCs w:val="24"/>
                <w:highlight w:val="none"/>
              </w:rPr>
              <w:t>q=q</w:t>
            </w:r>
            <w:r>
              <w:rPr>
                <w:rFonts w:eastAsia="宋体"/>
                <w:color w:val="auto"/>
                <w:sz w:val="24"/>
                <w:szCs w:val="24"/>
                <w:highlight w:val="none"/>
                <w:vertAlign w:val="subscript"/>
              </w:rPr>
              <w:t>a</w:t>
            </w:r>
            <w:r>
              <w:rPr>
                <w:rFonts w:eastAsia="宋体"/>
                <w:color w:val="auto"/>
                <w:sz w:val="24"/>
                <w:szCs w:val="24"/>
                <w:highlight w:val="none"/>
              </w:rPr>
              <w:t>/n</w:t>
            </w:r>
          </w:p>
          <w:p w14:paraId="1CFA8152">
            <w:pPr>
              <w:spacing w:line="360" w:lineRule="auto"/>
              <w:ind w:firstLine="480"/>
              <w:rPr>
                <w:rFonts w:eastAsia="宋体"/>
                <w:color w:val="auto"/>
                <w:sz w:val="24"/>
                <w:szCs w:val="24"/>
                <w:highlight w:val="none"/>
              </w:rPr>
            </w:pPr>
            <w:r>
              <w:rPr>
                <w:rFonts w:eastAsia="宋体"/>
                <w:color w:val="auto"/>
                <w:sz w:val="24"/>
                <w:szCs w:val="24"/>
                <w:highlight w:val="none"/>
              </w:rPr>
              <w:t>q</w:t>
            </w:r>
            <w:r>
              <w:rPr>
                <w:rFonts w:eastAsia="宋体"/>
                <w:color w:val="auto"/>
                <w:sz w:val="24"/>
                <w:szCs w:val="24"/>
                <w:highlight w:val="none"/>
                <w:vertAlign w:val="subscript"/>
              </w:rPr>
              <w:t>a</w:t>
            </w:r>
            <w:r>
              <w:rPr>
                <w:rFonts w:eastAsia="宋体"/>
                <w:color w:val="auto"/>
                <w:sz w:val="24"/>
                <w:szCs w:val="24"/>
                <w:highlight w:val="none"/>
              </w:rPr>
              <w:t>——年平均降雨量，89</w:t>
            </w:r>
            <w:r>
              <w:rPr>
                <w:rFonts w:hint="eastAsia" w:eastAsia="宋体"/>
                <w:color w:val="auto"/>
                <w:sz w:val="24"/>
                <w:szCs w:val="24"/>
                <w:highlight w:val="none"/>
                <w:lang w:val="en-US" w:eastAsia="zh-CN"/>
              </w:rPr>
              <w:t>0</w:t>
            </w:r>
            <w:r>
              <w:rPr>
                <w:rFonts w:eastAsia="宋体"/>
                <w:color w:val="auto"/>
                <w:sz w:val="24"/>
                <w:szCs w:val="24"/>
                <w:highlight w:val="none"/>
              </w:rPr>
              <w:t>.1mm；</w:t>
            </w:r>
          </w:p>
          <w:p w14:paraId="6581F6FE">
            <w:pPr>
              <w:spacing w:line="360" w:lineRule="auto"/>
              <w:ind w:firstLine="480"/>
              <w:rPr>
                <w:rFonts w:eastAsia="宋体"/>
                <w:color w:val="auto"/>
                <w:sz w:val="24"/>
                <w:szCs w:val="24"/>
                <w:highlight w:val="none"/>
              </w:rPr>
            </w:pPr>
            <w:r>
              <w:rPr>
                <w:rFonts w:eastAsia="宋体"/>
                <w:color w:val="auto"/>
                <w:sz w:val="24"/>
                <w:szCs w:val="24"/>
                <w:highlight w:val="none"/>
              </w:rPr>
              <w:t>n——年平均降雨日数，105天。</w:t>
            </w:r>
          </w:p>
          <w:p w14:paraId="11C8A7EB">
            <w:pPr>
              <w:spacing w:line="360" w:lineRule="auto"/>
              <w:ind w:firstLine="480"/>
              <w:rPr>
                <w:rFonts w:eastAsia="宋体"/>
                <w:color w:val="auto"/>
                <w:sz w:val="24"/>
                <w:szCs w:val="24"/>
                <w:highlight w:val="none"/>
              </w:rPr>
            </w:pPr>
            <w:r>
              <w:rPr>
                <w:rFonts w:eastAsia="宋体"/>
                <w:color w:val="auto"/>
                <w:sz w:val="24"/>
                <w:szCs w:val="24"/>
                <w:highlight w:val="none"/>
              </w:rPr>
              <w:t>F——必须进入事故废水收集系统的雨水汇水面积</w:t>
            </w:r>
            <w:r>
              <w:rPr>
                <w:rFonts w:hint="eastAsia" w:eastAsia="宋体"/>
                <w:color w:val="auto"/>
                <w:sz w:val="24"/>
                <w:szCs w:val="24"/>
                <w:highlight w:val="none"/>
                <w:lang w:eastAsia="zh-CN"/>
              </w:rPr>
              <w:t>，</w:t>
            </w:r>
            <w:r>
              <w:rPr>
                <w:rFonts w:eastAsia="宋体"/>
                <w:color w:val="auto"/>
                <w:sz w:val="24"/>
                <w:szCs w:val="24"/>
                <w:highlight w:val="none"/>
              </w:rPr>
              <w:t>h</w:t>
            </w:r>
            <w:r>
              <w:rPr>
                <w:rFonts w:hint="eastAsia" w:eastAsia="宋体"/>
                <w:color w:val="auto"/>
                <w:sz w:val="24"/>
                <w:szCs w:val="24"/>
                <w:highlight w:val="none"/>
                <w:lang w:val="en-US" w:eastAsia="zh-CN"/>
              </w:rPr>
              <w:t>a，即</w:t>
            </w:r>
            <w:r>
              <w:rPr>
                <w:rFonts w:hint="eastAsia"/>
                <w:color w:val="auto"/>
                <w:sz w:val="24"/>
                <w:szCs w:val="24"/>
                <w:highlight w:val="none"/>
                <w:lang w:val="en-US" w:eastAsia="zh-CN"/>
              </w:rPr>
              <w:t>生产车间和仓库面价</w:t>
            </w:r>
            <w:r>
              <w:rPr>
                <w:rFonts w:hint="eastAsia" w:eastAsia="宋体"/>
                <w:color w:val="auto"/>
                <w:sz w:val="24"/>
                <w:szCs w:val="24"/>
                <w:highlight w:val="none"/>
                <w:lang w:val="en-US" w:eastAsia="zh-CN"/>
              </w:rPr>
              <w:t>，本项目取</w:t>
            </w:r>
            <w:r>
              <w:rPr>
                <w:rFonts w:hint="eastAsia" w:cs="Times New Roman"/>
                <w:b w:val="0"/>
                <w:bCs w:val="0"/>
                <w:color w:val="auto"/>
                <w:sz w:val="24"/>
                <w:szCs w:val="24"/>
                <w:lang w:val="en-US" w:eastAsia="zh-CN"/>
              </w:rPr>
              <w:t>3750</w:t>
            </w:r>
            <w:r>
              <w:rPr>
                <w:rFonts w:eastAsia="宋体"/>
                <w:color w:val="auto"/>
                <w:sz w:val="24"/>
                <w:szCs w:val="24"/>
                <w:highlight w:val="none"/>
              </w:rPr>
              <w:t>m</w:t>
            </w:r>
            <w:r>
              <w:rPr>
                <w:rFonts w:eastAsia="宋体"/>
                <w:color w:val="auto"/>
                <w:sz w:val="24"/>
                <w:szCs w:val="24"/>
                <w:highlight w:val="none"/>
                <w:vertAlign w:val="superscript"/>
              </w:rPr>
              <w:t>2</w:t>
            </w:r>
            <w:r>
              <w:rPr>
                <w:rFonts w:hint="eastAsia"/>
                <w:color w:val="auto"/>
                <w:sz w:val="24"/>
                <w:szCs w:val="24"/>
                <w:highlight w:val="none"/>
                <w:vertAlign w:val="baseline"/>
                <w:lang w:eastAsia="zh-CN"/>
              </w:rPr>
              <w:t>（</w:t>
            </w:r>
            <w:r>
              <w:rPr>
                <w:rFonts w:hint="eastAsia"/>
                <w:color w:val="auto"/>
                <w:sz w:val="24"/>
                <w:szCs w:val="24"/>
                <w:highlight w:val="none"/>
                <w:vertAlign w:val="baseline"/>
                <w:lang w:val="en-US" w:eastAsia="zh-CN"/>
              </w:rPr>
              <w:t>0.375ha</w:t>
            </w:r>
            <w:r>
              <w:rPr>
                <w:rFonts w:hint="eastAsia"/>
                <w:color w:val="auto"/>
                <w:sz w:val="24"/>
                <w:szCs w:val="24"/>
                <w:highlight w:val="none"/>
                <w:vertAlign w:val="baseline"/>
                <w:lang w:eastAsia="zh-CN"/>
              </w:rPr>
              <w:t>）</w:t>
            </w:r>
            <w:r>
              <w:rPr>
                <w:rFonts w:eastAsia="宋体"/>
                <w:color w:val="auto"/>
                <w:sz w:val="24"/>
                <w:szCs w:val="24"/>
                <w:highlight w:val="none"/>
              </w:rPr>
              <w:t>。</w:t>
            </w:r>
          </w:p>
          <w:p w14:paraId="73AAD90E">
            <w:pPr>
              <w:keepNext w:val="0"/>
              <w:keepLines w:val="0"/>
              <w:pageBreakBefore w:val="0"/>
              <w:kinsoku/>
              <w:wordWrap/>
              <w:overflowPunct w:val="0"/>
              <w:topLinePunct w:val="0"/>
              <w:autoSpaceDE/>
              <w:autoSpaceDN/>
              <w:bidi w:val="0"/>
              <w:spacing w:line="360" w:lineRule="auto"/>
              <w:ind w:firstLine="480" w:firstLineChars="200"/>
              <w:textAlignment w:val="baseline"/>
              <w:rPr>
                <w:rFonts w:hint="default"/>
                <w:b w:val="0"/>
                <w:bCs/>
                <w:color w:val="auto"/>
                <w:spacing w:val="0"/>
                <w:w w:val="100"/>
                <w:position w:val="0"/>
                <w:sz w:val="24"/>
                <w:szCs w:val="24"/>
                <w:lang w:val="en-US" w:eastAsia="zh-CN"/>
              </w:rPr>
            </w:pPr>
            <w:r>
              <w:rPr>
                <w:rFonts w:eastAsia="宋体"/>
                <w:color w:val="auto"/>
                <w:sz w:val="24"/>
                <w:szCs w:val="24"/>
                <w:highlight w:val="none"/>
              </w:rPr>
              <w:t>V</w:t>
            </w:r>
            <w:r>
              <w:rPr>
                <w:rFonts w:eastAsia="宋体"/>
                <w:color w:val="auto"/>
                <w:sz w:val="24"/>
                <w:szCs w:val="24"/>
                <w:highlight w:val="none"/>
                <w:vertAlign w:val="baseline"/>
              </w:rPr>
              <w:t>5</w:t>
            </w:r>
            <w:r>
              <w:rPr>
                <w:rFonts w:eastAsia="宋体"/>
                <w:color w:val="auto"/>
                <w:sz w:val="24"/>
                <w:szCs w:val="24"/>
                <w:highlight w:val="none"/>
              </w:rPr>
              <w:t>=</w:t>
            </w:r>
            <w:r>
              <w:rPr>
                <w:rFonts w:hint="eastAsia"/>
                <w:color w:val="auto"/>
                <w:sz w:val="24"/>
                <w:szCs w:val="24"/>
                <w:highlight w:val="none"/>
                <w:lang w:val="en-US" w:eastAsia="zh-CN"/>
              </w:rPr>
              <w:t>31.79</w:t>
            </w:r>
            <w:r>
              <w:rPr>
                <w:rFonts w:eastAsia="宋体"/>
                <w:color w:val="auto"/>
                <w:sz w:val="24"/>
                <w:szCs w:val="24"/>
                <w:highlight w:val="none"/>
              </w:rPr>
              <w:t>m</w:t>
            </w:r>
            <w:r>
              <w:rPr>
                <w:rFonts w:eastAsia="宋体"/>
                <w:color w:val="auto"/>
                <w:sz w:val="24"/>
                <w:szCs w:val="24"/>
                <w:highlight w:val="none"/>
                <w:vertAlign w:val="superscript"/>
              </w:rPr>
              <w:t>3</w:t>
            </w:r>
            <w:r>
              <w:rPr>
                <w:rFonts w:eastAsia="宋体"/>
                <w:color w:val="auto"/>
                <w:sz w:val="24"/>
                <w:szCs w:val="24"/>
                <w:highlight w:val="none"/>
              </w:rPr>
              <w:t>。</w:t>
            </w:r>
          </w:p>
          <w:p w14:paraId="2D65CD6C">
            <w:pPr>
              <w:pStyle w:val="9"/>
              <w:keepNext w:val="0"/>
              <w:keepLines w:val="0"/>
              <w:pageBreakBefore w:val="0"/>
              <w:widowControl w:val="0"/>
              <w:kinsoku/>
              <w:wordWrap/>
              <w:overflowPunct w:val="0"/>
              <w:topLinePunct w:val="0"/>
              <w:autoSpaceDE/>
              <w:autoSpaceDN/>
              <w:bidi w:val="0"/>
              <w:adjustRightInd/>
              <w:snapToGrid w:val="0"/>
              <w:spacing w:line="360" w:lineRule="auto"/>
              <w:ind w:firstLine="480" w:firstLineChars="200"/>
              <w:jc w:val="both"/>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根据以上计算V</w:t>
            </w:r>
            <w:r>
              <w:rPr>
                <w:rFonts w:hint="default"/>
                <w:b w:val="0"/>
                <w:bCs/>
                <w:color w:val="auto"/>
                <w:spacing w:val="0"/>
                <w:w w:val="100"/>
                <w:position w:val="0"/>
                <w:sz w:val="24"/>
                <w:szCs w:val="24"/>
                <w:lang w:val="en-US" w:eastAsia="zh-CN"/>
              </w:rPr>
              <w:t xml:space="preserve">总= </w:t>
            </w:r>
            <w:r>
              <w:rPr>
                <w:rFonts w:hint="eastAsia"/>
                <w:b w:val="0"/>
                <w:bCs/>
                <w:color w:val="auto"/>
                <w:spacing w:val="0"/>
                <w:w w:val="100"/>
                <w:position w:val="0"/>
                <w:sz w:val="24"/>
                <w:szCs w:val="24"/>
                <w:lang w:val="en-US" w:eastAsia="zh-CN"/>
              </w:rPr>
              <w:t>（</w:t>
            </w:r>
            <w:r>
              <w:rPr>
                <w:rFonts w:hint="default"/>
                <w:b w:val="0"/>
                <w:bCs/>
                <w:color w:val="auto"/>
                <w:spacing w:val="0"/>
                <w:w w:val="100"/>
                <w:position w:val="0"/>
                <w:sz w:val="24"/>
                <w:szCs w:val="24"/>
                <w:lang w:val="en-US" w:eastAsia="zh-CN"/>
              </w:rPr>
              <w:t>V1+V2-V3）max +V4+V5</w:t>
            </w:r>
            <w:r>
              <w:rPr>
                <w:rFonts w:hint="eastAsia"/>
                <w:b w:val="0"/>
                <w:bCs/>
                <w:color w:val="auto"/>
                <w:spacing w:val="0"/>
                <w:w w:val="100"/>
                <w:position w:val="0"/>
                <w:sz w:val="24"/>
                <w:szCs w:val="24"/>
                <w:lang w:val="en-US" w:eastAsia="zh-CN"/>
              </w:rPr>
              <w:t>=（</w:t>
            </w:r>
            <w:r>
              <w:rPr>
                <w:rFonts w:hint="eastAsia" w:cs="Times New Roman"/>
                <w:color w:val="auto"/>
                <w:sz w:val="24"/>
                <w:szCs w:val="24"/>
                <w:highlight w:val="none"/>
                <w:lang w:val="en-US" w:eastAsia="zh-CN"/>
              </w:rPr>
              <w:t>0+270</w:t>
            </w:r>
            <w:r>
              <w:rPr>
                <w:rFonts w:hint="eastAsia" w:ascii="Times New Roman" w:hAnsi="Times New Roman" w:cs="Times New Roman"/>
                <w:color w:val="auto"/>
                <w:sz w:val="24"/>
                <w:szCs w:val="24"/>
                <w:highlight w:val="none"/>
                <w:lang w:val="en-US" w:eastAsia="zh-CN"/>
              </w:rPr>
              <w:t>-0</w:t>
            </w:r>
            <w:r>
              <w:rPr>
                <w:rFonts w:hint="eastAsia"/>
                <w:b w:val="0"/>
                <w:bCs/>
                <w:color w:val="auto"/>
                <w:spacing w:val="0"/>
                <w:w w:val="100"/>
                <w:position w:val="0"/>
                <w:sz w:val="24"/>
                <w:szCs w:val="24"/>
                <w:lang w:val="en-US" w:eastAsia="zh-CN"/>
              </w:rPr>
              <w:t>）+0</w:t>
            </w:r>
            <w:r>
              <w:rPr>
                <w:rFonts w:hint="eastAsia" w:cs="Times New Roman"/>
                <w:color w:val="auto"/>
                <w:sz w:val="24"/>
                <w:szCs w:val="24"/>
                <w:highlight w:val="none"/>
                <w:lang w:val="en-US" w:eastAsia="zh-CN"/>
              </w:rPr>
              <w:t>+0+31.79</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301.79</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p>
          <w:p w14:paraId="565A0B40">
            <w:pPr>
              <w:keepNext w:val="0"/>
              <w:keepLines w:val="0"/>
              <w:pageBreakBefore w:val="0"/>
              <w:widowControl w:val="0"/>
              <w:numPr>
                <w:ilvl w:val="0"/>
                <w:numId w:val="0"/>
              </w:numPr>
              <w:kinsoku/>
              <w:wordWrap/>
              <w:overflowPunct w:val="0"/>
              <w:topLinePunct w:val="0"/>
              <w:autoSpaceDE/>
              <w:autoSpaceDN/>
              <w:bidi w:val="0"/>
              <w:adjustRightInd/>
              <w:snapToGrid w:val="0"/>
              <w:spacing w:line="360" w:lineRule="auto"/>
              <w:ind w:firstLine="480" w:firstLineChars="200"/>
              <w:jc w:val="both"/>
              <w:textAlignment w:val="baseline"/>
              <w:rPr>
                <w:color w:val="auto"/>
                <w:sz w:val="24"/>
                <w:szCs w:val="24"/>
              </w:rPr>
            </w:pPr>
            <w:r>
              <w:rPr>
                <w:rFonts w:hint="default" w:ascii="Times New Roman" w:hAnsi="Times New Roman" w:eastAsia="宋体" w:cs="Times New Roman"/>
                <w:color w:val="auto"/>
                <w:sz w:val="24"/>
                <w:szCs w:val="24"/>
                <w:highlight w:val="none"/>
                <w:lang w:val="en-US" w:eastAsia="zh-CN"/>
              </w:rPr>
              <w:t>考虑到应急事故池需考虑一定的系数，经计算及核定，本项目应设有效容积不小于</w:t>
            </w:r>
            <w:r>
              <w:rPr>
                <w:rFonts w:hint="eastAsia" w:cs="Times New Roman"/>
                <w:color w:val="auto"/>
                <w:sz w:val="24"/>
                <w:szCs w:val="24"/>
                <w:highlight w:val="none"/>
                <w:lang w:val="en-US" w:eastAsia="zh-CN"/>
              </w:rPr>
              <w:t>350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的事故应急池。事故池位置设置在</w:t>
            </w:r>
            <w:r>
              <w:rPr>
                <w:rFonts w:hint="eastAsia" w:ascii="Times New Roman" w:hAnsi="Times New Roman" w:eastAsia="宋体" w:cs="Times New Roman"/>
                <w:color w:val="auto"/>
                <w:sz w:val="24"/>
                <w:szCs w:val="24"/>
                <w:highlight w:val="none"/>
                <w:lang w:val="en-US" w:eastAsia="zh-CN"/>
              </w:rPr>
              <w:t>3#生产车间上方</w:t>
            </w:r>
            <w:r>
              <w:rPr>
                <w:rFonts w:hint="default" w:ascii="Times New Roman" w:hAnsi="Times New Roman" w:eastAsia="宋体" w:cs="Times New Roman"/>
                <w:color w:val="auto"/>
                <w:sz w:val="24"/>
                <w:szCs w:val="24"/>
                <w:highlight w:val="none"/>
                <w:lang w:val="en-US" w:eastAsia="zh-CN"/>
              </w:rPr>
              <w:t>，收集事故状态下收集消防废水，满足事故排放要求。</w:t>
            </w:r>
          </w:p>
          <w:p w14:paraId="187CFB6E">
            <w:pPr>
              <w:bidi w:val="0"/>
              <w:spacing w:line="360" w:lineRule="auto"/>
              <w:ind w:firstLine="480" w:firstLineChars="200"/>
              <w:rPr>
                <w:rFonts w:hint="eastAsia"/>
                <w:color w:val="auto"/>
                <w:sz w:val="24"/>
                <w:szCs w:val="24"/>
                <w:lang w:val="en-US" w:eastAsia="zh-CN"/>
              </w:rPr>
            </w:pPr>
            <w:r>
              <w:rPr>
                <w:rFonts w:hint="default"/>
                <w:b w:val="0"/>
                <w:bCs/>
                <w:color w:val="auto"/>
                <w:spacing w:val="0"/>
                <w:w w:val="100"/>
                <w:position w:val="0"/>
                <w:sz w:val="24"/>
                <w:szCs w:val="24"/>
                <w:lang w:val="en-US" w:eastAsia="zh-CN"/>
              </w:rPr>
              <w:t>事故水池配备管道和泵（泵连接至应急电源），保证事故状态下项目消防废水经管道输送至事故水池后，不进入</w:t>
            </w:r>
            <w:r>
              <w:rPr>
                <w:rFonts w:hint="eastAsia"/>
                <w:b w:val="0"/>
                <w:bCs/>
                <w:color w:val="auto"/>
                <w:spacing w:val="0"/>
                <w:w w:val="100"/>
                <w:position w:val="0"/>
                <w:sz w:val="24"/>
                <w:szCs w:val="24"/>
                <w:lang w:val="en-US" w:eastAsia="zh-CN"/>
              </w:rPr>
              <w:t>周边沟渠</w:t>
            </w:r>
            <w:r>
              <w:rPr>
                <w:rFonts w:hint="default"/>
                <w:b w:val="0"/>
                <w:bCs/>
                <w:color w:val="auto"/>
                <w:spacing w:val="0"/>
                <w:w w:val="100"/>
                <w:position w:val="0"/>
                <w:sz w:val="24"/>
                <w:szCs w:val="24"/>
                <w:lang w:val="en-US" w:eastAsia="zh-CN"/>
              </w:rPr>
              <w:t>。</w:t>
            </w:r>
          </w:p>
          <w:p w14:paraId="7EA1DC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color w:val="auto"/>
                <w:sz w:val="24"/>
                <w:szCs w:val="24"/>
                <w:highlight w:val="none"/>
                <w:lang w:eastAsia="zh-CN"/>
              </w:rPr>
            </w:pPr>
            <w:r>
              <w:rPr>
                <w:rFonts w:hint="eastAsia" w:cs="Times New Roman"/>
                <w:b w:val="0"/>
                <w:bCs w:val="0"/>
                <w:color w:val="auto"/>
                <w:sz w:val="24"/>
                <w:szCs w:val="24"/>
                <w:highlight w:val="none"/>
                <w:lang w:eastAsia="zh-CN"/>
              </w:rPr>
              <w:t>（</w:t>
            </w:r>
            <w:r>
              <w:rPr>
                <w:rFonts w:hint="eastAsia"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rPr>
              <w:t>环境风险防范措施</w:t>
            </w:r>
          </w:p>
          <w:p w14:paraId="6BC0357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i w:val="0"/>
                <w:color w:val="auto"/>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①</w:t>
            </w:r>
            <w:r>
              <w:rPr>
                <w:rFonts w:hint="default" w:ascii="Times New Roman" w:hAnsi="Times New Roman" w:eastAsia="宋体" w:cs="Times New Roman"/>
                <w:b w:val="0"/>
                <w:i w:val="0"/>
                <w:color w:val="auto"/>
                <w:sz w:val="24"/>
                <w:szCs w:val="24"/>
                <w:highlight w:val="none"/>
                <w:lang w:val="en-US" w:eastAsia="zh-CN"/>
              </w:rPr>
              <w:t>总图布置和建筑安全方面</w:t>
            </w:r>
          </w:p>
          <w:p w14:paraId="0BAFF4B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i w:val="0"/>
                <w:color w:val="auto"/>
                <w:sz w:val="24"/>
                <w:szCs w:val="24"/>
                <w:highlight w:val="none"/>
                <w:lang w:val="en-US" w:eastAsia="zh-CN"/>
              </w:rPr>
            </w:pPr>
            <w:r>
              <w:rPr>
                <w:rFonts w:hint="default" w:ascii="Times New Roman" w:hAnsi="Times New Roman" w:eastAsia="宋体" w:cs="Times New Roman"/>
                <w:b w:val="0"/>
                <w:i w:val="0"/>
                <w:color w:val="auto"/>
                <w:sz w:val="24"/>
                <w:szCs w:val="24"/>
                <w:highlight w:val="none"/>
                <w:lang w:val="en-US" w:eastAsia="zh-CN"/>
              </w:rPr>
              <w:t>在总平面布置中配套设置应急救援设施、救援通道、应急疏散避难所等防护措施。根据火灾危险性等级和防火、防爆要求，建筑物的防火等级均采用国家现行规范要求按一、二级耐火等级设计，满足建筑防火要求。凡禁火区均设置明显标识牌。各种易燃易爆物料储存于阴凉、通风处，远离火源。</w:t>
            </w:r>
          </w:p>
          <w:p w14:paraId="50F5F3A8">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b w:val="0"/>
                <w:i w:val="0"/>
                <w:color w:val="auto"/>
                <w:sz w:val="24"/>
                <w:szCs w:val="24"/>
                <w:highlight w:val="none"/>
                <w:lang w:val="en-US" w:eastAsia="zh-CN"/>
              </w:rPr>
              <w:t>根据生产装置的特点，在生产车间按物料性质和人身可能意外接触到有害物质而引起烧伤、刺激或伤害皮肤的区域内，均设置紧急</w:t>
            </w:r>
            <w:r>
              <w:rPr>
                <w:rFonts w:hint="eastAsia" w:cs="Times New Roman"/>
                <w:b w:val="0"/>
                <w:i w:val="0"/>
                <w:color w:val="auto"/>
                <w:sz w:val="24"/>
                <w:szCs w:val="24"/>
                <w:highlight w:val="none"/>
                <w:lang w:val="en-US" w:eastAsia="zh-CN"/>
              </w:rPr>
              <w:t>淋浴</w:t>
            </w:r>
            <w:r>
              <w:rPr>
                <w:rFonts w:hint="default" w:ascii="Times New Roman" w:hAnsi="Times New Roman" w:eastAsia="宋体" w:cs="Times New Roman"/>
                <w:b w:val="0"/>
                <w:i w:val="0"/>
                <w:color w:val="auto"/>
                <w:sz w:val="24"/>
                <w:szCs w:val="24"/>
                <w:highlight w:val="none"/>
                <w:lang w:val="en-US" w:eastAsia="zh-CN"/>
              </w:rPr>
              <w:t>和洗眼器，并加以明显标记。并在装置区设置救护箱，工作人员配备必要的个人防护用品。</w:t>
            </w:r>
          </w:p>
          <w:p w14:paraId="71D757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i w:val="0"/>
                <w:color w:val="auto"/>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②</w:t>
            </w:r>
            <w:r>
              <w:rPr>
                <w:rFonts w:hint="default" w:ascii="Times New Roman" w:hAnsi="Times New Roman" w:eastAsia="宋体" w:cs="Times New Roman"/>
                <w:b w:val="0"/>
                <w:i w:val="0"/>
                <w:color w:val="auto"/>
                <w:sz w:val="24"/>
                <w:szCs w:val="24"/>
                <w:highlight w:val="none"/>
                <w:lang w:val="en-US" w:eastAsia="zh-CN"/>
              </w:rPr>
              <w:t>日常管理方面</w:t>
            </w:r>
          </w:p>
          <w:p w14:paraId="77463DFB">
            <w:pPr>
              <w:spacing w:line="360" w:lineRule="auto"/>
              <w:ind w:firstLine="480" w:firstLineChars="200"/>
              <w:contextualSpacing/>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b w:val="0"/>
                <w:i w:val="0"/>
                <w:color w:val="auto"/>
                <w:sz w:val="24"/>
                <w:szCs w:val="24"/>
                <w:highlight w:val="none"/>
                <w:lang w:val="en-US" w:eastAsia="zh-CN"/>
              </w:rPr>
              <w:t>在日常生产过程中对物料的储存、使用等方面做好管理；操作人员必须经过专门培训，严格遵守操作规程。</w:t>
            </w:r>
          </w:p>
          <w:p w14:paraId="4550DC45">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lang w:eastAsia="zh-CN"/>
              </w:rPr>
              <w:t>③危险化学品贮存安全防范措施</w:t>
            </w:r>
          </w:p>
          <w:p w14:paraId="40206DF9">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lang w:eastAsia="zh-CN"/>
              </w:rPr>
              <w:t>A、按照《储罐区防火设计规范》有关规定，液氨贮存区设置防火堤和防火隔堤，远离火种、热源，并设置防日晒的固定式冷却水喷雾系统。防火堤、防火隔墙采用不燃烧材料制造，且必须密实完全闭合不渗漏。</w:t>
            </w:r>
          </w:p>
          <w:p w14:paraId="5BD593D2">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lang w:eastAsia="zh-CN"/>
              </w:rPr>
              <w:t>B、液氨贮存区采用泡沫灭火和水喷淋冷却、防晒设施。</w:t>
            </w:r>
          </w:p>
          <w:p w14:paraId="072A2DE6">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rPr>
              <w:t>④</w:t>
            </w:r>
            <w:r>
              <w:rPr>
                <w:rFonts w:hint="default" w:ascii="Times New Roman" w:hAnsi="Times New Roman" w:eastAsia="宋体" w:cs="Times New Roman"/>
                <w:color w:val="auto"/>
                <w:kern w:val="0"/>
                <w:sz w:val="24"/>
                <w:szCs w:val="24"/>
                <w:highlight w:val="none"/>
                <w:lang w:eastAsia="zh-CN"/>
              </w:rPr>
              <w:t>易燃易爆事件防范措施</w:t>
            </w:r>
          </w:p>
          <w:p w14:paraId="752344AC">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lang w:eastAsia="zh-CN"/>
              </w:rPr>
              <w:t>A、应轻装轻卸、轻拿轻放，避免撞击、摩擦、</w:t>
            </w:r>
            <w:r>
              <w:rPr>
                <w:rFonts w:hint="eastAsia" w:cs="Times New Roman"/>
                <w:color w:val="auto"/>
                <w:kern w:val="0"/>
                <w:sz w:val="24"/>
                <w:szCs w:val="24"/>
                <w:highlight w:val="none"/>
                <w:lang w:eastAsia="zh-CN"/>
              </w:rPr>
              <w:t>摔</w:t>
            </w:r>
            <w:r>
              <w:rPr>
                <w:rFonts w:hint="default" w:ascii="Times New Roman" w:hAnsi="Times New Roman" w:eastAsia="宋体" w:cs="Times New Roman"/>
                <w:color w:val="auto"/>
                <w:kern w:val="0"/>
                <w:sz w:val="24"/>
                <w:szCs w:val="24"/>
                <w:highlight w:val="none"/>
                <w:lang w:eastAsia="zh-CN"/>
              </w:rPr>
              <w:t>甩</w:t>
            </w:r>
            <w:r>
              <w:rPr>
                <w:rFonts w:hint="eastAsia" w:cs="Times New Roman"/>
                <w:color w:val="auto"/>
                <w:kern w:val="0"/>
                <w:sz w:val="24"/>
                <w:szCs w:val="24"/>
                <w:highlight w:val="none"/>
                <w:lang w:eastAsia="zh-CN"/>
              </w:rPr>
              <w:t>；</w:t>
            </w:r>
          </w:p>
          <w:p w14:paraId="76F37415">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lang w:eastAsia="zh-CN"/>
              </w:rPr>
              <w:t>B、应远离明火、热源，有规定的警示标志，避免阳光直射，并具有阴凉、通风条件</w:t>
            </w:r>
            <w:r>
              <w:rPr>
                <w:rFonts w:hint="eastAsia" w:cs="Times New Roman"/>
                <w:color w:val="auto"/>
                <w:kern w:val="0"/>
                <w:sz w:val="24"/>
                <w:szCs w:val="24"/>
                <w:highlight w:val="none"/>
                <w:lang w:eastAsia="zh-CN"/>
              </w:rPr>
              <w:t>；</w:t>
            </w:r>
          </w:p>
          <w:p w14:paraId="4FF2A854">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lang w:eastAsia="zh-CN"/>
              </w:rPr>
              <w:t>C、沿装置区周围设置环形消防栓</w:t>
            </w:r>
            <w:r>
              <w:rPr>
                <w:rFonts w:hint="eastAsia"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lang w:eastAsia="zh-CN"/>
              </w:rPr>
              <w:t>经常检查安全消防设施的完好性，使其处于即用状态</w:t>
            </w:r>
            <w:r>
              <w:rPr>
                <w:rFonts w:hint="eastAsia" w:cs="Times New Roman"/>
                <w:color w:val="auto"/>
                <w:kern w:val="0"/>
                <w:sz w:val="24"/>
                <w:szCs w:val="24"/>
                <w:highlight w:val="none"/>
                <w:lang w:eastAsia="zh-CN"/>
              </w:rPr>
              <w:t>；</w:t>
            </w:r>
          </w:p>
          <w:p w14:paraId="7A1FA3F6">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lang w:eastAsia="zh-CN"/>
              </w:rPr>
              <w:t>D、设置事故池，发生事故泄漏时，所有稀释的氨水必须引入事故池内。</w:t>
            </w:r>
          </w:p>
          <w:p w14:paraId="7BA6436E">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rPr>
              <w:t>⑤</w:t>
            </w:r>
            <w:r>
              <w:rPr>
                <w:rFonts w:hint="default" w:ascii="Times New Roman" w:hAnsi="Times New Roman" w:eastAsia="宋体" w:cs="Times New Roman"/>
                <w:color w:val="auto"/>
                <w:kern w:val="0"/>
                <w:sz w:val="24"/>
                <w:szCs w:val="24"/>
                <w:highlight w:val="none"/>
                <w:lang w:eastAsia="zh-CN"/>
              </w:rPr>
              <w:t>物料泄漏防范措施</w:t>
            </w:r>
          </w:p>
          <w:p w14:paraId="5DFAFAD2">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lang w:eastAsia="zh-CN"/>
              </w:rPr>
              <w:t>A、严把贮存钢瓶、阀门、法兰等可能泄漏爆破部位的质量关</w:t>
            </w:r>
            <w:r>
              <w:rPr>
                <w:rFonts w:hint="eastAsia" w:cs="Times New Roman"/>
                <w:color w:val="auto"/>
                <w:kern w:val="0"/>
                <w:sz w:val="24"/>
                <w:szCs w:val="24"/>
                <w:highlight w:val="none"/>
                <w:lang w:eastAsia="zh-CN"/>
              </w:rPr>
              <w:t>；</w:t>
            </w:r>
          </w:p>
          <w:p w14:paraId="5C423577">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lang w:eastAsia="zh-CN"/>
              </w:rPr>
              <w:t>B、加强贮存钢瓶及管道阀门的管理与定期维护，防止贮存钢瓶、管道破裂、阀门失灵，杜绝跑、冒、滴、漏</w:t>
            </w:r>
            <w:r>
              <w:rPr>
                <w:rFonts w:hint="eastAsia" w:cs="Times New Roman"/>
                <w:color w:val="auto"/>
                <w:kern w:val="0"/>
                <w:sz w:val="24"/>
                <w:szCs w:val="24"/>
                <w:highlight w:val="none"/>
                <w:lang w:eastAsia="zh-CN"/>
              </w:rPr>
              <w:t>；</w:t>
            </w:r>
          </w:p>
          <w:p w14:paraId="51C26918">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color w:val="auto"/>
                <w:kern w:val="0"/>
                <w:sz w:val="24"/>
                <w:szCs w:val="24"/>
                <w:highlight w:val="none"/>
                <w:lang w:val="en-US" w:eastAsia="zh-CN"/>
              </w:rPr>
            </w:pPr>
            <w:r>
              <w:rPr>
                <w:rFonts w:hint="eastAsia"/>
                <w:color w:val="auto"/>
                <w:kern w:val="0"/>
                <w:sz w:val="24"/>
                <w:szCs w:val="24"/>
                <w:highlight w:val="none"/>
                <w:lang w:val="en-US" w:eastAsia="zh-CN"/>
              </w:rPr>
              <w:t>C、配套安置监测报警系统，一旦发生泄漏，进行自动报警。</w:t>
            </w:r>
          </w:p>
          <w:p w14:paraId="582336C5">
            <w:pPr>
              <w:keepNext w:val="0"/>
              <w:keepLines w:val="0"/>
              <w:pageBreakBefore w:val="0"/>
              <w:widowControl w:val="0"/>
              <w:kinsoku/>
              <w:wordWrap/>
              <w:overflowPunct/>
              <w:topLinePunct w:val="0"/>
              <w:autoSpaceDE/>
              <w:autoSpaceDN/>
              <w:bidi w:val="0"/>
              <w:spacing w:line="360" w:lineRule="auto"/>
              <w:ind w:firstLine="480" w:firstLineChars="200"/>
              <w:contextualSpacing/>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⑥</w:t>
            </w:r>
            <w:r>
              <w:rPr>
                <w:rFonts w:hint="eastAsia" w:cs="宋体"/>
                <w:color w:val="auto"/>
                <w:sz w:val="24"/>
                <w:szCs w:val="24"/>
                <w:highlight w:val="none"/>
                <w:lang w:eastAsia="zh-CN"/>
              </w:rPr>
              <w:t>废气</w:t>
            </w:r>
            <w:r>
              <w:rPr>
                <w:rFonts w:hint="eastAsia" w:ascii="Times New Roman" w:hAnsi="Times New Roman" w:eastAsia="宋体" w:cs="Times New Roman"/>
                <w:color w:val="auto"/>
                <w:sz w:val="24"/>
                <w:szCs w:val="24"/>
                <w:highlight w:val="none"/>
                <w:lang w:eastAsia="zh-CN"/>
              </w:rPr>
              <w:t>事故性排放</w:t>
            </w:r>
            <w:r>
              <w:rPr>
                <w:rFonts w:hint="eastAsia"/>
                <w:color w:val="auto"/>
                <w:sz w:val="24"/>
                <w:szCs w:val="24"/>
                <w:highlight w:val="none"/>
              </w:rPr>
              <w:t>：</w:t>
            </w:r>
            <w:r>
              <w:rPr>
                <w:rFonts w:hint="eastAsia" w:cs="宋体"/>
                <w:color w:val="auto"/>
                <w:sz w:val="24"/>
                <w:szCs w:val="24"/>
                <w:highlight w:val="none"/>
                <w:lang w:eastAsia="zh-CN"/>
              </w:rPr>
              <w:t>废气</w:t>
            </w:r>
            <w:r>
              <w:rPr>
                <w:rFonts w:hint="eastAsia" w:ascii="Times New Roman" w:hAnsi="Times New Roman" w:eastAsia="宋体" w:cs="Times New Roman"/>
                <w:color w:val="auto"/>
                <w:sz w:val="24"/>
                <w:szCs w:val="24"/>
                <w:highlight w:val="none"/>
                <w:lang w:eastAsia="zh-CN"/>
              </w:rPr>
              <w:t>事故性排放</w:t>
            </w:r>
            <w:r>
              <w:rPr>
                <w:rFonts w:hint="eastAsia"/>
                <w:color w:val="auto"/>
                <w:sz w:val="24"/>
                <w:szCs w:val="24"/>
                <w:highlight w:val="none"/>
              </w:rPr>
              <w:t>会对周边环境造成影响</w:t>
            </w:r>
            <w:r>
              <w:rPr>
                <w:rFonts w:hint="eastAsia"/>
                <w:color w:val="auto"/>
                <w:sz w:val="24"/>
                <w:szCs w:val="24"/>
                <w:highlight w:val="none"/>
                <w:lang w:eastAsia="zh-CN"/>
              </w:rPr>
              <w:t>，</w:t>
            </w:r>
            <w:r>
              <w:rPr>
                <w:rFonts w:hint="eastAsia"/>
                <w:color w:val="auto"/>
                <w:sz w:val="24"/>
                <w:szCs w:val="24"/>
                <w:highlight w:val="none"/>
              </w:rPr>
              <w:t>针对此部分风险，建设单位</w:t>
            </w:r>
            <w:r>
              <w:rPr>
                <w:rFonts w:hint="eastAsia"/>
                <w:color w:val="auto"/>
                <w:sz w:val="24"/>
                <w:szCs w:val="24"/>
                <w:highlight w:val="none"/>
                <w:lang w:eastAsia="zh-CN"/>
              </w:rPr>
              <w:t>应</w:t>
            </w:r>
            <w:r>
              <w:rPr>
                <w:rFonts w:hint="eastAsia"/>
                <w:color w:val="auto"/>
                <w:sz w:val="24"/>
                <w:szCs w:val="24"/>
                <w:highlight w:val="none"/>
              </w:rPr>
              <w:t>定期检查</w:t>
            </w:r>
            <w:r>
              <w:rPr>
                <w:rFonts w:hint="eastAsia"/>
                <w:color w:val="auto"/>
                <w:sz w:val="24"/>
                <w:szCs w:val="24"/>
                <w:highlight w:val="none"/>
                <w:lang w:eastAsia="zh-CN"/>
              </w:rPr>
              <w:t>设备</w:t>
            </w:r>
            <w:r>
              <w:rPr>
                <w:rFonts w:hint="eastAsia"/>
                <w:color w:val="auto"/>
                <w:sz w:val="24"/>
                <w:szCs w:val="24"/>
                <w:highlight w:val="none"/>
              </w:rPr>
              <w:t>，避免发生事故造成大量</w:t>
            </w:r>
            <w:r>
              <w:rPr>
                <w:rFonts w:hint="eastAsia" w:cs="宋体"/>
                <w:color w:val="auto"/>
                <w:sz w:val="24"/>
                <w:szCs w:val="24"/>
                <w:highlight w:val="none"/>
                <w:lang w:val="en-US" w:eastAsia="zh-CN"/>
              </w:rPr>
              <w:t>废气</w:t>
            </w:r>
            <w:r>
              <w:rPr>
                <w:rFonts w:hint="eastAsia"/>
                <w:color w:val="auto"/>
                <w:sz w:val="24"/>
                <w:szCs w:val="24"/>
                <w:highlight w:val="none"/>
              </w:rPr>
              <w:t>的泄漏；同时，针对废气处理管线等也要定期排查，出现问题时及时维修，适当时应该直接停产，待设备完善后再继续投产。</w:t>
            </w:r>
          </w:p>
          <w:p w14:paraId="69003940">
            <w:pPr>
              <w:keepNext w:val="0"/>
              <w:keepLines w:val="0"/>
              <w:pageBreakBefore w:val="0"/>
              <w:widowControl w:val="0"/>
              <w:kinsoku/>
              <w:wordWrap/>
              <w:overflowPunct/>
              <w:topLinePunct w:val="0"/>
              <w:autoSpaceDE/>
              <w:autoSpaceDN/>
              <w:bidi w:val="0"/>
              <w:spacing w:line="360" w:lineRule="auto"/>
              <w:ind w:firstLine="480" w:firstLineChars="200"/>
              <w:contextualSpacing/>
              <w:textAlignment w:val="auto"/>
              <w:rPr>
                <w:rFonts w:ascii="Times New Roman" w:hAnsi="Times New Roman" w:eastAsia="宋体" w:cs="Times New Roman"/>
                <w:color w:val="auto"/>
                <w:kern w:val="0"/>
                <w:sz w:val="24"/>
                <w:szCs w:val="24"/>
                <w:highlight w:val="none"/>
              </w:rPr>
            </w:pPr>
            <w:r>
              <w:rPr>
                <w:rFonts w:hint="eastAsia" w:ascii="宋体" w:hAnsi="宋体" w:eastAsia="宋体" w:cs="宋体"/>
                <w:color w:val="auto"/>
                <w:kern w:val="0"/>
                <w:sz w:val="24"/>
                <w:szCs w:val="24"/>
                <w:highlight w:val="none"/>
                <w:lang w:val="en-US" w:eastAsia="zh-CN"/>
              </w:rPr>
              <w:t>⑦</w:t>
            </w:r>
            <w:r>
              <w:rPr>
                <w:rFonts w:hint="default" w:ascii="Times New Roman" w:hAnsi="Times New Roman" w:eastAsia="宋体" w:cs="Times New Roman"/>
                <w:color w:val="auto"/>
                <w:kern w:val="0"/>
                <w:sz w:val="24"/>
                <w:szCs w:val="24"/>
                <w:highlight w:val="none"/>
                <w:lang w:val="en-US" w:eastAsia="zh-CN"/>
              </w:rPr>
              <w:t>其他风险防范措施：1.建立环保及安全管理部门，该部门进行监督检查，及时发现，立即处理避免污染。2.经常检查安全消防设施的完好性，使其处于即用状态，以备在事故发生时，能及时、高效流程的发挥作用。3.加强个人劳动防护，进入生产区必须穿戴相应的防护服装。4.进行全员应急管理培训，培训内容包括：事故预防、危险辨识、事故报告、应急响应、各类事故处置方案、基本救护常识、避灾避险、逃生自救等，每年至少分别安排一次桌面演练和综合演练，强化职工应急意识，提高应急队伍的反应速度和实战能力。5.各岗位有应急水源，配备足够的应急物资和使用工具等。</w:t>
            </w:r>
          </w:p>
          <w:p w14:paraId="0F2574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b/>
                <w:bCs/>
                <w:color w:val="auto"/>
                <w:sz w:val="24"/>
                <w:szCs w:val="24"/>
                <w:highlight w:val="none"/>
                <w:lang w:val="en-US" w:eastAsia="zh-CN"/>
              </w:rPr>
            </w:pPr>
            <w:r>
              <w:rPr>
                <w:color w:val="auto"/>
                <w:sz w:val="24"/>
                <w:szCs w:val="24"/>
                <w:highlight w:val="none"/>
              </w:rPr>
              <w:t>综上所述，本项目水、气、声等各类污染物均能实现达标排放，固体废物综合利用及有效处置。</w:t>
            </w:r>
          </w:p>
          <w:p w14:paraId="72BFB5D4">
            <w:pPr>
              <w:keepNext w:val="0"/>
              <w:keepLines w:val="0"/>
              <w:pageBreakBefore w:val="0"/>
              <w:widowControl w:val="0"/>
              <w:tabs>
                <w:tab w:val="left" w:pos="3323"/>
              </w:tabs>
              <w:kinsoku/>
              <w:wordWrap/>
              <w:overflowPunct/>
              <w:topLinePunct w:val="0"/>
              <w:autoSpaceDE/>
              <w:autoSpaceDN/>
              <w:bidi w:val="0"/>
              <w:adjustRightInd/>
              <w:snapToGrid w:val="0"/>
              <w:spacing w:line="360" w:lineRule="auto"/>
              <w:jc w:val="center"/>
              <w:textAlignment w:val="auto"/>
              <w:rPr>
                <w:rFonts w:hint="eastAsia" w:cs="Times New Roman"/>
                <w:b/>
                <w:bCs/>
                <w:snapToGrid/>
                <w:color w:val="auto"/>
                <w:spacing w:val="0"/>
                <w:kern w:val="0"/>
                <w:position w:val="0"/>
                <w:sz w:val="24"/>
                <w:szCs w:val="24"/>
                <w:highlight w:val="none"/>
                <w:lang w:val="en-US" w:eastAsia="zh-CN"/>
              </w:rPr>
            </w:pPr>
            <w:r>
              <w:rPr>
                <w:rFonts w:hint="default" w:ascii="Times New Roman" w:hAnsi="Times New Roman" w:cs="Times New Roman"/>
                <w:b/>
                <w:color w:val="auto"/>
                <w:sz w:val="24"/>
                <w:szCs w:val="24"/>
              </w:rPr>
              <w:t>表4</w:t>
            </w:r>
            <w:r>
              <w:rPr>
                <w:rFonts w:hint="eastAsia" w:ascii="Times New Roman" w:hAnsi="Times New Roman" w:cs="Times New Roman"/>
                <w:b/>
                <w:color w:val="auto"/>
                <w:sz w:val="24"/>
                <w:szCs w:val="24"/>
                <w:lang w:val="en-US" w:eastAsia="zh-CN"/>
              </w:rPr>
              <w:t>.1</w:t>
            </w:r>
            <w:r>
              <w:rPr>
                <w:rFonts w:hint="eastAsia" w:cs="Times New Roman"/>
                <w:b/>
                <w:color w:val="auto"/>
                <w:sz w:val="24"/>
                <w:szCs w:val="24"/>
                <w:lang w:val="en-US" w:eastAsia="zh-CN"/>
              </w:rPr>
              <w:t xml:space="preserve">7 </w:t>
            </w:r>
            <w:r>
              <w:rPr>
                <w:rFonts w:hint="eastAsia" w:ascii="Times New Roman" w:hAnsi="Times New Roman" w:cs="Times New Roman"/>
                <w:b/>
                <w:color w:val="auto"/>
                <w:sz w:val="24"/>
                <w:szCs w:val="24"/>
                <w:lang w:val="en-US" w:eastAsia="zh-CN"/>
              </w:rPr>
              <w:t xml:space="preserve"> </w:t>
            </w:r>
            <w:r>
              <w:rPr>
                <w:rFonts w:hint="default" w:ascii="Times New Roman" w:hAnsi="Times New Roman" w:cs="Times New Roman"/>
                <w:b/>
                <w:color w:val="auto"/>
                <w:sz w:val="24"/>
                <w:szCs w:val="24"/>
              </w:rPr>
              <w:t>建设项目环境</w:t>
            </w:r>
            <w:r>
              <w:rPr>
                <w:rFonts w:hint="eastAsia" w:cs="Times New Roman"/>
                <w:b/>
                <w:color w:val="auto"/>
                <w:sz w:val="24"/>
                <w:szCs w:val="24"/>
                <w:lang w:eastAsia="zh-CN"/>
              </w:rPr>
              <w:t>风险</w:t>
            </w:r>
            <w:r>
              <w:rPr>
                <w:rFonts w:hint="default" w:ascii="Times New Roman" w:hAnsi="Times New Roman" w:cs="Times New Roman"/>
                <w:b/>
                <w:color w:val="auto"/>
                <w:sz w:val="24"/>
                <w:szCs w:val="24"/>
              </w:rPr>
              <w:t>简单分析内容表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544"/>
            </w:tblGrid>
            <w:tr w14:paraId="65B96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noWrap w:val="0"/>
                  <w:vAlign w:val="center"/>
                </w:tcPr>
                <w:p w14:paraId="367CFA0A">
                  <w:pPr>
                    <w:spacing w:line="312" w:lineRule="exact"/>
                    <w:ind w:left="-105" w:leftChars="-50" w:right="-105" w:rightChars="-5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建设项目名称</w:t>
                  </w:r>
                </w:p>
              </w:tc>
              <w:tc>
                <w:tcPr>
                  <w:tcW w:w="6544" w:type="dxa"/>
                  <w:noWrap w:val="0"/>
                  <w:vAlign w:val="center"/>
                </w:tcPr>
                <w:p w14:paraId="4B911140">
                  <w:pPr>
                    <w:spacing w:line="312" w:lineRule="exact"/>
                    <w:jc w:val="center"/>
                    <w:rPr>
                      <w:rFonts w:hint="default" w:ascii="Times New Roman" w:hAnsi="Times New Roman" w:eastAsia="宋体" w:cs="Times New Roman"/>
                      <w:color w:val="auto"/>
                      <w:sz w:val="21"/>
                      <w:szCs w:val="21"/>
                      <w:lang w:eastAsia="zh-CN"/>
                    </w:rPr>
                  </w:pPr>
                  <w:r>
                    <w:rPr>
                      <w:rFonts w:hint="eastAsia" w:cs="Times New Roman"/>
                      <w:color w:val="auto"/>
                      <w:sz w:val="21"/>
                      <w:szCs w:val="21"/>
                      <w:lang w:eastAsia="zh-CN"/>
                    </w:rPr>
                    <w:t>钨合金渔坠生产扩建项目</w:t>
                  </w:r>
                </w:p>
              </w:tc>
            </w:tr>
            <w:tr w14:paraId="2E411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noWrap w:val="0"/>
                  <w:vAlign w:val="center"/>
                </w:tcPr>
                <w:p w14:paraId="111D6AE1">
                  <w:pPr>
                    <w:spacing w:line="312" w:lineRule="exact"/>
                    <w:ind w:left="-50" w:right="-5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建设地点</w:t>
                  </w:r>
                </w:p>
              </w:tc>
              <w:tc>
                <w:tcPr>
                  <w:tcW w:w="6544" w:type="dxa"/>
                  <w:noWrap w:val="0"/>
                  <w:vAlign w:val="center"/>
                </w:tcPr>
                <w:p w14:paraId="5E0DEF80">
                  <w:pPr>
                    <w:spacing w:line="312" w:lineRule="exact"/>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安徽省宿州市灵璧县尹集镇田路村</w:t>
                  </w:r>
                </w:p>
              </w:tc>
            </w:tr>
            <w:tr w14:paraId="5A93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noWrap w:val="0"/>
                  <w:vAlign w:val="center"/>
                </w:tcPr>
                <w:p w14:paraId="292BEAE7">
                  <w:pPr>
                    <w:spacing w:line="312" w:lineRule="exact"/>
                    <w:ind w:left="-50" w:right="-5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地理坐标</w:t>
                  </w:r>
                </w:p>
              </w:tc>
              <w:tc>
                <w:tcPr>
                  <w:tcW w:w="6544" w:type="dxa"/>
                  <w:noWrap w:val="0"/>
                  <w:vAlign w:val="center"/>
                </w:tcPr>
                <w:p w14:paraId="52F9951C">
                  <w:pPr>
                    <w:spacing w:line="312"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经度：</w:t>
                  </w:r>
                  <w:r>
                    <w:rPr>
                      <w:rFonts w:hint="default" w:ascii="Times New Roman" w:hAnsi="Times New Roman" w:cs="Times New Roman"/>
                      <w:color w:val="auto"/>
                      <w:sz w:val="21"/>
                      <w:szCs w:val="21"/>
                    </w:rPr>
                    <w:t>117度</w:t>
                  </w:r>
                  <w:r>
                    <w:rPr>
                      <w:rFonts w:hint="default" w:ascii="Times New Roman" w:hAnsi="Times New Roman" w:cs="Times New Roman"/>
                      <w:color w:val="auto"/>
                      <w:sz w:val="21"/>
                      <w:szCs w:val="21"/>
                      <w:lang w:val="en-US" w:eastAsia="zh-CN"/>
                    </w:rPr>
                    <w:t>28</w:t>
                  </w:r>
                  <w:r>
                    <w:rPr>
                      <w:rFonts w:hint="default" w:ascii="Times New Roman" w:hAnsi="Times New Roman" w:cs="Times New Roman"/>
                      <w:color w:val="auto"/>
                      <w:sz w:val="21"/>
                      <w:szCs w:val="21"/>
                    </w:rPr>
                    <w:t>分</w:t>
                  </w:r>
                  <w:r>
                    <w:rPr>
                      <w:rFonts w:hint="default" w:ascii="Times New Roman" w:hAnsi="Times New Roman" w:cs="Times New Roman"/>
                      <w:color w:val="auto"/>
                      <w:sz w:val="21"/>
                      <w:szCs w:val="21"/>
                      <w:lang w:val="en-US" w:eastAsia="zh-CN"/>
                    </w:rPr>
                    <w:t>6.452</w:t>
                  </w:r>
                  <w:r>
                    <w:rPr>
                      <w:rFonts w:hint="default" w:ascii="Times New Roman" w:hAnsi="Times New Roman" w:cs="Times New Roman"/>
                      <w:color w:val="auto"/>
                      <w:sz w:val="21"/>
                      <w:szCs w:val="21"/>
                    </w:rPr>
                    <w:t>秒，</w:t>
                  </w:r>
                  <w:r>
                    <w:rPr>
                      <w:rFonts w:hint="default" w:ascii="Times New Roman" w:hAnsi="Times New Roman" w:cs="Times New Roman"/>
                      <w:color w:val="auto"/>
                      <w:sz w:val="21"/>
                      <w:szCs w:val="21"/>
                      <w:lang w:eastAsia="zh-CN"/>
                    </w:rPr>
                    <w:t>纬度：</w:t>
                  </w:r>
                  <w:r>
                    <w:rPr>
                      <w:rFonts w:hint="default" w:ascii="Times New Roman" w:hAnsi="Times New Roman" w:cs="Times New Roman"/>
                      <w:color w:val="auto"/>
                      <w:sz w:val="21"/>
                      <w:szCs w:val="21"/>
                    </w:rPr>
                    <w:t>33度4</w:t>
                  </w:r>
                  <w:r>
                    <w:rPr>
                      <w:rFonts w:hint="default" w:ascii="Times New Roman" w:hAnsi="Times New Roman" w:cs="Times New Roman"/>
                      <w:color w:val="auto"/>
                      <w:sz w:val="21"/>
                      <w:szCs w:val="21"/>
                      <w:lang w:val="en-US" w:eastAsia="zh-CN"/>
                    </w:rPr>
                    <w:t>7</w:t>
                  </w:r>
                  <w:r>
                    <w:rPr>
                      <w:rFonts w:hint="default" w:ascii="Times New Roman" w:hAnsi="Times New Roman" w:cs="Times New Roman"/>
                      <w:color w:val="auto"/>
                      <w:sz w:val="21"/>
                      <w:szCs w:val="21"/>
                    </w:rPr>
                    <w:t>分</w:t>
                  </w:r>
                  <w:r>
                    <w:rPr>
                      <w:rFonts w:hint="default" w:ascii="Times New Roman" w:hAnsi="Times New Roman" w:cs="Times New Roman"/>
                      <w:color w:val="auto"/>
                      <w:sz w:val="21"/>
                      <w:szCs w:val="21"/>
                      <w:lang w:val="en-US" w:eastAsia="zh-CN"/>
                    </w:rPr>
                    <w:t>46.716</w:t>
                  </w:r>
                  <w:r>
                    <w:rPr>
                      <w:rFonts w:hint="default" w:ascii="Times New Roman" w:hAnsi="Times New Roman" w:cs="Times New Roman"/>
                      <w:color w:val="auto"/>
                      <w:sz w:val="21"/>
                      <w:szCs w:val="21"/>
                    </w:rPr>
                    <w:t>秒</w:t>
                  </w:r>
                </w:p>
              </w:tc>
            </w:tr>
            <w:tr w14:paraId="6923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noWrap w:val="0"/>
                  <w:vAlign w:val="center"/>
                </w:tcPr>
                <w:p w14:paraId="5A0508CA">
                  <w:pPr>
                    <w:spacing w:line="312" w:lineRule="exact"/>
                    <w:ind w:left="-50" w:right="-5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主要危险物质及分布</w:t>
                  </w:r>
                </w:p>
              </w:tc>
              <w:tc>
                <w:tcPr>
                  <w:tcW w:w="6544" w:type="dxa"/>
                  <w:noWrap w:val="0"/>
                  <w:vAlign w:val="center"/>
                </w:tcPr>
                <w:p w14:paraId="421A1723">
                  <w:pPr>
                    <w:spacing w:line="312"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bCs/>
                      <w:color w:val="auto"/>
                      <w:spacing w:val="-4"/>
                      <w:sz w:val="21"/>
                      <w:szCs w:val="21"/>
                    </w:rPr>
                    <w:t>本项目主要危险物质为</w:t>
                  </w:r>
                  <w:r>
                    <w:rPr>
                      <w:rFonts w:hint="default" w:ascii="Times New Roman" w:hAnsi="Times New Roman" w:cs="Times New Roman"/>
                      <w:bCs/>
                      <w:color w:val="auto"/>
                      <w:spacing w:val="-4"/>
                      <w:sz w:val="21"/>
                      <w:szCs w:val="21"/>
                      <w:lang w:val="en-US" w:eastAsia="zh-CN"/>
                    </w:rPr>
                    <w:t>液氨、机油、镍粉</w:t>
                  </w:r>
                  <w:r>
                    <w:rPr>
                      <w:rFonts w:hint="eastAsia" w:cs="Times New Roman"/>
                      <w:color w:val="auto"/>
                      <w:spacing w:val="-4"/>
                      <w:sz w:val="21"/>
                      <w:szCs w:val="21"/>
                      <w:lang w:eastAsia="zh-CN"/>
                    </w:rPr>
                    <w:t>。</w:t>
                  </w:r>
                </w:p>
              </w:tc>
            </w:tr>
            <w:tr w14:paraId="757E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noWrap w:val="0"/>
                  <w:vAlign w:val="center"/>
                </w:tcPr>
                <w:p w14:paraId="28158197">
                  <w:pPr>
                    <w:spacing w:line="312" w:lineRule="exact"/>
                    <w:jc w:val="center"/>
                    <w:rPr>
                      <w:rFonts w:hint="default" w:ascii="Times New Roman" w:hAnsi="Times New Roman" w:cs="Times New Roman"/>
                      <w:color w:val="auto"/>
                      <w:sz w:val="21"/>
                      <w:szCs w:val="21"/>
                    </w:rPr>
                  </w:pPr>
                  <w:r>
                    <w:rPr>
                      <w:rFonts w:hint="default" w:ascii="Times New Roman" w:hAnsi="Times New Roman" w:eastAsia="宋体_x0017_页栀.栀." w:cs="Times New Roman"/>
                      <w:color w:val="auto"/>
                      <w:kern w:val="0"/>
                      <w:sz w:val="21"/>
                      <w:szCs w:val="21"/>
                    </w:rPr>
                    <w:t>环境影响途径及危害后果（大气、地表水、地下水等）</w:t>
                  </w:r>
                </w:p>
              </w:tc>
              <w:tc>
                <w:tcPr>
                  <w:tcW w:w="6544" w:type="dxa"/>
                  <w:noWrap w:val="0"/>
                  <w:vAlign w:val="center"/>
                </w:tcPr>
                <w:p w14:paraId="79663325">
                  <w:pPr>
                    <w:tabs>
                      <w:tab w:val="left" w:pos="960"/>
                    </w:tabs>
                    <w:snapToGrid w:val="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本项目液氨贮存设施及氢气管道泄漏，会对大气环境产生影响，故在液氨及氢气输送管道及管件的安装、使用遵守国家压力管道安全管理与监察规定，配备泄漏显示报警和防爆装置。</w:t>
                  </w:r>
                </w:p>
                <w:p w14:paraId="73A0C686">
                  <w:pPr>
                    <w:tabs>
                      <w:tab w:val="left" w:pos="960"/>
                    </w:tabs>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rPr>
                    <w:t>液氨贮罐区设置了自动喷淋系统、事故废液池及围堰等安全措施后，液氨罐泄漏对环境的影响可大大减轻，因此其风险水平在可接受范围</w:t>
                  </w:r>
                  <w:r>
                    <w:rPr>
                      <w:rFonts w:hint="default" w:ascii="Times New Roman" w:hAnsi="Times New Roman" w:cs="Times New Roman"/>
                      <w:color w:val="auto"/>
                      <w:sz w:val="21"/>
                      <w:szCs w:val="21"/>
                      <w:lang w:val="en-US" w:eastAsia="zh-CN"/>
                    </w:rPr>
                    <w:t>。</w:t>
                  </w:r>
                </w:p>
                <w:p w14:paraId="156273E4">
                  <w:pPr>
                    <w:tabs>
                      <w:tab w:val="left" w:pos="960"/>
                    </w:tabs>
                    <w:snapToGrid w:val="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rPr>
                    <w:t>项目车间内设置轴流风机强制通风，保证车间内氢气浓度处于低水平，低于氢气爆炸极限，可大大降低氢气</w:t>
                  </w:r>
                  <w:r>
                    <w:rPr>
                      <w:rFonts w:hint="default" w:ascii="Times New Roman" w:hAnsi="Times New Roman" w:cs="Times New Roman"/>
                      <w:color w:val="auto"/>
                      <w:sz w:val="21"/>
                      <w:szCs w:val="21"/>
                      <w:lang w:val="en-US" w:eastAsia="zh-CN"/>
                    </w:rPr>
                    <w:t>的使用风险，</w:t>
                  </w:r>
                  <w:r>
                    <w:rPr>
                      <w:rFonts w:hint="default" w:ascii="Times New Roman" w:hAnsi="Times New Roman" w:cs="Times New Roman"/>
                      <w:color w:val="auto"/>
                      <w:sz w:val="21"/>
                      <w:szCs w:val="21"/>
                      <w:lang w:val="en-US"/>
                    </w:rPr>
                    <w:t>因此其风险水平在可接受范围</w:t>
                  </w:r>
                  <w:r>
                    <w:rPr>
                      <w:rFonts w:hint="default" w:ascii="Times New Roman" w:hAnsi="Times New Roman" w:cs="Times New Roman"/>
                      <w:color w:val="auto"/>
                      <w:sz w:val="21"/>
                      <w:szCs w:val="21"/>
                      <w:lang w:val="en-US" w:eastAsia="zh-CN"/>
                    </w:rPr>
                    <w:t>。</w:t>
                  </w:r>
                </w:p>
              </w:tc>
            </w:tr>
            <w:tr w14:paraId="4CA3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noWrap w:val="0"/>
                  <w:vAlign w:val="center"/>
                </w:tcPr>
                <w:p w14:paraId="1F588110">
                  <w:pPr>
                    <w:spacing w:line="312" w:lineRule="exact"/>
                    <w:jc w:val="center"/>
                    <w:rPr>
                      <w:rFonts w:hint="default" w:ascii="Times New Roman" w:hAnsi="Times New Roman" w:cs="Times New Roman"/>
                      <w:color w:val="auto"/>
                      <w:sz w:val="21"/>
                      <w:szCs w:val="21"/>
                    </w:rPr>
                  </w:pPr>
                  <w:r>
                    <w:rPr>
                      <w:rFonts w:hint="default" w:ascii="Times New Roman" w:hAnsi="Times New Roman" w:eastAsia="宋体_x0019_á.硈.." w:cs="Times New Roman"/>
                      <w:color w:val="auto"/>
                      <w:kern w:val="0"/>
                      <w:sz w:val="21"/>
                      <w:szCs w:val="21"/>
                    </w:rPr>
                    <w:t>风险防范措施要求</w:t>
                  </w:r>
                </w:p>
              </w:tc>
              <w:tc>
                <w:tcPr>
                  <w:tcW w:w="6544" w:type="dxa"/>
                  <w:noWrap w:val="0"/>
                  <w:vAlign w:val="center"/>
                </w:tcPr>
                <w:p w14:paraId="3B811EA3">
                  <w:pPr>
                    <w:tabs>
                      <w:tab w:val="left" w:pos="960"/>
                    </w:tabs>
                    <w:snapToGrid w:val="0"/>
                    <w:jc w:val="both"/>
                    <w:rPr>
                      <w:rFonts w:hint="default" w:ascii="Times New Roman" w:hAnsi="Times New Roman" w:cs="Times New Roman"/>
                      <w:color w:val="auto"/>
                      <w:sz w:val="21"/>
                      <w:szCs w:val="21"/>
                    </w:rPr>
                  </w:pPr>
                  <w:r>
                    <w:rPr>
                      <w:rFonts w:hint="default" w:ascii="Times New Roman" w:hAnsi="Times New Roman" w:cs="Times New Roman"/>
                      <w:bCs/>
                      <w:color w:val="auto"/>
                      <w:spacing w:val="-4"/>
                      <w:sz w:val="21"/>
                      <w:szCs w:val="21"/>
                    </w:rPr>
                    <w:t>严格按照《危险废物贮存污染控制标准》(GB18597-2001)及2013年修改单设置、《环境保护图形标志－固体废物贮存(处置)场》(GB15562.2-1995)设置贮存场所，</w:t>
                  </w:r>
                  <w:r>
                    <w:rPr>
                      <w:rFonts w:hint="default" w:ascii="Times New Roman" w:hAnsi="Times New Roman" w:cs="Times New Roman"/>
                      <w:color w:val="auto"/>
                      <w:sz w:val="21"/>
                      <w:szCs w:val="21"/>
                    </w:rPr>
                    <w:t>做好固废的及时清运和处置工作，并落实危险废物落实转移联单制度等</w:t>
                  </w:r>
                </w:p>
              </w:tc>
            </w:tr>
            <w:tr w14:paraId="4CBE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2" w:type="dxa"/>
                  <w:gridSpan w:val="2"/>
                  <w:noWrap w:val="0"/>
                  <w:vAlign w:val="center"/>
                </w:tcPr>
                <w:p w14:paraId="18882395">
                  <w:pPr>
                    <w:autoSpaceDE w:val="0"/>
                    <w:autoSpaceDN w:val="0"/>
                    <w:adjustRightInd w:val="0"/>
                    <w:spacing w:line="312" w:lineRule="exact"/>
                    <w:jc w:val="left"/>
                    <w:rPr>
                      <w:rFonts w:hint="default" w:ascii="Times New Roman" w:hAnsi="Times New Roman" w:eastAsia="宋体_x0019_页栀.栀." w:cs="Times New Roman"/>
                      <w:color w:val="auto"/>
                      <w:kern w:val="0"/>
                      <w:sz w:val="21"/>
                      <w:szCs w:val="21"/>
                    </w:rPr>
                  </w:pPr>
                  <w:r>
                    <w:rPr>
                      <w:rFonts w:hint="default" w:ascii="Times New Roman" w:hAnsi="Times New Roman" w:eastAsia="宋体_x0019_页栀.栀." w:cs="Times New Roman"/>
                      <w:color w:val="auto"/>
                      <w:kern w:val="0"/>
                      <w:sz w:val="21"/>
                      <w:szCs w:val="21"/>
                    </w:rPr>
                    <w:t>填表说明（列出项目相关信息及评价说明）：</w:t>
                  </w:r>
                </w:p>
                <w:p w14:paraId="58C6AABD">
                  <w:pPr>
                    <w:keepNext w:val="0"/>
                    <w:keepLines w:val="0"/>
                    <w:pageBreakBefore w:val="0"/>
                    <w:widowControl w:val="0"/>
                    <w:kinsoku/>
                    <w:wordWrap/>
                    <w:overflowPunct/>
                    <w:topLinePunct w:val="0"/>
                    <w:autoSpaceDE/>
                    <w:autoSpaceDN/>
                    <w:bidi w:val="0"/>
                    <w:adjustRightInd/>
                    <w:snapToGrid/>
                    <w:spacing w:line="312" w:lineRule="exact"/>
                    <w:ind w:firstLine="404" w:firstLineChars="200"/>
                    <w:textAlignment w:val="auto"/>
                    <w:rPr>
                      <w:rFonts w:hint="eastAsia" w:ascii="Times New Roman" w:hAnsi="Times New Roman" w:eastAsia="宋体" w:cs="Times New Roman"/>
                      <w:color w:val="auto"/>
                      <w:sz w:val="21"/>
                      <w:szCs w:val="21"/>
                      <w:lang w:eastAsia="zh-CN"/>
                    </w:rPr>
                  </w:pPr>
                  <w:r>
                    <w:rPr>
                      <w:rFonts w:hint="default" w:ascii="Times New Roman" w:hAnsi="Times New Roman" w:cs="Times New Roman"/>
                      <w:bCs/>
                      <w:color w:val="auto"/>
                      <w:spacing w:val="-4"/>
                      <w:sz w:val="21"/>
                      <w:szCs w:val="21"/>
                    </w:rPr>
                    <w:t>本项目危险废物存在一定的危险性，由于Q＜1，判定本项目环境风险潜势为Ⅰ，根据评价等级划分依据，本项目评价工作等级为简单分析。本项目采取完善的危险废物管理制度，项目建设、运行过程中环境风险可接受</w:t>
                  </w:r>
                  <w:r>
                    <w:rPr>
                      <w:rFonts w:hint="eastAsia" w:ascii="Times New Roman" w:hAnsi="Times New Roman" w:cs="Times New Roman"/>
                      <w:bCs/>
                      <w:color w:val="auto"/>
                      <w:spacing w:val="-4"/>
                      <w:sz w:val="21"/>
                      <w:szCs w:val="21"/>
                      <w:lang w:eastAsia="zh-CN"/>
                    </w:rPr>
                    <w:t>。</w:t>
                  </w:r>
                </w:p>
              </w:tc>
            </w:tr>
          </w:tbl>
          <w:p w14:paraId="77CEDFD6">
            <w:pPr>
              <w:keepNext w:val="0"/>
              <w:keepLines w:val="0"/>
              <w:pageBreakBefore w:val="0"/>
              <w:widowControl w:val="0"/>
              <w:tabs>
                <w:tab w:val="left" w:pos="3323"/>
              </w:tabs>
              <w:kinsoku/>
              <w:wordWrap/>
              <w:overflowPunct/>
              <w:topLinePunct w:val="0"/>
              <w:autoSpaceDE/>
              <w:autoSpaceDN/>
              <w:bidi w:val="0"/>
              <w:adjustRightInd/>
              <w:snapToGrid w:val="0"/>
              <w:spacing w:before="157" w:beforeLines="50" w:line="360" w:lineRule="auto"/>
              <w:textAlignment w:val="auto"/>
              <w:rPr>
                <w:rFonts w:hint="eastAsia" w:cs="Times New Roman"/>
                <w:b/>
                <w:bCs/>
                <w:snapToGrid/>
                <w:color w:val="auto"/>
                <w:spacing w:val="0"/>
                <w:kern w:val="0"/>
                <w:position w:val="0"/>
                <w:sz w:val="24"/>
                <w:szCs w:val="24"/>
                <w:highlight w:val="none"/>
                <w:lang w:val="en-US" w:eastAsia="zh-CN"/>
              </w:rPr>
            </w:pPr>
          </w:p>
          <w:p w14:paraId="4E5E2DFE">
            <w:pPr>
              <w:keepNext w:val="0"/>
              <w:keepLines w:val="0"/>
              <w:pageBreakBefore w:val="0"/>
              <w:widowControl w:val="0"/>
              <w:tabs>
                <w:tab w:val="left" w:pos="3323"/>
              </w:tabs>
              <w:kinsoku/>
              <w:wordWrap/>
              <w:overflowPunct/>
              <w:topLinePunct w:val="0"/>
              <w:autoSpaceDE/>
              <w:autoSpaceDN/>
              <w:bidi w:val="0"/>
              <w:adjustRightInd/>
              <w:snapToGrid w:val="0"/>
              <w:spacing w:before="157" w:beforeLines="50" w:line="360" w:lineRule="auto"/>
              <w:textAlignment w:val="auto"/>
              <w:rPr>
                <w:rFonts w:hint="eastAsia" w:cs="Times New Roman"/>
                <w:b/>
                <w:bCs/>
                <w:snapToGrid/>
                <w:color w:val="auto"/>
                <w:spacing w:val="0"/>
                <w:kern w:val="0"/>
                <w:position w:val="0"/>
                <w:sz w:val="24"/>
                <w:szCs w:val="24"/>
                <w:highlight w:val="none"/>
                <w:lang w:val="en-US" w:eastAsia="zh-CN"/>
              </w:rPr>
            </w:pPr>
          </w:p>
          <w:p w14:paraId="2D585818">
            <w:pPr>
              <w:keepNext w:val="0"/>
              <w:keepLines w:val="0"/>
              <w:pageBreakBefore w:val="0"/>
              <w:widowControl w:val="0"/>
              <w:tabs>
                <w:tab w:val="left" w:pos="3323"/>
              </w:tabs>
              <w:kinsoku/>
              <w:wordWrap/>
              <w:overflowPunct/>
              <w:topLinePunct w:val="0"/>
              <w:autoSpaceDE/>
              <w:autoSpaceDN/>
              <w:bidi w:val="0"/>
              <w:adjustRightInd/>
              <w:snapToGrid w:val="0"/>
              <w:spacing w:before="157" w:beforeLines="50" w:line="360" w:lineRule="auto"/>
              <w:textAlignment w:val="auto"/>
              <w:rPr>
                <w:rFonts w:hint="eastAsia" w:cs="Times New Roman"/>
                <w:b/>
                <w:bCs/>
                <w:snapToGrid/>
                <w:color w:val="auto"/>
                <w:spacing w:val="0"/>
                <w:kern w:val="0"/>
                <w:position w:val="0"/>
                <w:sz w:val="24"/>
                <w:szCs w:val="24"/>
                <w:highlight w:val="none"/>
                <w:lang w:val="en-US" w:eastAsia="zh-CN"/>
              </w:rPr>
            </w:pPr>
          </w:p>
          <w:p w14:paraId="436FB3CF">
            <w:pPr>
              <w:keepNext w:val="0"/>
              <w:keepLines w:val="0"/>
              <w:pageBreakBefore w:val="0"/>
              <w:widowControl w:val="0"/>
              <w:tabs>
                <w:tab w:val="left" w:pos="3323"/>
              </w:tabs>
              <w:kinsoku/>
              <w:wordWrap/>
              <w:overflowPunct/>
              <w:topLinePunct w:val="0"/>
              <w:autoSpaceDE/>
              <w:autoSpaceDN/>
              <w:bidi w:val="0"/>
              <w:adjustRightInd/>
              <w:snapToGrid w:val="0"/>
              <w:spacing w:before="157" w:beforeLines="50" w:line="360" w:lineRule="auto"/>
              <w:textAlignment w:val="auto"/>
              <w:rPr>
                <w:rFonts w:hint="eastAsia" w:cs="Times New Roman"/>
                <w:b/>
                <w:bCs/>
                <w:snapToGrid/>
                <w:color w:val="auto"/>
                <w:spacing w:val="0"/>
                <w:kern w:val="0"/>
                <w:position w:val="0"/>
                <w:sz w:val="24"/>
                <w:szCs w:val="24"/>
                <w:highlight w:val="none"/>
                <w:lang w:val="en-US" w:eastAsia="zh-CN"/>
              </w:rPr>
            </w:pPr>
          </w:p>
          <w:p w14:paraId="3E3F53D6">
            <w:pPr>
              <w:keepNext w:val="0"/>
              <w:keepLines w:val="0"/>
              <w:pageBreakBefore w:val="0"/>
              <w:widowControl w:val="0"/>
              <w:tabs>
                <w:tab w:val="left" w:pos="3323"/>
              </w:tabs>
              <w:kinsoku/>
              <w:wordWrap/>
              <w:overflowPunct/>
              <w:topLinePunct w:val="0"/>
              <w:autoSpaceDE/>
              <w:autoSpaceDN/>
              <w:bidi w:val="0"/>
              <w:adjustRightInd/>
              <w:snapToGrid w:val="0"/>
              <w:spacing w:before="157" w:beforeLines="50" w:line="360" w:lineRule="auto"/>
              <w:textAlignment w:val="auto"/>
              <w:rPr>
                <w:rFonts w:hint="eastAsia" w:cs="Times New Roman"/>
                <w:b/>
                <w:bCs/>
                <w:snapToGrid/>
                <w:color w:val="auto"/>
                <w:spacing w:val="0"/>
                <w:kern w:val="0"/>
                <w:position w:val="0"/>
                <w:sz w:val="24"/>
                <w:szCs w:val="24"/>
                <w:highlight w:val="none"/>
                <w:lang w:val="en-US" w:eastAsia="zh-CN"/>
              </w:rPr>
            </w:pPr>
          </w:p>
          <w:p w14:paraId="108B6B08">
            <w:pPr>
              <w:keepNext w:val="0"/>
              <w:keepLines w:val="0"/>
              <w:pageBreakBefore w:val="0"/>
              <w:widowControl w:val="0"/>
              <w:tabs>
                <w:tab w:val="left" w:pos="3323"/>
              </w:tabs>
              <w:kinsoku/>
              <w:wordWrap/>
              <w:overflowPunct/>
              <w:topLinePunct w:val="0"/>
              <w:autoSpaceDE/>
              <w:autoSpaceDN/>
              <w:bidi w:val="0"/>
              <w:adjustRightInd/>
              <w:snapToGrid w:val="0"/>
              <w:spacing w:before="157" w:beforeLines="50" w:line="360" w:lineRule="auto"/>
              <w:textAlignment w:val="auto"/>
              <w:rPr>
                <w:rFonts w:hint="eastAsia" w:cs="Times New Roman"/>
                <w:b/>
                <w:bCs/>
                <w:snapToGrid/>
                <w:color w:val="auto"/>
                <w:spacing w:val="0"/>
                <w:kern w:val="0"/>
                <w:position w:val="0"/>
                <w:sz w:val="24"/>
                <w:szCs w:val="24"/>
                <w:highlight w:val="none"/>
                <w:lang w:val="en-US" w:eastAsia="zh-CN"/>
              </w:rPr>
            </w:pPr>
          </w:p>
          <w:p w14:paraId="5FD717B8">
            <w:pPr>
              <w:keepNext w:val="0"/>
              <w:keepLines w:val="0"/>
              <w:pageBreakBefore w:val="0"/>
              <w:widowControl w:val="0"/>
              <w:tabs>
                <w:tab w:val="left" w:pos="3323"/>
              </w:tabs>
              <w:kinsoku/>
              <w:wordWrap/>
              <w:overflowPunct/>
              <w:topLinePunct w:val="0"/>
              <w:autoSpaceDE/>
              <w:autoSpaceDN/>
              <w:bidi w:val="0"/>
              <w:adjustRightInd/>
              <w:snapToGrid w:val="0"/>
              <w:spacing w:before="157" w:beforeLines="50" w:line="360" w:lineRule="auto"/>
              <w:textAlignment w:val="auto"/>
              <w:rPr>
                <w:rFonts w:hint="eastAsia" w:cs="Times New Roman"/>
                <w:b/>
                <w:bCs/>
                <w:snapToGrid/>
                <w:color w:val="auto"/>
                <w:spacing w:val="0"/>
                <w:kern w:val="0"/>
                <w:position w:val="0"/>
                <w:sz w:val="24"/>
                <w:szCs w:val="24"/>
                <w:highlight w:val="none"/>
                <w:lang w:val="en-US" w:eastAsia="zh-CN"/>
              </w:rPr>
            </w:pPr>
          </w:p>
          <w:p w14:paraId="78D45353">
            <w:pPr>
              <w:keepNext w:val="0"/>
              <w:keepLines w:val="0"/>
              <w:pageBreakBefore w:val="0"/>
              <w:widowControl w:val="0"/>
              <w:tabs>
                <w:tab w:val="left" w:pos="3323"/>
              </w:tabs>
              <w:kinsoku/>
              <w:wordWrap/>
              <w:overflowPunct/>
              <w:topLinePunct w:val="0"/>
              <w:autoSpaceDE/>
              <w:autoSpaceDN/>
              <w:bidi w:val="0"/>
              <w:adjustRightInd/>
              <w:snapToGrid w:val="0"/>
              <w:spacing w:before="157" w:beforeLines="50" w:line="360" w:lineRule="auto"/>
              <w:textAlignment w:val="auto"/>
              <w:rPr>
                <w:rFonts w:hint="eastAsia" w:cs="Times New Roman"/>
                <w:b/>
                <w:bCs/>
                <w:snapToGrid/>
                <w:color w:val="auto"/>
                <w:spacing w:val="0"/>
                <w:kern w:val="0"/>
                <w:position w:val="0"/>
                <w:sz w:val="24"/>
                <w:szCs w:val="24"/>
                <w:highlight w:val="none"/>
                <w:lang w:val="en-US" w:eastAsia="zh-CN"/>
              </w:rPr>
            </w:pPr>
          </w:p>
          <w:p w14:paraId="1AFB80CE">
            <w:pPr>
              <w:keepNext w:val="0"/>
              <w:keepLines w:val="0"/>
              <w:pageBreakBefore w:val="0"/>
              <w:widowControl w:val="0"/>
              <w:tabs>
                <w:tab w:val="left" w:pos="3323"/>
              </w:tabs>
              <w:kinsoku/>
              <w:wordWrap/>
              <w:overflowPunct/>
              <w:topLinePunct w:val="0"/>
              <w:autoSpaceDE/>
              <w:autoSpaceDN/>
              <w:bidi w:val="0"/>
              <w:adjustRightInd/>
              <w:snapToGrid w:val="0"/>
              <w:spacing w:before="157" w:beforeLines="50" w:line="360" w:lineRule="auto"/>
              <w:textAlignment w:val="auto"/>
              <w:rPr>
                <w:rFonts w:hint="eastAsia" w:cs="Times New Roman"/>
                <w:b/>
                <w:bCs/>
                <w:snapToGrid/>
                <w:color w:val="auto"/>
                <w:spacing w:val="0"/>
                <w:kern w:val="0"/>
                <w:position w:val="0"/>
                <w:sz w:val="24"/>
                <w:szCs w:val="24"/>
                <w:highlight w:val="none"/>
                <w:lang w:val="en-US" w:eastAsia="zh-CN"/>
              </w:rPr>
            </w:pPr>
          </w:p>
          <w:p w14:paraId="6E5DE15B">
            <w:pPr>
              <w:keepNext w:val="0"/>
              <w:keepLines w:val="0"/>
              <w:pageBreakBefore w:val="0"/>
              <w:widowControl w:val="0"/>
              <w:tabs>
                <w:tab w:val="left" w:pos="3323"/>
              </w:tabs>
              <w:kinsoku/>
              <w:wordWrap/>
              <w:overflowPunct/>
              <w:topLinePunct w:val="0"/>
              <w:autoSpaceDE/>
              <w:autoSpaceDN/>
              <w:bidi w:val="0"/>
              <w:adjustRightInd/>
              <w:snapToGrid w:val="0"/>
              <w:spacing w:before="157" w:beforeLines="50" w:line="360" w:lineRule="auto"/>
              <w:textAlignment w:val="auto"/>
              <w:rPr>
                <w:rFonts w:hint="eastAsia" w:cs="Times New Roman"/>
                <w:b/>
                <w:bCs/>
                <w:snapToGrid/>
                <w:color w:val="auto"/>
                <w:spacing w:val="0"/>
                <w:kern w:val="0"/>
                <w:position w:val="0"/>
                <w:sz w:val="24"/>
                <w:szCs w:val="24"/>
                <w:highlight w:val="none"/>
                <w:lang w:val="en-US" w:eastAsia="zh-CN"/>
              </w:rPr>
            </w:pPr>
          </w:p>
          <w:p w14:paraId="14F9D35B">
            <w:pPr>
              <w:keepNext w:val="0"/>
              <w:keepLines w:val="0"/>
              <w:pageBreakBefore w:val="0"/>
              <w:widowControl w:val="0"/>
              <w:tabs>
                <w:tab w:val="left" w:pos="3323"/>
              </w:tabs>
              <w:kinsoku/>
              <w:wordWrap/>
              <w:overflowPunct/>
              <w:topLinePunct w:val="0"/>
              <w:autoSpaceDE/>
              <w:autoSpaceDN/>
              <w:bidi w:val="0"/>
              <w:adjustRightInd/>
              <w:snapToGrid w:val="0"/>
              <w:spacing w:before="157" w:beforeLines="50" w:line="360" w:lineRule="auto"/>
              <w:textAlignment w:val="auto"/>
              <w:rPr>
                <w:rFonts w:hint="eastAsia" w:cs="Times New Roman"/>
                <w:b/>
                <w:bCs/>
                <w:snapToGrid/>
                <w:color w:val="auto"/>
                <w:spacing w:val="0"/>
                <w:kern w:val="0"/>
                <w:position w:val="0"/>
                <w:sz w:val="24"/>
                <w:szCs w:val="24"/>
                <w:highlight w:val="none"/>
                <w:lang w:val="en-US" w:eastAsia="zh-CN"/>
              </w:rPr>
            </w:pPr>
          </w:p>
          <w:p w14:paraId="117F1F5A">
            <w:pPr>
              <w:keepNext w:val="0"/>
              <w:keepLines w:val="0"/>
              <w:pageBreakBefore w:val="0"/>
              <w:widowControl w:val="0"/>
              <w:tabs>
                <w:tab w:val="left" w:pos="3323"/>
              </w:tabs>
              <w:kinsoku/>
              <w:wordWrap/>
              <w:overflowPunct/>
              <w:topLinePunct w:val="0"/>
              <w:autoSpaceDE/>
              <w:autoSpaceDN/>
              <w:bidi w:val="0"/>
              <w:adjustRightInd/>
              <w:snapToGrid w:val="0"/>
              <w:spacing w:before="157" w:beforeLines="50" w:line="360" w:lineRule="auto"/>
              <w:textAlignment w:val="auto"/>
              <w:rPr>
                <w:rFonts w:hint="eastAsia" w:cs="Times New Roman"/>
                <w:b/>
                <w:bCs/>
                <w:snapToGrid/>
                <w:color w:val="auto"/>
                <w:spacing w:val="0"/>
                <w:kern w:val="0"/>
                <w:position w:val="0"/>
                <w:sz w:val="24"/>
                <w:szCs w:val="24"/>
                <w:highlight w:val="none"/>
                <w:lang w:val="en-US" w:eastAsia="zh-CN"/>
              </w:rPr>
            </w:pPr>
          </w:p>
          <w:p w14:paraId="21A4E184">
            <w:pPr>
              <w:keepNext w:val="0"/>
              <w:keepLines w:val="0"/>
              <w:pageBreakBefore w:val="0"/>
              <w:widowControl w:val="0"/>
              <w:tabs>
                <w:tab w:val="left" w:pos="3323"/>
              </w:tabs>
              <w:kinsoku/>
              <w:wordWrap/>
              <w:overflowPunct/>
              <w:topLinePunct w:val="0"/>
              <w:autoSpaceDE/>
              <w:autoSpaceDN/>
              <w:bidi w:val="0"/>
              <w:adjustRightInd/>
              <w:snapToGrid w:val="0"/>
              <w:spacing w:before="157" w:beforeLines="50" w:line="360" w:lineRule="auto"/>
              <w:textAlignment w:val="auto"/>
              <w:rPr>
                <w:rFonts w:hint="eastAsia" w:cs="Times New Roman"/>
                <w:b/>
                <w:bCs/>
                <w:snapToGrid/>
                <w:color w:val="auto"/>
                <w:spacing w:val="0"/>
                <w:kern w:val="0"/>
                <w:position w:val="0"/>
                <w:sz w:val="24"/>
                <w:szCs w:val="24"/>
                <w:highlight w:val="none"/>
                <w:lang w:val="en-US" w:eastAsia="zh-CN"/>
              </w:rPr>
            </w:pPr>
          </w:p>
          <w:p w14:paraId="2E551063">
            <w:pPr>
              <w:keepNext w:val="0"/>
              <w:keepLines w:val="0"/>
              <w:pageBreakBefore w:val="0"/>
              <w:widowControl w:val="0"/>
              <w:tabs>
                <w:tab w:val="left" w:pos="3323"/>
              </w:tabs>
              <w:kinsoku/>
              <w:wordWrap/>
              <w:overflowPunct/>
              <w:topLinePunct w:val="0"/>
              <w:autoSpaceDE/>
              <w:autoSpaceDN/>
              <w:bidi w:val="0"/>
              <w:adjustRightInd/>
              <w:snapToGrid w:val="0"/>
              <w:spacing w:before="157" w:beforeLines="50" w:line="360" w:lineRule="auto"/>
              <w:textAlignment w:val="auto"/>
              <w:rPr>
                <w:rFonts w:hint="eastAsia" w:cs="Times New Roman"/>
                <w:b/>
                <w:bCs/>
                <w:snapToGrid/>
                <w:color w:val="auto"/>
                <w:spacing w:val="0"/>
                <w:kern w:val="0"/>
                <w:position w:val="0"/>
                <w:sz w:val="24"/>
                <w:szCs w:val="24"/>
                <w:highlight w:val="none"/>
                <w:lang w:val="en-US" w:eastAsia="zh-CN"/>
              </w:rPr>
            </w:pPr>
          </w:p>
          <w:p w14:paraId="10CB8036">
            <w:pPr>
              <w:keepNext w:val="0"/>
              <w:keepLines w:val="0"/>
              <w:pageBreakBefore w:val="0"/>
              <w:widowControl w:val="0"/>
              <w:tabs>
                <w:tab w:val="left" w:pos="3323"/>
              </w:tabs>
              <w:kinsoku/>
              <w:wordWrap/>
              <w:overflowPunct/>
              <w:topLinePunct w:val="0"/>
              <w:autoSpaceDE/>
              <w:autoSpaceDN/>
              <w:bidi w:val="0"/>
              <w:adjustRightInd/>
              <w:snapToGrid w:val="0"/>
              <w:spacing w:before="157" w:beforeLines="50" w:line="360" w:lineRule="auto"/>
              <w:textAlignment w:val="auto"/>
              <w:rPr>
                <w:rFonts w:hint="eastAsia" w:ascii="Times New Roman" w:hAnsi="Times New Roman" w:eastAsia="宋体" w:cs="Times New Roman"/>
                <w:b/>
                <w:bCs/>
                <w:snapToGrid/>
                <w:color w:val="auto"/>
                <w:spacing w:val="0"/>
                <w:kern w:val="0"/>
                <w:position w:val="0"/>
                <w:sz w:val="24"/>
                <w:szCs w:val="24"/>
                <w:highlight w:val="none"/>
                <w:lang w:eastAsia="zh-CN"/>
              </w:rPr>
            </w:pPr>
            <w:r>
              <w:rPr>
                <w:rFonts w:hint="eastAsia" w:cs="Times New Roman"/>
                <w:b/>
                <w:bCs/>
                <w:snapToGrid/>
                <w:color w:val="auto"/>
                <w:spacing w:val="0"/>
                <w:kern w:val="0"/>
                <w:position w:val="0"/>
                <w:sz w:val="24"/>
                <w:szCs w:val="24"/>
                <w:highlight w:val="none"/>
                <w:lang w:val="en-US" w:eastAsia="zh-CN"/>
              </w:rPr>
              <w:t>7、</w:t>
            </w:r>
            <w:r>
              <w:rPr>
                <w:rFonts w:hint="default" w:ascii="Times New Roman" w:hAnsi="Times New Roman" w:eastAsia="宋体" w:cs="Times New Roman"/>
                <w:b/>
                <w:bCs/>
                <w:snapToGrid/>
                <w:color w:val="auto"/>
                <w:spacing w:val="0"/>
                <w:kern w:val="0"/>
                <w:position w:val="0"/>
                <w:sz w:val="24"/>
                <w:szCs w:val="24"/>
                <w:highlight w:val="none"/>
              </w:rPr>
              <w:t>环保投资估算</w:t>
            </w:r>
          </w:p>
          <w:p w14:paraId="31857F32">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b/>
                <w:snapToGrid/>
                <w:color w:val="auto"/>
                <w:spacing w:val="0"/>
                <w:kern w:val="0"/>
                <w:position w:val="0"/>
                <w:sz w:val="24"/>
                <w:szCs w:val="24"/>
                <w:highlight w:val="none"/>
                <w:lang w:val="zh-CN"/>
              </w:rPr>
            </w:pPr>
            <w:r>
              <w:rPr>
                <w:rFonts w:hint="default" w:ascii="Times New Roman" w:hAnsi="Times New Roman" w:eastAsia="宋体" w:cs="Times New Roman"/>
                <w:bCs/>
                <w:snapToGrid/>
                <w:color w:val="auto"/>
                <w:spacing w:val="0"/>
                <w:kern w:val="0"/>
                <w:position w:val="0"/>
                <w:sz w:val="24"/>
                <w:szCs w:val="24"/>
                <w:highlight w:val="none"/>
              </w:rPr>
              <w:t>项目总投资</w:t>
            </w:r>
            <w:r>
              <w:rPr>
                <w:rFonts w:hint="eastAsia" w:cs="Times New Roman"/>
                <w:bCs/>
                <w:snapToGrid/>
                <w:color w:val="auto"/>
                <w:spacing w:val="0"/>
                <w:kern w:val="0"/>
                <w:position w:val="0"/>
                <w:sz w:val="24"/>
                <w:szCs w:val="24"/>
                <w:highlight w:val="none"/>
                <w:lang w:val="en-US" w:eastAsia="zh-CN"/>
              </w:rPr>
              <w:t>1000</w:t>
            </w:r>
            <w:r>
              <w:rPr>
                <w:rFonts w:hint="default" w:ascii="Times New Roman" w:hAnsi="Times New Roman" w:eastAsia="宋体" w:cs="Times New Roman"/>
                <w:bCs/>
                <w:snapToGrid/>
                <w:color w:val="auto"/>
                <w:spacing w:val="0"/>
                <w:kern w:val="0"/>
                <w:position w:val="0"/>
                <w:sz w:val="24"/>
                <w:szCs w:val="24"/>
                <w:highlight w:val="none"/>
              </w:rPr>
              <w:t>万元，其中环保投资</w:t>
            </w:r>
            <w:r>
              <w:rPr>
                <w:rFonts w:hint="eastAsia" w:cs="Times New Roman"/>
                <w:bCs/>
                <w:snapToGrid/>
                <w:color w:val="auto"/>
                <w:spacing w:val="0"/>
                <w:kern w:val="0"/>
                <w:position w:val="0"/>
                <w:sz w:val="24"/>
                <w:szCs w:val="24"/>
                <w:highlight w:val="none"/>
                <w:lang w:val="en-US" w:eastAsia="zh-CN"/>
              </w:rPr>
              <w:t>30</w:t>
            </w:r>
            <w:r>
              <w:rPr>
                <w:rFonts w:hint="default" w:ascii="Times New Roman" w:hAnsi="Times New Roman" w:eastAsia="宋体" w:cs="Times New Roman"/>
                <w:bCs/>
                <w:snapToGrid/>
                <w:color w:val="auto"/>
                <w:spacing w:val="0"/>
                <w:kern w:val="0"/>
                <w:position w:val="0"/>
                <w:sz w:val="24"/>
                <w:szCs w:val="24"/>
                <w:highlight w:val="none"/>
              </w:rPr>
              <w:t>万元</w:t>
            </w:r>
            <w:r>
              <w:rPr>
                <w:rFonts w:hint="default" w:ascii="Times New Roman" w:hAnsi="Times New Roman" w:eastAsia="宋体" w:cs="Times New Roman"/>
                <w:bCs/>
                <w:snapToGrid/>
                <w:color w:val="auto"/>
                <w:spacing w:val="0"/>
                <w:kern w:val="0"/>
                <w:position w:val="0"/>
                <w:sz w:val="24"/>
                <w:szCs w:val="24"/>
                <w:highlight w:val="none"/>
                <w:lang w:val="en-US" w:eastAsia="zh-CN"/>
              </w:rPr>
              <w:t>，</w:t>
            </w:r>
            <w:r>
              <w:rPr>
                <w:rFonts w:hint="default" w:ascii="Times New Roman" w:hAnsi="Times New Roman" w:eastAsia="宋体" w:cs="Times New Roman"/>
                <w:bCs/>
                <w:snapToGrid/>
                <w:color w:val="auto"/>
                <w:spacing w:val="0"/>
                <w:kern w:val="0"/>
                <w:position w:val="0"/>
                <w:sz w:val="24"/>
                <w:szCs w:val="24"/>
                <w:highlight w:val="none"/>
              </w:rPr>
              <w:t>约占总投资</w:t>
            </w:r>
            <w:r>
              <w:rPr>
                <w:rFonts w:hint="eastAsia" w:cs="Times New Roman"/>
                <w:bCs/>
                <w:snapToGrid/>
                <w:color w:val="auto"/>
                <w:spacing w:val="0"/>
                <w:kern w:val="0"/>
                <w:position w:val="0"/>
                <w:sz w:val="24"/>
                <w:szCs w:val="24"/>
                <w:highlight w:val="none"/>
                <w:lang w:val="en-US" w:eastAsia="zh-CN"/>
              </w:rPr>
              <w:t>3</w:t>
            </w:r>
            <w:r>
              <w:rPr>
                <w:rFonts w:hint="default" w:ascii="Times New Roman" w:hAnsi="Times New Roman" w:eastAsia="宋体" w:cs="Times New Roman"/>
                <w:bCs/>
                <w:snapToGrid/>
                <w:color w:val="auto"/>
                <w:spacing w:val="0"/>
                <w:kern w:val="0"/>
                <w:position w:val="0"/>
                <w:sz w:val="24"/>
                <w:szCs w:val="24"/>
                <w:highlight w:val="none"/>
              </w:rPr>
              <w:t>%，主要用于废水、废气、固体废物和噪声污染的治理。</w:t>
            </w:r>
          </w:p>
          <w:p w14:paraId="37FDABAE">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b/>
                <w:snapToGrid/>
                <w:color w:val="auto"/>
                <w:spacing w:val="0"/>
                <w:kern w:val="0"/>
                <w:position w:val="0"/>
                <w:sz w:val="24"/>
                <w:szCs w:val="24"/>
                <w:highlight w:val="none"/>
                <w:lang w:val="zh-CN"/>
              </w:rPr>
            </w:pPr>
            <w:r>
              <w:rPr>
                <w:rFonts w:hint="default" w:ascii="Times New Roman" w:hAnsi="Times New Roman" w:eastAsia="宋体" w:cs="Times New Roman"/>
                <w:b/>
                <w:snapToGrid/>
                <w:color w:val="auto"/>
                <w:spacing w:val="0"/>
                <w:kern w:val="0"/>
                <w:position w:val="0"/>
                <w:sz w:val="24"/>
                <w:szCs w:val="24"/>
                <w:highlight w:val="none"/>
                <w:lang w:val="zh-CN"/>
              </w:rPr>
              <w:t>表</w:t>
            </w:r>
            <w:r>
              <w:rPr>
                <w:rFonts w:hint="eastAsia" w:ascii="Times New Roman" w:hAnsi="Times New Roman" w:eastAsia="宋体" w:cs="Times New Roman"/>
                <w:b/>
                <w:snapToGrid/>
                <w:color w:val="auto"/>
                <w:spacing w:val="0"/>
                <w:kern w:val="0"/>
                <w:position w:val="0"/>
                <w:sz w:val="24"/>
                <w:szCs w:val="24"/>
                <w:highlight w:val="none"/>
                <w:lang w:val="en-US" w:eastAsia="zh-CN"/>
              </w:rPr>
              <w:t>4</w:t>
            </w:r>
            <w:r>
              <w:rPr>
                <w:rFonts w:hint="eastAsia" w:cs="Times New Roman"/>
                <w:b/>
                <w:snapToGrid/>
                <w:color w:val="auto"/>
                <w:spacing w:val="0"/>
                <w:kern w:val="0"/>
                <w:position w:val="0"/>
                <w:sz w:val="24"/>
                <w:szCs w:val="24"/>
                <w:highlight w:val="none"/>
                <w:lang w:val="en-US" w:eastAsia="zh-CN"/>
              </w:rPr>
              <w:t xml:space="preserve">.18 </w:t>
            </w:r>
            <w:r>
              <w:rPr>
                <w:rFonts w:hint="default" w:ascii="Times New Roman" w:hAnsi="Times New Roman" w:eastAsia="宋体" w:cs="Times New Roman"/>
                <w:b/>
                <w:snapToGrid/>
                <w:color w:val="auto"/>
                <w:spacing w:val="0"/>
                <w:kern w:val="0"/>
                <w:position w:val="0"/>
                <w:sz w:val="24"/>
                <w:szCs w:val="24"/>
                <w:highlight w:val="none"/>
              </w:rPr>
              <w:t xml:space="preserve"> </w:t>
            </w:r>
            <w:r>
              <w:rPr>
                <w:rFonts w:hint="default" w:ascii="Times New Roman" w:hAnsi="Times New Roman" w:eastAsia="宋体" w:cs="Times New Roman"/>
                <w:b/>
                <w:snapToGrid/>
                <w:color w:val="auto"/>
                <w:spacing w:val="0"/>
                <w:kern w:val="0"/>
                <w:position w:val="0"/>
                <w:sz w:val="24"/>
                <w:szCs w:val="24"/>
                <w:highlight w:val="none"/>
                <w:lang w:val="zh-CN"/>
              </w:rPr>
              <w:t>项目环保防治措施及投资估算表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2002"/>
              <w:gridCol w:w="3825"/>
              <w:gridCol w:w="1374"/>
            </w:tblGrid>
            <w:tr w14:paraId="6839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1" w:type="dxa"/>
                  <w:noWrap w:val="0"/>
                  <w:vAlign w:val="center"/>
                </w:tcPr>
                <w:p w14:paraId="029E100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污染类别</w:t>
                  </w:r>
                </w:p>
              </w:tc>
              <w:tc>
                <w:tcPr>
                  <w:tcW w:w="2002" w:type="dxa"/>
                  <w:noWrap w:val="0"/>
                  <w:vAlign w:val="center"/>
                </w:tcPr>
                <w:p w14:paraId="33F6BF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污染防治对象</w:t>
                  </w:r>
                </w:p>
              </w:tc>
              <w:tc>
                <w:tcPr>
                  <w:tcW w:w="3825" w:type="dxa"/>
                  <w:noWrap w:val="0"/>
                  <w:vAlign w:val="center"/>
                </w:tcPr>
                <w:p w14:paraId="0FC25A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治理措施</w:t>
                  </w:r>
                </w:p>
              </w:tc>
              <w:tc>
                <w:tcPr>
                  <w:tcW w:w="1374" w:type="dxa"/>
                  <w:noWrap w:val="0"/>
                  <w:vAlign w:val="center"/>
                </w:tcPr>
                <w:p w14:paraId="013120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投资估算（万元）</w:t>
                  </w:r>
                </w:p>
              </w:tc>
            </w:tr>
            <w:tr w14:paraId="72E5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1" w:type="dxa"/>
                  <w:noWrap w:val="0"/>
                  <w:vAlign w:val="center"/>
                </w:tcPr>
                <w:p w14:paraId="7CF0FC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eastAsia="zh-CN"/>
                    </w:rPr>
                  </w:pPr>
                  <w:r>
                    <w:rPr>
                      <w:rFonts w:hint="default" w:ascii="Times New Roman" w:hAnsi="Times New Roman" w:eastAsia="宋体" w:cs="Times New Roman"/>
                      <w:b w:val="0"/>
                      <w:bCs w:val="0"/>
                      <w:snapToGrid/>
                      <w:color w:val="auto"/>
                      <w:spacing w:val="0"/>
                      <w:kern w:val="0"/>
                      <w:position w:val="0"/>
                      <w:sz w:val="21"/>
                      <w:szCs w:val="21"/>
                      <w:highlight w:val="none"/>
                      <w:lang w:eastAsia="zh-CN"/>
                    </w:rPr>
                    <w:t>废水</w:t>
                  </w:r>
                </w:p>
              </w:tc>
              <w:tc>
                <w:tcPr>
                  <w:tcW w:w="2002" w:type="dxa"/>
                  <w:noWrap w:val="0"/>
                  <w:vAlign w:val="center"/>
                </w:tcPr>
                <w:p w14:paraId="420F2B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eastAsia="zh-CN"/>
                    </w:rPr>
                  </w:pPr>
                  <w:r>
                    <w:rPr>
                      <w:rFonts w:hint="default" w:ascii="Times New Roman" w:hAnsi="Times New Roman" w:eastAsia="宋体" w:cs="Times New Roman"/>
                      <w:b w:val="0"/>
                      <w:bCs w:val="0"/>
                      <w:snapToGrid/>
                      <w:color w:val="auto"/>
                      <w:spacing w:val="0"/>
                      <w:kern w:val="0"/>
                      <w:position w:val="0"/>
                      <w:sz w:val="21"/>
                      <w:szCs w:val="21"/>
                      <w:highlight w:val="none"/>
                      <w:lang w:eastAsia="zh-CN"/>
                    </w:rPr>
                    <w:t>生活污水</w:t>
                  </w:r>
                </w:p>
              </w:tc>
              <w:tc>
                <w:tcPr>
                  <w:tcW w:w="3825" w:type="dxa"/>
                  <w:noWrap w:val="0"/>
                  <w:vAlign w:val="center"/>
                </w:tcPr>
                <w:p w14:paraId="2500A3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eastAsia="zh-CN"/>
                    </w:rPr>
                  </w:pPr>
                  <w:r>
                    <w:rPr>
                      <w:rFonts w:hint="eastAsia" w:cs="Times New Roman"/>
                      <w:snapToGrid/>
                      <w:color w:val="auto"/>
                      <w:spacing w:val="0"/>
                      <w:kern w:val="0"/>
                      <w:position w:val="0"/>
                      <w:sz w:val="21"/>
                      <w:szCs w:val="21"/>
                      <w:highlight w:val="none"/>
                      <w:lang w:eastAsia="zh-CN"/>
                    </w:rPr>
                    <w:t>化粪池</w:t>
                  </w:r>
                </w:p>
              </w:tc>
              <w:tc>
                <w:tcPr>
                  <w:tcW w:w="1374" w:type="dxa"/>
                  <w:noWrap w:val="0"/>
                  <w:vAlign w:val="center"/>
                </w:tcPr>
                <w:p w14:paraId="7FE6C5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依托原有</w:t>
                  </w:r>
                </w:p>
              </w:tc>
            </w:tr>
            <w:tr w14:paraId="46E1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1" w:type="dxa"/>
                  <w:vMerge w:val="restart"/>
                  <w:noWrap w:val="0"/>
                  <w:vAlign w:val="center"/>
                </w:tcPr>
                <w:p w14:paraId="2F7F86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废气</w:t>
                  </w:r>
                </w:p>
              </w:tc>
              <w:tc>
                <w:tcPr>
                  <w:tcW w:w="2002" w:type="dxa"/>
                  <w:noWrap w:val="0"/>
                  <w:vAlign w:val="center"/>
                </w:tcPr>
                <w:p w14:paraId="66B76A77">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color w:val="auto"/>
                      <w:sz w:val="21"/>
                      <w:szCs w:val="21"/>
                      <w:highlight w:val="none"/>
                      <w:lang w:val="en-US" w:eastAsia="zh-CN"/>
                    </w:rPr>
                    <w:t>混合</w:t>
                  </w:r>
                  <w:r>
                    <w:rPr>
                      <w:rFonts w:hint="default" w:ascii="Times New Roman" w:hAnsi="Times New Roman" w:eastAsia="宋体" w:cs="Times New Roman"/>
                      <w:color w:val="auto"/>
                      <w:sz w:val="21"/>
                      <w:szCs w:val="21"/>
                      <w:highlight w:val="none"/>
                      <w:lang w:val="en-US" w:eastAsia="zh-CN"/>
                    </w:rPr>
                    <w:t>废气</w:t>
                  </w:r>
                </w:p>
              </w:tc>
              <w:tc>
                <w:tcPr>
                  <w:tcW w:w="3825" w:type="dxa"/>
                  <w:noWrap w:val="0"/>
                  <w:vAlign w:val="center"/>
                </w:tcPr>
                <w:p w14:paraId="7E1176A6">
                  <w:pPr>
                    <w:keepNext w:val="0"/>
                    <w:keepLines w:val="0"/>
                    <w:pageBreakBefore w:val="0"/>
                    <w:kinsoku/>
                    <w:wordWrap/>
                    <w:overflowPunct/>
                    <w:autoSpaceDE/>
                    <w:autoSpaceDN/>
                    <w:bidi w:val="0"/>
                    <w:spacing w:line="240" w:lineRule="auto"/>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snapToGrid/>
                      <w:color w:val="auto"/>
                      <w:spacing w:val="0"/>
                      <w:kern w:val="0"/>
                      <w:position w:val="0"/>
                      <w:sz w:val="21"/>
                      <w:szCs w:val="21"/>
                      <w:vertAlign w:val="baseline"/>
                      <w:lang w:val="en-US" w:eastAsia="zh-CN"/>
                    </w:rPr>
                    <w:t>集气罩+布袋除尘器+15m高排气筒（DA001）</w:t>
                  </w:r>
                </w:p>
              </w:tc>
              <w:tc>
                <w:tcPr>
                  <w:tcW w:w="1374" w:type="dxa"/>
                  <w:noWrap w:val="0"/>
                  <w:vAlign w:val="center"/>
                </w:tcPr>
                <w:p w14:paraId="617E11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1/依托原有</w:t>
                  </w:r>
                </w:p>
              </w:tc>
            </w:tr>
            <w:tr w14:paraId="305A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1" w:type="dxa"/>
                  <w:vMerge w:val="continue"/>
                  <w:noWrap w:val="0"/>
                  <w:vAlign w:val="center"/>
                </w:tcPr>
                <w:p w14:paraId="16BDE5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snapToGrid/>
                      <w:color w:val="auto"/>
                      <w:spacing w:val="0"/>
                      <w:kern w:val="0"/>
                      <w:position w:val="0"/>
                      <w:sz w:val="21"/>
                      <w:szCs w:val="21"/>
                      <w:highlight w:val="none"/>
                      <w:lang w:val="en-US" w:eastAsia="zh-CN"/>
                    </w:rPr>
                  </w:pPr>
                </w:p>
              </w:tc>
              <w:tc>
                <w:tcPr>
                  <w:tcW w:w="2002" w:type="dxa"/>
                  <w:noWrap w:val="0"/>
                  <w:vAlign w:val="center"/>
                </w:tcPr>
                <w:p w14:paraId="53BF502F">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加热废气</w:t>
                  </w:r>
                </w:p>
              </w:tc>
              <w:tc>
                <w:tcPr>
                  <w:tcW w:w="3825" w:type="dxa"/>
                  <w:shd w:val="clear" w:color="auto" w:fill="auto"/>
                  <w:noWrap w:val="0"/>
                  <w:vAlign w:val="center"/>
                </w:tcPr>
                <w:p w14:paraId="324465C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eastAsia" w:cs="Times New Roman"/>
                      <w:b w:val="0"/>
                      <w:bCs w:val="0"/>
                      <w:snapToGrid/>
                      <w:color w:val="auto"/>
                      <w:spacing w:val="0"/>
                      <w:kern w:val="0"/>
                      <w:position w:val="0"/>
                      <w:sz w:val="21"/>
                      <w:szCs w:val="21"/>
                      <w:vertAlign w:val="baseline"/>
                      <w:lang w:val="en-US" w:eastAsia="zh-CN"/>
                    </w:rPr>
                    <w:t>集气罩+二级活性炭吸附装置+15m高排气筒（DA002）</w:t>
                  </w:r>
                </w:p>
              </w:tc>
              <w:tc>
                <w:tcPr>
                  <w:tcW w:w="1374" w:type="dxa"/>
                  <w:noWrap w:val="0"/>
                  <w:vAlign w:val="center"/>
                </w:tcPr>
                <w:p w14:paraId="0FC2EB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1</w:t>
                  </w:r>
                </w:p>
              </w:tc>
            </w:tr>
            <w:tr w14:paraId="3C7B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1" w:type="dxa"/>
                  <w:vMerge w:val="continue"/>
                  <w:noWrap w:val="0"/>
                  <w:vAlign w:val="center"/>
                </w:tcPr>
                <w:p w14:paraId="348287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snapToGrid/>
                      <w:color w:val="auto"/>
                      <w:spacing w:val="0"/>
                      <w:kern w:val="0"/>
                      <w:position w:val="0"/>
                      <w:sz w:val="21"/>
                      <w:szCs w:val="21"/>
                      <w:highlight w:val="none"/>
                      <w:lang w:val="en-US" w:eastAsia="zh-CN"/>
                    </w:rPr>
                  </w:pPr>
                </w:p>
              </w:tc>
              <w:tc>
                <w:tcPr>
                  <w:tcW w:w="2002" w:type="dxa"/>
                  <w:noWrap w:val="0"/>
                  <w:vAlign w:val="center"/>
                </w:tcPr>
                <w:p w14:paraId="6392959B">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snapToGrid/>
                      <w:color w:val="auto"/>
                      <w:spacing w:val="0"/>
                      <w:kern w:val="0"/>
                      <w:position w:val="0"/>
                      <w:sz w:val="21"/>
                      <w:szCs w:val="21"/>
                      <w:vertAlign w:val="baseline"/>
                      <w:lang w:val="en-US" w:eastAsia="zh-CN"/>
                    </w:rPr>
                    <w:t>1#注塑、脱胶废气、固化废气</w:t>
                  </w:r>
                </w:p>
              </w:tc>
              <w:tc>
                <w:tcPr>
                  <w:tcW w:w="3825" w:type="dxa"/>
                  <w:shd w:val="clear" w:color="auto" w:fill="auto"/>
                  <w:noWrap w:val="0"/>
                  <w:vAlign w:val="center"/>
                </w:tcPr>
                <w:p w14:paraId="38FAD74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eastAsia" w:cs="Times New Roman"/>
                      <w:b w:val="0"/>
                      <w:bCs w:val="0"/>
                      <w:snapToGrid/>
                      <w:color w:val="auto"/>
                      <w:spacing w:val="0"/>
                      <w:kern w:val="0"/>
                      <w:position w:val="0"/>
                      <w:sz w:val="21"/>
                      <w:szCs w:val="21"/>
                      <w:vertAlign w:val="baseline"/>
                      <w:lang w:val="en-US" w:eastAsia="zh-CN"/>
                    </w:rPr>
                    <w:t>集气罩+二级活性炭吸附装置+15m高排气筒（DA003）</w:t>
                  </w:r>
                </w:p>
              </w:tc>
              <w:tc>
                <w:tcPr>
                  <w:tcW w:w="1374" w:type="dxa"/>
                  <w:noWrap w:val="0"/>
                  <w:vAlign w:val="center"/>
                </w:tcPr>
                <w:p w14:paraId="5D886C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2.5</w:t>
                  </w:r>
                </w:p>
              </w:tc>
            </w:tr>
            <w:tr w14:paraId="4532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1" w:type="dxa"/>
                  <w:vMerge w:val="continue"/>
                  <w:noWrap w:val="0"/>
                  <w:vAlign w:val="center"/>
                </w:tcPr>
                <w:p w14:paraId="2F42C2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snapToGrid/>
                      <w:color w:val="auto"/>
                      <w:spacing w:val="0"/>
                      <w:kern w:val="0"/>
                      <w:position w:val="0"/>
                      <w:sz w:val="21"/>
                      <w:szCs w:val="21"/>
                      <w:highlight w:val="none"/>
                      <w:lang w:val="en-US" w:eastAsia="zh-CN"/>
                    </w:rPr>
                  </w:pPr>
                </w:p>
              </w:tc>
              <w:tc>
                <w:tcPr>
                  <w:tcW w:w="2002" w:type="dxa"/>
                  <w:noWrap w:val="0"/>
                  <w:vAlign w:val="center"/>
                </w:tcPr>
                <w:p w14:paraId="04F7537E">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cs="Times New Roman"/>
                      <w:b w:val="0"/>
                      <w:bCs w:val="0"/>
                      <w:snapToGrid/>
                      <w:color w:val="auto"/>
                      <w:spacing w:val="0"/>
                      <w:kern w:val="0"/>
                      <w:position w:val="0"/>
                      <w:sz w:val="21"/>
                      <w:szCs w:val="21"/>
                      <w:vertAlign w:val="baseline"/>
                      <w:lang w:val="en-US" w:eastAsia="zh-CN"/>
                    </w:rPr>
                    <w:t>2#注塑、脱胶废气</w:t>
                  </w:r>
                </w:p>
              </w:tc>
              <w:tc>
                <w:tcPr>
                  <w:tcW w:w="3825" w:type="dxa"/>
                  <w:shd w:val="clear" w:color="auto" w:fill="auto"/>
                  <w:noWrap w:val="0"/>
                  <w:vAlign w:val="center"/>
                </w:tcPr>
                <w:p w14:paraId="045DCF6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eastAsia" w:cs="Times New Roman"/>
                      <w:b w:val="0"/>
                      <w:bCs w:val="0"/>
                      <w:snapToGrid/>
                      <w:color w:val="auto"/>
                      <w:spacing w:val="0"/>
                      <w:kern w:val="0"/>
                      <w:position w:val="0"/>
                      <w:sz w:val="21"/>
                      <w:szCs w:val="21"/>
                      <w:vertAlign w:val="baseline"/>
                      <w:lang w:val="en-US" w:eastAsia="zh-CN"/>
                    </w:rPr>
                    <w:t>集气罩+二级活性炭吸附装置+15m高排气筒（DA004）</w:t>
                  </w:r>
                </w:p>
              </w:tc>
              <w:tc>
                <w:tcPr>
                  <w:tcW w:w="1374" w:type="dxa"/>
                  <w:noWrap w:val="0"/>
                  <w:vAlign w:val="center"/>
                </w:tcPr>
                <w:p w14:paraId="086D32C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2.5</w:t>
                  </w:r>
                </w:p>
              </w:tc>
            </w:tr>
            <w:tr w14:paraId="5170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1" w:type="dxa"/>
                  <w:vMerge w:val="continue"/>
                  <w:noWrap w:val="0"/>
                  <w:vAlign w:val="center"/>
                </w:tcPr>
                <w:p w14:paraId="48B792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snapToGrid/>
                      <w:color w:val="auto"/>
                      <w:spacing w:val="0"/>
                      <w:kern w:val="0"/>
                      <w:position w:val="0"/>
                      <w:sz w:val="21"/>
                      <w:szCs w:val="21"/>
                      <w:highlight w:val="none"/>
                      <w:lang w:val="en-US" w:eastAsia="zh-CN"/>
                    </w:rPr>
                  </w:pPr>
                </w:p>
              </w:tc>
              <w:tc>
                <w:tcPr>
                  <w:tcW w:w="2002" w:type="dxa"/>
                  <w:noWrap w:val="0"/>
                  <w:vAlign w:val="center"/>
                </w:tcPr>
                <w:p w14:paraId="25E72703">
                  <w:pPr>
                    <w:pStyle w:val="12"/>
                    <w:keepNext w:val="0"/>
                    <w:keepLines w:val="0"/>
                    <w:pageBreakBefore w:val="0"/>
                    <w:widowControl/>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b w:val="0"/>
                      <w:bCs w:val="0"/>
                      <w:snapToGrid/>
                      <w:color w:val="auto"/>
                      <w:spacing w:val="0"/>
                      <w:kern w:val="0"/>
                      <w:position w:val="0"/>
                      <w:sz w:val="21"/>
                      <w:szCs w:val="21"/>
                      <w:vertAlign w:val="baseline"/>
                      <w:lang w:val="en-US" w:eastAsia="zh-CN"/>
                    </w:rPr>
                    <w:t>喷塑废气</w:t>
                  </w:r>
                </w:p>
              </w:tc>
              <w:tc>
                <w:tcPr>
                  <w:tcW w:w="3825" w:type="dxa"/>
                  <w:shd w:val="clear" w:color="auto" w:fill="auto"/>
                  <w:noWrap w:val="0"/>
                  <w:vAlign w:val="center"/>
                </w:tcPr>
                <w:p w14:paraId="2DD3AF3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4"/>
                      <w:lang w:val="en-US" w:eastAsia="zh-CN" w:bidi="ar-SA"/>
                    </w:rPr>
                  </w:pPr>
                  <w:r>
                    <w:rPr>
                      <w:rFonts w:hint="eastAsia" w:cs="Times New Roman"/>
                      <w:b w:val="0"/>
                      <w:bCs w:val="0"/>
                      <w:snapToGrid/>
                      <w:color w:val="auto"/>
                      <w:spacing w:val="0"/>
                      <w:kern w:val="0"/>
                      <w:position w:val="0"/>
                      <w:sz w:val="21"/>
                      <w:szCs w:val="21"/>
                      <w:vertAlign w:val="baseline"/>
                      <w:lang w:val="en-US" w:eastAsia="zh-CN"/>
                    </w:rPr>
                    <w:t>侧向集气罩+布袋除尘器+15m高排气筒（DA005）</w:t>
                  </w:r>
                </w:p>
              </w:tc>
              <w:tc>
                <w:tcPr>
                  <w:tcW w:w="1374" w:type="dxa"/>
                  <w:noWrap w:val="0"/>
                  <w:vAlign w:val="center"/>
                </w:tcPr>
                <w:p w14:paraId="142E46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1/依托原有</w:t>
                  </w:r>
                </w:p>
              </w:tc>
            </w:tr>
            <w:tr w14:paraId="7B3A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1" w:type="dxa"/>
                  <w:noWrap w:val="0"/>
                  <w:vAlign w:val="center"/>
                </w:tcPr>
                <w:p w14:paraId="06DD57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噪声</w:t>
                  </w:r>
                </w:p>
              </w:tc>
              <w:tc>
                <w:tcPr>
                  <w:tcW w:w="2002" w:type="dxa"/>
                  <w:noWrap w:val="0"/>
                  <w:vAlign w:val="center"/>
                </w:tcPr>
                <w:p w14:paraId="77F8CE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设备噪声等</w:t>
                  </w:r>
                </w:p>
              </w:tc>
              <w:tc>
                <w:tcPr>
                  <w:tcW w:w="3825" w:type="dxa"/>
                  <w:noWrap w:val="0"/>
                  <w:vAlign w:val="center"/>
                </w:tcPr>
                <w:p w14:paraId="115FE6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选用低噪声设备、建筑隔声等</w:t>
                  </w:r>
                </w:p>
              </w:tc>
              <w:tc>
                <w:tcPr>
                  <w:tcW w:w="1374" w:type="dxa"/>
                  <w:noWrap w:val="0"/>
                  <w:vAlign w:val="center"/>
                </w:tcPr>
                <w:p w14:paraId="59746B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10</w:t>
                  </w:r>
                </w:p>
              </w:tc>
            </w:tr>
            <w:tr w14:paraId="3528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1" w:type="dxa"/>
                  <w:vMerge w:val="restart"/>
                  <w:noWrap w:val="0"/>
                  <w:vAlign w:val="center"/>
                </w:tcPr>
                <w:p w14:paraId="0673A1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固废</w:t>
                  </w:r>
                </w:p>
              </w:tc>
              <w:tc>
                <w:tcPr>
                  <w:tcW w:w="2002" w:type="dxa"/>
                  <w:noWrap w:val="0"/>
                  <w:vAlign w:val="center"/>
                </w:tcPr>
                <w:p w14:paraId="03BA25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lang w:eastAsia="zh-CN"/>
                    </w:rPr>
                    <w:t>一般工业固体废物</w:t>
                  </w:r>
                </w:p>
              </w:tc>
              <w:tc>
                <w:tcPr>
                  <w:tcW w:w="3825" w:type="dxa"/>
                  <w:noWrap w:val="0"/>
                  <w:vAlign w:val="center"/>
                </w:tcPr>
                <w:p w14:paraId="591FAB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规范化</w:t>
                  </w:r>
                  <w:r>
                    <w:rPr>
                      <w:rFonts w:hint="default" w:ascii="Times New Roman" w:hAnsi="Times New Roman" w:eastAsia="宋体" w:cs="Times New Roman"/>
                      <w:snapToGrid/>
                      <w:color w:val="auto"/>
                      <w:spacing w:val="0"/>
                      <w:kern w:val="0"/>
                      <w:position w:val="0"/>
                      <w:sz w:val="21"/>
                      <w:szCs w:val="21"/>
                      <w:highlight w:val="none"/>
                      <w:lang w:eastAsia="zh-CN"/>
                    </w:rPr>
                    <w:t>一般固废暂存间</w:t>
                  </w:r>
                </w:p>
              </w:tc>
              <w:tc>
                <w:tcPr>
                  <w:tcW w:w="1374" w:type="dxa"/>
                  <w:noWrap w:val="0"/>
                  <w:vAlign w:val="center"/>
                </w:tcPr>
                <w:p w14:paraId="415484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2</w:t>
                  </w:r>
                </w:p>
              </w:tc>
            </w:tr>
            <w:tr w14:paraId="5A35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1" w:type="dxa"/>
                  <w:vMerge w:val="continue"/>
                  <w:noWrap w:val="0"/>
                  <w:vAlign w:val="center"/>
                </w:tcPr>
                <w:p w14:paraId="1E20F4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p>
              </w:tc>
              <w:tc>
                <w:tcPr>
                  <w:tcW w:w="2002" w:type="dxa"/>
                  <w:noWrap w:val="0"/>
                  <w:vAlign w:val="center"/>
                </w:tcPr>
                <w:p w14:paraId="3C39DE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lang w:eastAsia="zh-CN"/>
                    </w:rPr>
                    <w:t>危险废物</w:t>
                  </w:r>
                </w:p>
              </w:tc>
              <w:tc>
                <w:tcPr>
                  <w:tcW w:w="3825" w:type="dxa"/>
                  <w:noWrap w:val="0"/>
                  <w:vAlign w:val="center"/>
                </w:tcPr>
                <w:p w14:paraId="66129C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规范化</w:t>
                  </w:r>
                  <w:r>
                    <w:rPr>
                      <w:rFonts w:hint="default" w:ascii="Times New Roman" w:hAnsi="Times New Roman" w:eastAsia="宋体" w:cs="Times New Roman"/>
                      <w:b w:val="0"/>
                      <w:bCs w:val="0"/>
                      <w:snapToGrid/>
                      <w:color w:val="auto"/>
                      <w:spacing w:val="0"/>
                      <w:kern w:val="0"/>
                      <w:position w:val="0"/>
                      <w:sz w:val="21"/>
                      <w:szCs w:val="21"/>
                      <w:highlight w:val="none"/>
                      <w:lang w:eastAsia="zh-CN"/>
                    </w:rPr>
                    <w:t>危险废物暂存间</w:t>
                  </w:r>
                </w:p>
              </w:tc>
              <w:tc>
                <w:tcPr>
                  <w:tcW w:w="1374" w:type="dxa"/>
                  <w:noWrap w:val="0"/>
                  <w:vAlign w:val="center"/>
                </w:tcPr>
                <w:p w14:paraId="38B4F1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5</w:t>
                  </w:r>
                </w:p>
              </w:tc>
            </w:tr>
            <w:tr w14:paraId="22F1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1" w:type="dxa"/>
                  <w:vMerge w:val="continue"/>
                  <w:noWrap w:val="0"/>
                  <w:vAlign w:val="center"/>
                </w:tcPr>
                <w:p w14:paraId="5A59441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p>
              </w:tc>
              <w:tc>
                <w:tcPr>
                  <w:tcW w:w="2002" w:type="dxa"/>
                  <w:noWrap w:val="0"/>
                  <w:vAlign w:val="center"/>
                </w:tcPr>
                <w:p w14:paraId="2A1A48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生活垃圾</w:t>
                  </w:r>
                </w:p>
              </w:tc>
              <w:tc>
                <w:tcPr>
                  <w:tcW w:w="3825" w:type="dxa"/>
                  <w:noWrap w:val="0"/>
                  <w:vAlign w:val="center"/>
                </w:tcPr>
                <w:p w14:paraId="2A2420B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垃圾桶等</w:t>
                  </w:r>
                </w:p>
              </w:tc>
              <w:tc>
                <w:tcPr>
                  <w:tcW w:w="1374" w:type="dxa"/>
                  <w:noWrap w:val="0"/>
                  <w:vAlign w:val="center"/>
                </w:tcPr>
                <w:p w14:paraId="1B7964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依托原有</w:t>
                  </w:r>
                </w:p>
              </w:tc>
            </w:tr>
            <w:tr w14:paraId="7435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13" w:type="dxa"/>
                  <w:gridSpan w:val="2"/>
                  <w:noWrap w:val="0"/>
                  <w:vAlign w:val="center"/>
                </w:tcPr>
                <w:p w14:paraId="682AAB85">
                  <w:pPr>
                    <w:spacing w:line="240" w:lineRule="atLeast"/>
                    <w:jc w:val="center"/>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color w:val="auto"/>
                      <w:sz w:val="21"/>
                      <w:szCs w:val="21"/>
                      <w:highlight w:val="none"/>
                      <w:lang w:eastAsia="zh-CN"/>
                    </w:rPr>
                    <w:t>地下水</w:t>
                  </w:r>
                  <w:r>
                    <w:rPr>
                      <w:rFonts w:hint="eastAsia" w:cs="Times New Roman"/>
                      <w:b w:val="0"/>
                      <w:bCs w:val="0"/>
                      <w:color w:val="auto"/>
                      <w:sz w:val="21"/>
                      <w:szCs w:val="21"/>
                      <w:highlight w:val="none"/>
                      <w:lang w:eastAsia="zh-CN"/>
                    </w:rPr>
                    <w:t>、土壤</w:t>
                  </w:r>
                </w:p>
              </w:tc>
              <w:tc>
                <w:tcPr>
                  <w:tcW w:w="3825" w:type="dxa"/>
                  <w:noWrap w:val="0"/>
                  <w:vAlign w:val="center"/>
                </w:tcPr>
                <w:p w14:paraId="7AA63C9F">
                  <w:pPr>
                    <w:keepNext w:val="0"/>
                    <w:keepLines w:val="0"/>
                    <w:pageBreakBefore w:val="0"/>
                    <w:widowControl w:val="0"/>
                    <w:kinsoku/>
                    <w:wordWrap/>
                    <w:overflowPunct/>
                    <w:topLinePunct w:val="0"/>
                    <w:autoSpaceDE/>
                    <w:autoSpaceDN/>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color w:val="auto"/>
                      <w:sz w:val="21"/>
                      <w:szCs w:val="21"/>
                      <w:highlight w:val="none"/>
                    </w:rPr>
                    <w:t>一般防渗、重点防渗</w:t>
                  </w:r>
                </w:p>
              </w:tc>
              <w:tc>
                <w:tcPr>
                  <w:tcW w:w="1374" w:type="dxa"/>
                  <w:noWrap w:val="0"/>
                  <w:vAlign w:val="center"/>
                </w:tcPr>
                <w:p w14:paraId="4F6EB239">
                  <w:pPr>
                    <w:spacing w:line="240" w:lineRule="atLeast"/>
                    <w:jc w:val="center"/>
                    <w:rPr>
                      <w:rFonts w:hint="default" w:ascii="Times New Roman" w:hAnsi="Times New Roman" w:eastAsia="宋体"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依托原有</w:t>
                  </w:r>
                </w:p>
              </w:tc>
            </w:tr>
            <w:tr w14:paraId="3680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13" w:type="dxa"/>
                  <w:gridSpan w:val="2"/>
                  <w:noWrap w:val="0"/>
                  <w:vAlign w:val="center"/>
                </w:tcPr>
                <w:p w14:paraId="353A25C7">
                  <w:pPr>
                    <w:spacing w:line="240" w:lineRule="atLeast"/>
                    <w:jc w:val="center"/>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color w:val="auto"/>
                      <w:sz w:val="21"/>
                      <w:szCs w:val="21"/>
                      <w:highlight w:val="none"/>
                      <w:lang w:eastAsia="zh-CN"/>
                    </w:rPr>
                    <w:t>环境风险</w:t>
                  </w:r>
                </w:p>
              </w:tc>
              <w:tc>
                <w:tcPr>
                  <w:tcW w:w="3825" w:type="dxa"/>
                  <w:noWrap w:val="0"/>
                  <w:vAlign w:val="center"/>
                </w:tcPr>
                <w:p w14:paraId="7457E900">
                  <w:pPr>
                    <w:keepNext w:val="0"/>
                    <w:keepLines w:val="0"/>
                    <w:pageBreakBefore w:val="0"/>
                    <w:widowControl w:val="0"/>
                    <w:kinsoku/>
                    <w:wordWrap/>
                    <w:overflowPunct/>
                    <w:topLinePunct w:val="0"/>
                    <w:autoSpaceDE/>
                    <w:autoSpaceDN/>
                    <w:bidi w:val="0"/>
                    <w:adjustRightInd w:val="0"/>
                    <w:snapToGrid w:val="0"/>
                    <w:spacing w:before="63" w:beforeLines="20" w:line="240" w:lineRule="auto"/>
                    <w:ind w:firstLine="0" w:firstLineChars="0"/>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color w:val="auto"/>
                      <w:sz w:val="21"/>
                      <w:szCs w:val="21"/>
                      <w:highlight w:val="none"/>
                      <w:lang w:eastAsia="zh-CN"/>
                    </w:rPr>
                    <w:t>设置室外消火栓、灭火器、制定风险应急预案等。</w:t>
                  </w:r>
                </w:p>
              </w:tc>
              <w:tc>
                <w:tcPr>
                  <w:tcW w:w="1374" w:type="dxa"/>
                  <w:noWrap w:val="0"/>
                  <w:vAlign w:val="center"/>
                </w:tcPr>
                <w:p w14:paraId="460B584A">
                  <w:pPr>
                    <w:spacing w:line="240" w:lineRule="atLeast"/>
                    <w:jc w:val="center"/>
                    <w:rPr>
                      <w:rFonts w:hint="default" w:ascii="Times New Roman" w:hAnsi="Times New Roman" w:eastAsia="宋体"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5</w:t>
                  </w:r>
                </w:p>
              </w:tc>
            </w:tr>
            <w:tr w14:paraId="6624A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8" w:type="dxa"/>
                  <w:gridSpan w:val="3"/>
                  <w:noWrap w:val="0"/>
                  <w:vAlign w:val="center"/>
                </w:tcPr>
                <w:p w14:paraId="524B96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rPr>
                  </w:pPr>
                  <w:r>
                    <w:rPr>
                      <w:rFonts w:hint="default" w:ascii="Times New Roman" w:hAnsi="Times New Roman" w:eastAsia="宋体" w:cs="Times New Roman"/>
                      <w:b w:val="0"/>
                      <w:bCs w:val="0"/>
                      <w:snapToGrid/>
                      <w:color w:val="auto"/>
                      <w:spacing w:val="0"/>
                      <w:kern w:val="0"/>
                      <w:position w:val="0"/>
                      <w:sz w:val="21"/>
                      <w:szCs w:val="21"/>
                      <w:highlight w:val="none"/>
                    </w:rPr>
                    <w:t>合计</w:t>
                  </w:r>
                </w:p>
              </w:tc>
              <w:tc>
                <w:tcPr>
                  <w:tcW w:w="1374" w:type="dxa"/>
                  <w:noWrap w:val="0"/>
                  <w:vAlign w:val="center"/>
                </w:tcPr>
                <w:p w14:paraId="32D0146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lang w:val="en-US" w:eastAsia="zh-CN"/>
                    </w:rPr>
                  </w:pPr>
                  <w:r>
                    <w:rPr>
                      <w:rFonts w:hint="eastAsia" w:cs="Times New Roman"/>
                      <w:b w:val="0"/>
                      <w:bCs w:val="0"/>
                      <w:snapToGrid/>
                      <w:color w:val="auto"/>
                      <w:spacing w:val="0"/>
                      <w:kern w:val="0"/>
                      <w:position w:val="0"/>
                      <w:sz w:val="21"/>
                      <w:szCs w:val="21"/>
                      <w:highlight w:val="none"/>
                      <w:lang w:val="en-US" w:eastAsia="zh-CN"/>
                    </w:rPr>
                    <w:t>30</w:t>
                  </w:r>
                </w:p>
              </w:tc>
            </w:tr>
          </w:tbl>
          <w:p w14:paraId="51853808">
            <w:pPr>
              <w:pStyle w:val="12"/>
              <w:rPr>
                <w:rFonts w:hint="default"/>
                <w:color w:val="auto"/>
                <w:lang w:val="zh-CN"/>
              </w:rPr>
            </w:pPr>
          </w:p>
          <w:p w14:paraId="4642DEF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snapToGrid/>
                <w:color w:val="auto"/>
                <w:spacing w:val="0"/>
                <w:kern w:val="0"/>
                <w:position w:val="0"/>
                <w:sz w:val="24"/>
                <w:szCs w:val="24"/>
                <w:lang w:val="en-US" w:eastAsia="zh-CN"/>
              </w:rPr>
            </w:pPr>
          </w:p>
        </w:tc>
      </w:tr>
    </w:tbl>
    <w:p w14:paraId="4FC0398B">
      <w:pPr>
        <w:rPr>
          <w:rFonts w:hint="eastAsia" w:eastAsia="宋体"/>
          <w:snapToGrid/>
          <w:color w:val="auto"/>
          <w:spacing w:val="0"/>
          <w:kern w:val="0"/>
          <w:position w:val="0"/>
          <w:lang w:eastAsia="zh-CN"/>
        </w:rPr>
        <w:sectPr>
          <w:pgSz w:w="11906" w:h="16838"/>
          <w:pgMar w:top="1440" w:right="1803" w:bottom="1440" w:left="1803" w:header="851" w:footer="851" w:gutter="0"/>
          <w:pgBorders>
            <w:top w:val="none" w:sz="0" w:space="0"/>
            <w:left w:val="none" w:sz="0" w:space="0"/>
            <w:bottom w:val="none" w:sz="0" w:space="0"/>
            <w:right w:val="none" w:sz="0" w:space="0"/>
          </w:pgBorders>
          <w:pgNumType w:fmt="decimal"/>
          <w:cols w:space="720" w:num="1"/>
          <w:docGrid w:linePitch="312" w:charSpace="0"/>
        </w:sectPr>
      </w:pPr>
    </w:p>
    <w:p w14:paraId="3F31068E">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0"/>
        <w:rPr>
          <w:rFonts w:hint="default" w:ascii="Times New Roman" w:hAnsi="Times New Roman" w:eastAsia="宋体" w:cs="Times New Roman"/>
          <w:b/>
          <w:bCs/>
          <w:snapToGrid/>
          <w:color w:val="auto"/>
          <w:spacing w:val="0"/>
          <w:kern w:val="0"/>
          <w:position w:val="0"/>
          <w:sz w:val="30"/>
          <w:szCs w:val="30"/>
        </w:rPr>
      </w:pPr>
      <w:r>
        <w:rPr>
          <w:rFonts w:hint="default" w:ascii="Times New Roman" w:hAnsi="Times New Roman" w:eastAsia="宋体" w:cs="Times New Roman"/>
          <w:b/>
          <w:bCs/>
          <w:snapToGrid/>
          <w:color w:val="auto"/>
          <w:spacing w:val="0"/>
          <w:kern w:val="0"/>
          <w:position w:val="0"/>
          <w:sz w:val="30"/>
          <w:szCs w:val="30"/>
        </w:rPr>
        <w:t>五、</w:t>
      </w:r>
      <w:bookmarkStart w:id="1" w:name="_Hlk54167917"/>
      <w:r>
        <w:rPr>
          <w:rFonts w:hint="default" w:ascii="Times New Roman" w:hAnsi="Times New Roman" w:eastAsia="宋体" w:cs="Times New Roman"/>
          <w:b/>
          <w:bCs/>
          <w:snapToGrid/>
          <w:color w:val="auto"/>
          <w:spacing w:val="0"/>
          <w:kern w:val="0"/>
          <w:position w:val="0"/>
          <w:sz w:val="30"/>
          <w:szCs w:val="30"/>
        </w:rPr>
        <w:t>环境保护措施监督检查清单</w:t>
      </w:r>
      <w:bookmarkEnd w:id="1"/>
    </w:p>
    <w:tbl>
      <w:tblPr>
        <w:tblStyle w:val="22"/>
        <w:tblW w:w="89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860"/>
        <w:gridCol w:w="1350"/>
        <w:gridCol w:w="2145"/>
        <w:gridCol w:w="2072"/>
      </w:tblGrid>
      <w:tr w14:paraId="06D20D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64" w:type="dxa"/>
            <w:tcBorders>
              <w:tl2br w:val="single" w:color="auto" w:sz="8" w:space="0"/>
            </w:tcBorders>
            <w:noWrap w:val="0"/>
            <w:vAlign w:val="top"/>
          </w:tcPr>
          <w:p w14:paraId="07C93942">
            <w:pPr>
              <w:adjustRightInd w:val="0"/>
              <w:snapToGrid w:val="0"/>
              <w:ind w:firstLine="840"/>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t>内容</w:t>
            </w:r>
          </w:p>
          <w:p w14:paraId="7F2DECFC">
            <w:pPr>
              <w:adjustRightInd w:val="0"/>
              <w:snapToGrid w:val="0"/>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t>要素</w:t>
            </w:r>
          </w:p>
        </w:tc>
        <w:tc>
          <w:tcPr>
            <w:tcW w:w="1860" w:type="dxa"/>
            <w:tcBorders>
              <w:tl2br w:val="nil"/>
              <w:tr2bl w:val="nil"/>
            </w:tcBorders>
            <w:noWrap w:val="0"/>
            <w:vAlign w:val="center"/>
          </w:tcPr>
          <w:p w14:paraId="495F893C">
            <w:pPr>
              <w:adjustRightInd w:val="0"/>
              <w:snapToGrid w:val="0"/>
              <w:jc w:val="center"/>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t>排放口</w:t>
            </w:r>
            <w:r>
              <w:rPr>
                <w:rFonts w:hint="eastAsia" w:ascii="宋体" w:hAnsi="宋体" w:eastAsia="宋体" w:cs="宋体"/>
                <w:snapToGrid/>
                <w:color w:val="auto"/>
                <w:spacing w:val="0"/>
                <w:kern w:val="0"/>
                <w:position w:val="0"/>
                <w:sz w:val="24"/>
                <w:szCs w:val="24"/>
              </w:rPr>
              <w:t>(</w:t>
            </w:r>
            <w:r>
              <w:rPr>
                <w:rFonts w:hint="default" w:ascii="Times New Roman" w:hAnsi="Times New Roman" w:eastAsia="宋体" w:cs="Times New Roman"/>
                <w:snapToGrid/>
                <w:color w:val="auto"/>
                <w:spacing w:val="0"/>
                <w:kern w:val="0"/>
                <w:position w:val="0"/>
                <w:sz w:val="24"/>
                <w:szCs w:val="24"/>
              </w:rPr>
              <w:t>编号、</w:t>
            </w:r>
          </w:p>
          <w:p w14:paraId="4D240E99">
            <w:pPr>
              <w:adjustRightInd w:val="0"/>
              <w:snapToGrid w:val="0"/>
              <w:jc w:val="center"/>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t>名称</w:t>
            </w:r>
            <w:r>
              <w:rPr>
                <w:rFonts w:hint="eastAsia" w:ascii="宋体" w:hAnsi="宋体" w:eastAsia="宋体" w:cs="宋体"/>
                <w:snapToGrid/>
                <w:color w:val="auto"/>
                <w:spacing w:val="0"/>
                <w:kern w:val="0"/>
                <w:position w:val="0"/>
                <w:sz w:val="24"/>
                <w:szCs w:val="24"/>
              </w:rPr>
              <w:t>)</w:t>
            </w:r>
            <w:r>
              <w:rPr>
                <w:rFonts w:hint="default" w:ascii="Times New Roman" w:hAnsi="Times New Roman" w:eastAsia="宋体" w:cs="Times New Roman"/>
                <w:snapToGrid/>
                <w:color w:val="auto"/>
                <w:spacing w:val="0"/>
                <w:kern w:val="0"/>
                <w:position w:val="0"/>
                <w:sz w:val="24"/>
                <w:szCs w:val="24"/>
              </w:rPr>
              <w:t>/污染源</w:t>
            </w:r>
          </w:p>
        </w:tc>
        <w:tc>
          <w:tcPr>
            <w:tcW w:w="1350" w:type="dxa"/>
            <w:tcBorders>
              <w:tl2br w:val="nil"/>
              <w:tr2bl w:val="nil"/>
            </w:tcBorders>
            <w:noWrap w:val="0"/>
            <w:vAlign w:val="center"/>
          </w:tcPr>
          <w:p w14:paraId="1BA1523A">
            <w:pPr>
              <w:adjustRightInd w:val="0"/>
              <w:snapToGrid w:val="0"/>
              <w:jc w:val="center"/>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t>污染物项目</w:t>
            </w:r>
          </w:p>
        </w:tc>
        <w:tc>
          <w:tcPr>
            <w:tcW w:w="2145" w:type="dxa"/>
            <w:tcBorders>
              <w:tl2br w:val="nil"/>
              <w:tr2bl w:val="nil"/>
            </w:tcBorders>
            <w:noWrap w:val="0"/>
            <w:vAlign w:val="center"/>
          </w:tcPr>
          <w:p w14:paraId="1FC533E7">
            <w:pPr>
              <w:adjustRightInd w:val="0"/>
              <w:snapToGrid w:val="0"/>
              <w:jc w:val="center"/>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t>环境保护措施</w:t>
            </w:r>
          </w:p>
        </w:tc>
        <w:tc>
          <w:tcPr>
            <w:tcW w:w="2072" w:type="dxa"/>
            <w:tcBorders>
              <w:tl2br w:val="nil"/>
              <w:tr2bl w:val="nil"/>
            </w:tcBorders>
            <w:noWrap w:val="0"/>
            <w:vAlign w:val="center"/>
          </w:tcPr>
          <w:p w14:paraId="04E4E2FD">
            <w:pPr>
              <w:adjustRightInd w:val="0"/>
              <w:snapToGrid w:val="0"/>
              <w:jc w:val="center"/>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t>执行标准</w:t>
            </w:r>
          </w:p>
        </w:tc>
      </w:tr>
      <w:tr w14:paraId="62776B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564" w:type="dxa"/>
            <w:vMerge w:val="restart"/>
            <w:tcBorders>
              <w:tl2br w:val="nil"/>
              <w:tr2bl w:val="nil"/>
            </w:tcBorders>
            <w:noWrap w:val="0"/>
            <w:vAlign w:val="center"/>
          </w:tcPr>
          <w:p w14:paraId="7247EBB7">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大气环境</w:t>
            </w:r>
          </w:p>
        </w:tc>
        <w:tc>
          <w:tcPr>
            <w:tcW w:w="1860" w:type="dxa"/>
            <w:tcBorders>
              <w:tl2br w:val="nil"/>
              <w:tr2bl w:val="nil"/>
            </w:tcBorders>
            <w:noWrap w:val="0"/>
            <w:vAlign w:val="center"/>
          </w:tcPr>
          <w:p w14:paraId="6C3D315E">
            <w:pPr>
              <w:adjustRightInd w:val="0"/>
              <w:snapToGrid w:val="0"/>
              <w:jc w:val="center"/>
              <w:rPr>
                <w:rFonts w:hint="eastAsia" w:cs="Times New Roman"/>
                <w:snapToGrid/>
                <w:color w:val="auto"/>
                <w:spacing w:val="0"/>
                <w:kern w:val="0"/>
                <w:position w:val="0"/>
                <w:sz w:val="24"/>
                <w:szCs w:val="24"/>
                <w:lang w:val="en-US" w:eastAsia="zh-CN"/>
              </w:rPr>
            </w:pPr>
            <w:r>
              <w:rPr>
                <w:rFonts w:hint="eastAsia" w:ascii="宋体" w:hAnsi="宋体" w:eastAsia="宋体" w:cs="宋体"/>
                <w:snapToGrid/>
                <w:color w:val="auto"/>
                <w:spacing w:val="0"/>
                <w:kern w:val="0"/>
                <w:position w:val="0"/>
                <w:sz w:val="24"/>
                <w:szCs w:val="24"/>
                <w:lang w:val="en-US" w:eastAsia="zh-CN"/>
              </w:rPr>
              <w:t>混合废气排放口</w:t>
            </w:r>
            <w:r>
              <w:rPr>
                <w:rFonts w:hint="eastAsia" w:ascii="宋体" w:hAnsi="宋体" w:eastAsia="宋体" w:cs="宋体"/>
                <w:snapToGrid/>
                <w:color w:val="auto"/>
                <w:spacing w:val="0"/>
                <w:kern w:val="0"/>
                <w:position w:val="0"/>
                <w:sz w:val="24"/>
                <w:szCs w:val="24"/>
              </w:rPr>
              <w:t>(</w:t>
            </w:r>
            <w:r>
              <w:rPr>
                <w:rFonts w:hint="default" w:ascii="Times New Roman" w:hAnsi="Times New Roman" w:eastAsia="宋体" w:cs="Times New Roman"/>
                <w:snapToGrid/>
                <w:color w:val="auto"/>
                <w:spacing w:val="0"/>
                <w:kern w:val="0"/>
                <w:position w:val="0"/>
                <w:sz w:val="24"/>
                <w:szCs w:val="24"/>
                <w:lang w:val="en-US" w:eastAsia="zh-CN"/>
              </w:rPr>
              <w:t>DA00</w:t>
            </w:r>
            <w:r>
              <w:rPr>
                <w:rFonts w:hint="eastAsia" w:ascii="Times New Roman" w:hAnsi="Times New Roman" w:eastAsia="宋体" w:cs="Times New Roman"/>
                <w:snapToGrid/>
                <w:color w:val="auto"/>
                <w:spacing w:val="0"/>
                <w:kern w:val="0"/>
                <w:position w:val="0"/>
                <w:sz w:val="24"/>
                <w:szCs w:val="24"/>
                <w:lang w:val="en-US" w:eastAsia="zh-CN"/>
              </w:rPr>
              <w:t>1</w:t>
            </w:r>
            <w:r>
              <w:rPr>
                <w:rFonts w:hint="eastAsia" w:ascii="宋体" w:hAnsi="宋体" w:eastAsia="宋体" w:cs="宋体"/>
                <w:snapToGrid/>
                <w:color w:val="auto"/>
                <w:spacing w:val="0"/>
                <w:kern w:val="0"/>
                <w:position w:val="0"/>
                <w:sz w:val="24"/>
                <w:szCs w:val="24"/>
              </w:rPr>
              <w:t>)</w:t>
            </w:r>
            <w:r>
              <w:rPr>
                <w:rFonts w:hint="eastAsia" w:cs="Times New Roman"/>
                <w:snapToGrid/>
                <w:color w:val="auto"/>
                <w:spacing w:val="0"/>
                <w:kern w:val="0"/>
                <w:position w:val="0"/>
                <w:sz w:val="24"/>
                <w:szCs w:val="24"/>
                <w:lang w:val="en-US" w:eastAsia="zh-CN"/>
              </w:rPr>
              <w:t>/</w:t>
            </w:r>
          </w:p>
          <w:p w14:paraId="25B18454">
            <w:pPr>
              <w:adjustRightInd w:val="0"/>
              <w:snapToGrid w:val="0"/>
              <w:jc w:val="center"/>
              <w:rPr>
                <w:rFonts w:hint="default" w:ascii="Times New Roman" w:hAnsi="Times New Roman" w:eastAsia="宋体" w:cs="Times New Roman"/>
                <w:snapToGrid/>
                <w:color w:val="auto"/>
                <w:spacing w:val="0"/>
                <w:kern w:val="0"/>
                <w:position w:val="0"/>
                <w:sz w:val="24"/>
                <w:szCs w:val="24"/>
                <w:lang w:val="en-US" w:eastAsia="zh-CN"/>
              </w:rPr>
            </w:pPr>
            <w:r>
              <w:rPr>
                <w:rFonts w:hint="eastAsia" w:cs="Times New Roman"/>
                <w:snapToGrid/>
                <w:color w:val="auto"/>
                <w:spacing w:val="0"/>
                <w:kern w:val="0"/>
                <w:position w:val="0"/>
                <w:sz w:val="24"/>
                <w:szCs w:val="24"/>
                <w:lang w:val="en-US" w:eastAsia="zh-CN"/>
              </w:rPr>
              <w:t>混合</w:t>
            </w:r>
          </w:p>
        </w:tc>
        <w:tc>
          <w:tcPr>
            <w:tcW w:w="1350" w:type="dxa"/>
            <w:tcBorders>
              <w:tl2br w:val="nil"/>
              <w:tr2bl w:val="nil"/>
            </w:tcBorders>
            <w:noWrap w:val="0"/>
            <w:vAlign w:val="center"/>
          </w:tcPr>
          <w:p w14:paraId="167AD5A4">
            <w:pPr>
              <w:autoSpaceDE w:val="0"/>
              <w:autoSpaceDN w:val="0"/>
              <w:adjustRightInd w:val="0"/>
              <w:jc w:val="center"/>
              <w:rPr>
                <w:rFonts w:hint="default" w:ascii="Times New Roman" w:hAnsi="Times New Roman" w:eastAsia="宋体" w:cs="Times New Roman"/>
                <w:snapToGrid/>
                <w:color w:val="auto"/>
                <w:spacing w:val="0"/>
                <w:kern w:val="0"/>
                <w:position w:val="0"/>
                <w:sz w:val="24"/>
                <w:szCs w:val="24"/>
                <w:lang w:val="en-US" w:eastAsia="zh-CN" w:bidi="ar-SA"/>
              </w:rPr>
            </w:pPr>
            <w:r>
              <w:rPr>
                <w:rFonts w:hint="eastAsia" w:cs="Times New Roman"/>
                <w:snapToGrid/>
                <w:color w:val="auto"/>
                <w:spacing w:val="0"/>
                <w:kern w:val="0"/>
                <w:position w:val="0"/>
                <w:sz w:val="24"/>
                <w:szCs w:val="24"/>
                <w:lang w:val="en-US" w:eastAsia="zh-CN"/>
              </w:rPr>
              <w:t>颗粒物</w:t>
            </w:r>
          </w:p>
        </w:tc>
        <w:tc>
          <w:tcPr>
            <w:tcW w:w="2145" w:type="dxa"/>
            <w:tcBorders>
              <w:tl2br w:val="nil"/>
              <w:tr2bl w:val="nil"/>
            </w:tcBorders>
            <w:noWrap w:val="0"/>
            <w:vAlign w:val="center"/>
          </w:tcPr>
          <w:p w14:paraId="7A53BA6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napToGrid/>
                <w:color w:val="auto"/>
                <w:spacing w:val="0"/>
                <w:kern w:val="0"/>
                <w:position w:val="0"/>
                <w:sz w:val="32"/>
                <w:szCs w:val="32"/>
                <w:highlight w:val="none"/>
                <w:lang w:val="en-US" w:eastAsia="zh-CN" w:bidi="ar-SA"/>
              </w:rPr>
            </w:pPr>
            <w:r>
              <w:rPr>
                <w:rFonts w:hint="eastAsia" w:cs="Times New Roman"/>
                <w:color w:val="auto"/>
                <w:sz w:val="24"/>
                <w:szCs w:val="24"/>
                <w:highlight w:val="none"/>
                <w:lang w:val="en-US" w:eastAsia="zh-CN"/>
              </w:rPr>
              <w:t>集气罩+布袋除尘器+15m高排气筒（DA001）</w:t>
            </w:r>
          </w:p>
        </w:tc>
        <w:tc>
          <w:tcPr>
            <w:tcW w:w="2072" w:type="dxa"/>
            <w:vMerge w:val="restart"/>
            <w:tcBorders>
              <w:tl2br w:val="nil"/>
              <w:tr2bl w:val="nil"/>
            </w:tcBorders>
            <w:noWrap w:val="0"/>
            <w:vAlign w:val="center"/>
          </w:tcPr>
          <w:p w14:paraId="3A64811B">
            <w:pPr>
              <w:adjustRightInd w:val="0"/>
              <w:snapToGrid w:val="0"/>
              <w:jc w:val="center"/>
              <w:rPr>
                <w:rFonts w:hint="default" w:ascii="Times New Roman" w:hAnsi="Times New Roman" w:eastAsia="宋体" w:cs="Times New Roman"/>
                <w:snapToGrid/>
                <w:color w:val="auto"/>
                <w:spacing w:val="0"/>
                <w:kern w:val="0"/>
                <w:position w:val="0"/>
                <w:sz w:val="24"/>
                <w:szCs w:val="24"/>
                <w:lang w:val="en-US" w:eastAsia="zh-CN"/>
              </w:rPr>
            </w:pPr>
            <w:r>
              <w:rPr>
                <w:rFonts w:hint="default" w:ascii="Times New Roman" w:hAnsi="Times New Roman" w:eastAsia="宋体" w:cs="Times New Roman"/>
                <w:snapToGrid/>
                <w:color w:val="auto"/>
                <w:spacing w:val="0"/>
                <w:kern w:val="0"/>
                <w:position w:val="0"/>
                <w:sz w:val="24"/>
                <w:szCs w:val="24"/>
                <w:lang w:val="en-US" w:eastAsia="zh-CN"/>
              </w:rPr>
              <w:t>《大气污染物综合排放标准》（GB16297-1996）</w:t>
            </w:r>
          </w:p>
          <w:p w14:paraId="487636E9">
            <w:pPr>
              <w:adjustRightInd w:val="0"/>
              <w:snapToGrid w:val="0"/>
              <w:jc w:val="center"/>
              <w:rPr>
                <w:rFonts w:hint="default" w:ascii="Times New Roman" w:hAnsi="Times New Roman" w:eastAsia="宋体" w:cs="Times New Roman"/>
                <w:snapToGrid/>
                <w:color w:val="auto"/>
                <w:spacing w:val="0"/>
                <w:kern w:val="0"/>
                <w:position w:val="0"/>
                <w:sz w:val="24"/>
                <w:szCs w:val="24"/>
                <w:lang w:val="en-US" w:eastAsia="zh-CN" w:bidi="ar-SA"/>
              </w:rPr>
            </w:pPr>
          </w:p>
        </w:tc>
      </w:tr>
      <w:tr w14:paraId="17E045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564" w:type="dxa"/>
            <w:vMerge w:val="continue"/>
            <w:tcBorders>
              <w:tl2br w:val="nil"/>
              <w:tr2bl w:val="nil"/>
            </w:tcBorders>
            <w:noWrap w:val="0"/>
            <w:vAlign w:val="center"/>
          </w:tcPr>
          <w:p w14:paraId="6F20F496">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p>
        </w:tc>
        <w:tc>
          <w:tcPr>
            <w:tcW w:w="1860" w:type="dxa"/>
            <w:tcBorders>
              <w:tl2br w:val="nil"/>
              <w:tr2bl w:val="nil"/>
            </w:tcBorders>
            <w:noWrap w:val="0"/>
            <w:vAlign w:val="center"/>
          </w:tcPr>
          <w:p w14:paraId="471FD1D4">
            <w:pPr>
              <w:adjustRightInd w:val="0"/>
              <w:snapToGrid w:val="0"/>
              <w:jc w:val="center"/>
              <w:rPr>
                <w:rFonts w:hint="eastAsia" w:cs="Times New Roman"/>
                <w:snapToGrid/>
                <w:color w:val="auto"/>
                <w:spacing w:val="0"/>
                <w:kern w:val="0"/>
                <w:position w:val="0"/>
                <w:sz w:val="24"/>
                <w:szCs w:val="24"/>
                <w:lang w:val="en-US" w:eastAsia="zh-CN"/>
              </w:rPr>
            </w:pPr>
            <w:r>
              <w:rPr>
                <w:rFonts w:hint="eastAsia" w:cs="Times New Roman"/>
                <w:snapToGrid/>
                <w:color w:val="auto"/>
                <w:spacing w:val="0"/>
                <w:kern w:val="0"/>
                <w:position w:val="0"/>
                <w:sz w:val="24"/>
                <w:szCs w:val="24"/>
                <w:lang w:val="en-US" w:eastAsia="zh-CN"/>
              </w:rPr>
              <w:t>加热废气排放口（</w:t>
            </w:r>
            <w:r>
              <w:rPr>
                <w:rFonts w:hint="default" w:ascii="Times New Roman" w:hAnsi="Times New Roman" w:eastAsia="宋体" w:cs="Times New Roman"/>
                <w:snapToGrid/>
                <w:color w:val="auto"/>
                <w:spacing w:val="0"/>
                <w:kern w:val="0"/>
                <w:position w:val="0"/>
                <w:sz w:val="24"/>
                <w:szCs w:val="24"/>
                <w:lang w:val="en-US" w:eastAsia="zh-CN"/>
              </w:rPr>
              <w:t>DA00</w:t>
            </w:r>
            <w:r>
              <w:rPr>
                <w:rFonts w:hint="eastAsia" w:ascii="Times New Roman" w:hAnsi="Times New Roman" w:eastAsia="宋体" w:cs="Times New Roman"/>
                <w:snapToGrid/>
                <w:color w:val="auto"/>
                <w:spacing w:val="0"/>
                <w:kern w:val="0"/>
                <w:position w:val="0"/>
                <w:sz w:val="24"/>
                <w:szCs w:val="24"/>
                <w:lang w:val="en-US" w:eastAsia="zh-CN"/>
              </w:rPr>
              <w:t>2</w:t>
            </w:r>
            <w:r>
              <w:rPr>
                <w:rFonts w:hint="default" w:ascii="Times New Roman" w:hAnsi="Times New Roman" w:eastAsia="宋体" w:cs="Times New Roman"/>
                <w:snapToGrid/>
                <w:color w:val="auto"/>
                <w:spacing w:val="0"/>
                <w:kern w:val="0"/>
                <w:position w:val="0"/>
                <w:sz w:val="24"/>
                <w:szCs w:val="24"/>
                <w:lang w:val="en-US" w:eastAsia="zh-CN"/>
              </w:rPr>
              <w:t>）</w:t>
            </w:r>
            <w:r>
              <w:rPr>
                <w:rFonts w:hint="eastAsia" w:cs="Times New Roman"/>
                <w:snapToGrid/>
                <w:color w:val="auto"/>
                <w:spacing w:val="0"/>
                <w:kern w:val="0"/>
                <w:position w:val="0"/>
                <w:sz w:val="24"/>
                <w:szCs w:val="24"/>
                <w:lang w:val="en-US" w:eastAsia="zh-CN"/>
              </w:rPr>
              <w:t>/</w:t>
            </w:r>
          </w:p>
          <w:p w14:paraId="49B079BA">
            <w:pPr>
              <w:adjustRightInd w:val="0"/>
              <w:snapToGrid w:val="0"/>
              <w:jc w:val="center"/>
              <w:rPr>
                <w:rFonts w:hint="default" w:ascii="Times New Roman" w:hAnsi="Times New Roman" w:eastAsia="宋体" w:cs="Times New Roman"/>
                <w:snapToGrid/>
                <w:color w:val="auto"/>
                <w:spacing w:val="0"/>
                <w:kern w:val="0"/>
                <w:position w:val="0"/>
                <w:sz w:val="24"/>
                <w:szCs w:val="24"/>
                <w:lang w:val="en-US" w:eastAsia="zh-CN"/>
              </w:rPr>
            </w:pPr>
            <w:r>
              <w:rPr>
                <w:rFonts w:hint="eastAsia" w:cs="Times New Roman"/>
                <w:snapToGrid/>
                <w:color w:val="auto"/>
                <w:spacing w:val="0"/>
                <w:kern w:val="0"/>
                <w:position w:val="0"/>
                <w:sz w:val="24"/>
                <w:szCs w:val="24"/>
                <w:lang w:val="en-US" w:eastAsia="zh-CN"/>
              </w:rPr>
              <w:t>加热</w:t>
            </w:r>
          </w:p>
        </w:tc>
        <w:tc>
          <w:tcPr>
            <w:tcW w:w="1350" w:type="dxa"/>
            <w:tcBorders>
              <w:tl2br w:val="nil"/>
              <w:tr2bl w:val="nil"/>
            </w:tcBorders>
            <w:noWrap w:val="0"/>
            <w:vAlign w:val="center"/>
          </w:tcPr>
          <w:p w14:paraId="135263C3">
            <w:pPr>
              <w:autoSpaceDE w:val="0"/>
              <w:autoSpaceDN w:val="0"/>
              <w:adjustRightInd w:val="0"/>
              <w:jc w:val="center"/>
              <w:rPr>
                <w:rFonts w:hint="eastAsia" w:ascii="Times New Roman" w:hAnsi="Times New Roman" w:cs="Times New Roman"/>
                <w:snapToGrid/>
                <w:color w:val="auto"/>
                <w:spacing w:val="0"/>
                <w:kern w:val="0"/>
                <w:position w:val="0"/>
                <w:sz w:val="24"/>
                <w:szCs w:val="24"/>
                <w:lang w:eastAsia="zh-CN"/>
              </w:rPr>
            </w:pPr>
            <w:r>
              <w:rPr>
                <w:rFonts w:hint="eastAsia" w:ascii="Times New Roman" w:hAnsi="Times New Roman" w:cs="Times New Roman"/>
                <w:snapToGrid/>
                <w:color w:val="auto"/>
                <w:spacing w:val="0"/>
                <w:kern w:val="0"/>
                <w:position w:val="0"/>
                <w:sz w:val="24"/>
                <w:szCs w:val="24"/>
                <w:lang w:val="en-US" w:eastAsia="zh-CN"/>
              </w:rPr>
              <w:t>挥发性有机物</w:t>
            </w:r>
          </w:p>
        </w:tc>
        <w:tc>
          <w:tcPr>
            <w:tcW w:w="2145" w:type="dxa"/>
            <w:tcBorders>
              <w:tl2br w:val="nil"/>
              <w:tr2bl w:val="nil"/>
            </w:tcBorders>
            <w:noWrap w:val="0"/>
            <w:vAlign w:val="center"/>
          </w:tcPr>
          <w:p w14:paraId="76BE841B">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32"/>
                <w:szCs w:val="32"/>
                <w:highlight w:val="none"/>
                <w:lang w:val="en-US" w:eastAsia="zh-CN" w:bidi="ar-SA"/>
              </w:rPr>
            </w:pPr>
            <w:r>
              <w:rPr>
                <w:rFonts w:hint="eastAsia" w:cs="Times New Roman"/>
                <w:color w:val="auto"/>
                <w:sz w:val="24"/>
                <w:szCs w:val="24"/>
                <w:highlight w:val="none"/>
                <w:lang w:val="en-US" w:eastAsia="zh-CN"/>
              </w:rPr>
              <w:t>集气罩+二级活性炭吸附装置+15m高排气筒（DA002）</w:t>
            </w:r>
          </w:p>
        </w:tc>
        <w:tc>
          <w:tcPr>
            <w:tcW w:w="2072" w:type="dxa"/>
            <w:vMerge w:val="continue"/>
            <w:tcBorders>
              <w:tl2br w:val="nil"/>
              <w:tr2bl w:val="nil"/>
            </w:tcBorders>
            <w:noWrap w:val="0"/>
            <w:vAlign w:val="center"/>
          </w:tcPr>
          <w:p w14:paraId="6A583225">
            <w:pPr>
              <w:adjustRightInd w:val="0"/>
              <w:snapToGrid w:val="0"/>
              <w:jc w:val="center"/>
              <w:rPr>
                <w:rFonts w:hint="default" w:ascii="Times New Roman" w:hAnsi="Times New Roman" w:eastAsia="宋体" w:cs="Times New Roman"/>
                <w:snapToGrid/>
                <w:color w:val="auto"/>
                <w:spacing w:val="0"/>
                <w:kern w:val="0"/>
                <w:position w:val="0"/>
                <w:sz w:val="24"/>
                <w:szCs w:val="24"/>
                <w:lang w:val="en-US" w:eastAsia="zh-CN"/>
              </w:rPr>
            </w:pPr>
          </w:p>
        </w:tc>
      </w:tr>
      <w:tr w14:paraId="5F9007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564" w:type="dxa"/>
            <w:vMerge w:val="continue"/>
            <w:tcBorders>
              <w:tl2br w:val="nil"/>
              <w:tr2bl w:val="nil"/>
            </w:tcBorders>
            <w:noWrap w:val="0"/>
            <w:vAlign w:val="center"/>
          </w:tcPr>
          <w:p w14:paraId="433C9544">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p>
        </w:tc>
        <w:tc>
          <w:tcPr>
            <w:tcW w:w="1860" w:type="dxa"/>
            <w:tcBorders>
              <w:tl2br w:val="nil"/>
              <w:tr2bl w:val="nil"/>
            </w:tcBorders>
            <w:noWrap w:val="0"/>
            <w:vAlign w:val="center"/>
          </w:tcPr>
          <w:p w14:paraId="01B04491">
            <w:pPr>
              <w:adjustRightInd w:val="0"/>
              <w:snapToGrid w:val="0"/>
              <w:jc w:val="center"/>
              <w:rPr>
                <w:rFonts w:hint="default" w:ascii="Times New Roman" w:hAnsi="Times New Roman" w:eastAsia="宋体" w:cs="Times New Roman"/>
                <w:snapToGrid/>
                <w:color w:val="auto"/>
                <w:spacing w:val="0"/>
                <w:kern w:val="0"/>
                <w:position w:val="0"/>
                <w:sz w:val="24"/>
                <w:szCs w:val="24"/>
                <w:lang w:val="en-US" w:eastAsia="zh-CN"/>
              </w:rPr>
            </w:pPr>
            <w:r>
              <w:rPr>
                <w:rFonts w:hint="eastAsia" w:cs="Times New Roman"/>
                <w:snapToGrid/>
                <w:color w:val="auto"/>
                <w:spacing w:val="0"/>
                <w:kern w:val="0"/>
                <w:position w:val="0"/>
                <w:sz w:val="24"/>
                <w:szCs w:val="24"/>
                <w:lang w:val="en-US" w:eastAsia="zh-CN"/>
              </w:rPr>
              <w:t>1#脱胶、注塑废气排放口（DA003）/脱胶、注塑、固化</w:t>
            </w:r>
          </w:p>
        </w:tc>
        <w:tc>
          <w:tcPr>
            <w:tcW w:w="1350" w:type="dxa"/>
            <w:tcBorders>
              <w:tl2br w:val="nil"/>
              <w:tr2bl w:val="nil"/>
            </w:tcBorders>
            <w:noWrap w:val="0"/>
            <w:vAlign w:val="center"/>
          </w:tcPr>
          <w:p w14:paraId="02CAE1E5">
            <w:pPr>
              <w:autoSpaceDE w:val="0"/>
              <w:autoSpaceDN w:val="0"/>
              <w:adjustRightInd w:val="0"/>
              <w:jc w:val="center"/>
              <w:rPr>
                <w:rFonts w:hint="default" w:ascii="Times New Roman" w:hAnsi="Times New Roman" w:cs="Times New Roman"/>
                <w:snapToGrid/>
                <w:color w:val="auto"/>
                <w:spacing w:val="0"/>
                <w:kern w:val="0"/>
                <w:position w:val="0"/>
                <w:sz w:val="24"/>
                <w:szCs w:val="24"/>
                <w:lang w:val="en-US" w:eastAsia="zh-CN"/>
              </w:rPr>
            </w:pPr>
            <w:r>
              <w:rPr>
                <w:rFonts w:hint="default" w:ascii="Times New Roman" w:hAnsi="Times New Roman" w:cs="Times New Roman"/>
                <w:snapToGrid/>
                <w:color w:val="auto"/>
                <w:spacing w:val="0"/>
                <w:kern w:val="0"/>
                <w:position w:val="0"/>
                <w:sz w:val="24"/>
                <w:szCs w:val="24"/>
                <w:lang w:val="en-US" w:eastAsia="zh-CN"/>
              </w:rPr>
              <w:t>挥发性有机物</w:t>
            </w:r>
          </w:p>
        </w:tc>
        <w:tc>
          <w:tcPr>
            <w:tcW w:w="2145" w:type="dxa"/>
            <w:tcBorders>
              <w:tl2br w:val="nil"/>
              <w:tr2bl w:val="nil"/>
            </w:tcBorders>
            <w:noWrap w:val="0"/>
            <w:vAlign w:val="center"/>
          </w:tcPr>
          <w:p w14:paraId="7FF59DC2">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cs="Times New Roman"/>
                <w:snapToGrid/>
                <w:color w:val="auto"/>
                <w:spacing w:val="0"/>
                <w:kern w:val="0"/>
                <w:position w:val="0"/>
                <w:sz w:val="32"/>
                <w:szCs w:val="32"/>
                <w:lang w:val="en-US" w:eastAsia="zh-CN" w:bidi="ar-SA"/>
              </w:rPr>
            </w:pPr>
            <w:r>
              <w:rPr>
                <w:rFonts w:hint="eastAsia" w:cs="Times New Roman"/>
                <w:color w:val="auto"/>
                <w:sz w:val="24"/>
                <w:szCs w:val="24"/>
                <w:highlight w:val="none"/>
                <w:lang w:val="en-US" w:eastAsia="zh-CN"/>
              </w:rPr>
              <w:t>集气罩+二级活性炭吸附装置+15m高排气筒（DA003）</w:t>
            </w:r>
          </w:p>
        </w:tc>
        <w:tc>
          <w:tcPr>
            <w:tcW w:w="2072" w:type="dxa"/>
            <w:vMerge w:val="continue"/>
            <w:tcBorders>
              <w:tl2br w:val="nil"/>
              <w:tr2bl w:val="nil"/>
            </w:tcBorders>
            <w:noWrap w:val="0"/>
            <w:vAlign w:val="center"/>
          </w:tcPr>
          <w:p w14:paraId="6DABB449">
            <w:pPr>
              <w:adjustRightInd w:val="0"/>
              <w:snapToGrid w:val="0"/>
              <w:jc w:val="center"/>
              <w:rPr>
                <w:rFonts w:hint="default" w:ascii="Times New Roman" w:hAnsi="Times New Roman" w:eastAsia="宋体" w:cs="Times New Roman"/>
                <w:snapToGrid/>
                <w:color w:val="auto"/>
                <w:spacing w:val="0"/>
                <w:kern w:val="0"/>
                <w:position w:val="0"/>
                <w:sz w:val="24"/>
                <w:szCs w:val="24"/>
                <w:lang w:val="en-US" w:eastAsia="zh-CN"/>
              </w:rPr>
            </w:pPr>
          </w:p>
        </w:tc>
      </w:tr>
      <w:tr w14:paraId="08E153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564" w:type="dxa"/>
            <w:vMerge w:val="continue"/>
            <w:tcBorders>
              <w:tl2br w:val="nil"/>
              <w:tr2bl w:val="nil"/>
            </w:tcBorders>
            <w:noWrap w:val="0"/>
            <w:vAlign w:val="center"/>
          </w:tcPr>
          <w:p w14:paraId="24655038">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p>
        </w:tc>
        <w:tc>
          <w:tcPr>
            <w:tcW w:w="1860" w:type="dxa"/>
            <w:tcBorders>
              <w:tl2br w:val="nil"/>
              <w:tr2bl w:val="nil"/>
            </w:tcBorders>
            <w:noWrap w:val="0"/>
            <w:vAlign w:val="center"/>
          </w:tcPr>
          <w:p w14:paraId="7E4542A6">
            <w:pPr>
              <w:adjustRightInd w:val="0"/>
              <w:snapToGrid w:val="0"/>
              <w:jc w:val="center"/>
              <w:rPr>
                <w:rFonts w:hint="default" w:ascii="Times New Roman" w:hAnsi="Times New Roman" w:eastAsia="宋体" w:cs="Times New Roman"/>
                <w:snapToGrid/>
                <w:color w:val="auto"/>
                <w:spacing w:val="0"/>
                <w:kern w:val="0"/>
                <w:position w:val="0"/>
                <w:sz w:val="24"/>
                <w:szCs w:val="24"/>
                <w:lang w:val="en-US" w:eastAsia="zh-CN"/>
              </w:rPr>
            </w:pPr>
            <w:r>
              <w:rPr>
                <w:rFonts w:hint="eastAsia" w:cs="Times New Roman"/>
                <w:snapToGrid/>
                <w:color w:val="auto"/>
                <w:spacing w:val="0"/>
                <w:kern w:val="0"/>
                <w:position w:val="0"/>
                <w:sz w:val="24"/>
                <w:szCs w:val="24"/>
                <w:lang w:val="en-US" w:eastAsia="zh-CN"/>
              </w:rPr>
              <w:t>2#脱胶、注塑废气排放口（DA004）/脱胶、注塑</w:t>
            </w:r>
          </w:p>
        </w:tc>
        <w:tc>
          <w:tcPr>
            <w:tcW w:w="1350" w:type="dxa"/>
            <w:tcBorders>
              <w:tl2br w:val="nil"/>
              <w:tr2bl w:val="nil"/>
            </w:tcBorders>
            <w:noWrap w:val="0"/>
            <w:vAlign w:val="center"/>
          </w:tcPr>
          <w:p w14:paraId="7F8459EC">
            <w:pPr>
              <w:autoSpaceDE w:val="0"/>
              <w:autoSpaceDN w:val="0"/>
              <w:adjustRightInd w:val="0"/>
              <w:jc w:val="center"/>
              <w:rPr>
                <w:rFonts w:hint="default" w:ascii="Times New Roman" w:hAnsi="Times New Roman" w:cs="Times New Roman"/>
                <w:snapToGrid/>
                <w:color w:val="auto"/>
                <w:spacing w:val="0"/>
                <w:kern w:val="0"/>
                <w:position w:val="0"/>
                <w:sz w:val="24"/>
                <w:szCs w:val="24"/>
                <w:lang w:eastAsia="zh-CN"/>
              </w:rPr>
            </w:pPr>
            <w:r>
              <w:rPr>
                <w:rFonts w:hint="default" w:ascii="Times New Roman" w:hAnsi="Times New Roman" w:cs="Times New Roman"/>
                <w:snapToGrid/>
                <w:color w:val="auto"/>
                <w:spacing w:val="0"/>
                <w:kern w:val="0"/>
                <w:position w:val="0"/>
                <w:sz w:val="24"/>
                <w:szCs w:val="24"/>
                <w:lang w:val="en-US" w:eastAsia="zh-CN"/>
              </w:rPr>
              <w:t>挥发性有机物</w:t>
            </w:r>
          </w:p>
        </w:tc>
        <w:tc>
          <w:tcPr>
            <w:tcW w:w="2145" w:type="dxa"/>
            <w:tcBorders>
              <w:tl2br w:val="nil"/>
              <w:tr2bl w:val="nil"/>
            </w:tcBorders>
            <w:noWrap w:val="0"/>
            <w:vAlign w:val="center"/>
          </w:tcPr>
          <w:p w14:paraId="544C93E7">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cs="Times New Roman"/>
                <w:snapToGrid/>
                <w:color w:val="auto"/>
                <w:spacing w:val="0"/>
                <w:kern w:val="0"/>
                <w:position w:val="0"/>
                <w:sz w:val="32"/>
                <w:szCs w:val="32"/>
                <w:lang w:val="en-US" w:eastAsia="zh-CN" w:bidi="ar-SA"/>
              </w:rPr>
            </w:pPr>
            <w:r>
              <w:rPr>
                <w:rFonts w:hint="eastAsia" w:cs="Times New Roman"/>
                <w:color w:val="auto"/>
                <w:sz w:val="24"/>
                <w:szCs w:val="24"/>
                <w:highlight w:val="none"/>
                <w:lang w:val="en-US" w:eastAsia="zh-CN"/>
              </w:rPr>
              <w:t>集气罩+二级活性炭吸附装置+15m高排气筒（DA004）</w:t>
            </w:r>
          </w:p>
        </w:tc>
        <w:tc>
          <w:tcPr>
            <w:tcW w:w="2072" w:type="dxa"/>
            <w:vMerge w:val="continue"/>
            <w:tcBorders>
              <w:tl2br w:val="nil"/>
              <w:tr2bl w:val="nil"/>
            </w:tcBorders>
            <w:noWrap w:val="0"/>
            <w:vAlign w:val="center"/>
          </w:tcPr>
          <w:p w14:paraId="5F095118">
            <w:pPr>
              <w:adjustRightInd w:val="0"/>
              <w:snapToGrid w:val="0"/>
              <w:jc w:val="center"/>
              <w:rPr>
                <w:rFonts w:hint="default" w:ascii="Times New Roman" w:hAnsi="Times New Roman" w:eastAsia="宋体" w:cs="Times New Roman"/>
                <w:snapToGrid/>
                <w:color w:val="auto"/>
                <w:spacing w:val="0"/>
                <w:kern w:val="0"/>
                <w:position w:val="0"/>
                <w:sz w:val="24"/>
                <w:szCs w:val="24"/>
                <w:lang w:val="en-US" w:eastAsia="zh-CN"/>
              </w:rPr>
            </w:pPr>
          </w:p>
        </w:tc>
      </w:tr>
      <w:tr w14:paraId="3333D1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564" w:type="dxa"/>
            <w:vMerge w:val="continue"/>
            <w:tcBorders>
              <w:tl2br w:val="nil"/>
              <w:tr2bl w:val="nil"/>
            </w:tcBorders>
            <w:noWrap w:val="0"/>
            <w:vAlign w:val="center"/>
          </w:tcPr>
          <w:p w14:paraId="651BBFAD">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p>
        </w:tc>
        <w:tc>
          <w:tcPr>
            <w:tcW w:w="1860" w:type="dxa"/>
            <w:tcBorders>
              <w:tl2br w:val="nil"/>
              <w:tr2bl w:val="nil"/>
            </w:tcBorders>
            <w:shd w:val="clear" w:color="auto" w:fill="auto"/>
            <w:noWrap w:val="0"/>
            <w:vAlign w:val="center"/>
          </w:tcPr>
          <w:p w14:paraId="097B5FDF">
            <w:pPr>
              <w:adjustRightInd w:val="0"/>
              <w:snapToGrid w:val="0"/>
              <w:jc w:val="center"/>
              <w:rPr>
                <w:rFonts w:hint="default" w:ascii="Times New Roman" w:hAnsi="Times New Roman" w:eastAsia="宋体" w:cs="Times New Roman"/>
                <w:snapToGrid/>
                <w:color w:val="auto"/>
                <w:spacing w:val="0"/>
                <w:kern w:val="0"/>
                <w:position w:val="0"/>
                <w:sz w:val="24"/>
                <w:szCs w:val="24"/>
                <w:lang w:val="en-US" w:eastAsia="zh-CN" w:bidi="ar-SA"/>
              </w:rPr>
            </w:pPr>
            <w:r>
              <w:rPr>
                <w:rFonts w:hint="eastAsia" w:cs="Times New Roman"/>
                <w:snapToGrid/>
                <w:color w:val="auto"/>
                <w:spacing w:val="0"/>
                <w:kern w:val="0"/>
                <w:position w:val="0"/>
                <w:sz w:val="24"/>
                <w:szCs w:val="24"/>
                <w:lang w:val="en-US" w:eastAsia="zh-CN"/>
              </w:rPr>
              <w:t>喷塑废气排放口（DA005）/喷塑</w:t>
            </w:r>
          </w:p>
        </w:tc>
        <w:tc>
          <w:tcPr>
            <w:tcW w:w="1350" w:type="dxa"/>
            <w:tcBorders>
              <w:tl2br w:val="nil"/>
              <w:tr2bl w:val="nil"/>
            </w:tcBorders>
            <w:shd w:val="clear" w:color="auto" w:fill="auto"/>
            <w:noWrap w:val="0"/>
            <w:vAlign w:val="center"/>
          </w:tcPr>
          <w:p w14:paraId="3782EC11">
            <w:pPr>
              <w:autoSpaceDE w:val="0"/>
              <w:autoSpaceDN w:val="0"/>
              <w:adjustRightInd w:val="0"/>
              <w:jc w:val="center"/>
              <w:rPr>
                <w:rFonts w:hint="default" w:ascii="Times New Roman" w:hAnsi="Times New Roman" w:eastAsia="宋体" w:cs="Times New Roman"/>
                <w:snapToGrid/>
                <w:color w:val="auto"/>
                <w:spacing w:val="0"/>
                <w:kern w:val="0"/>
                <w:position w:val="0"/>
                <w:sz w:val="24"/>
                <w:szCs w:val="24"/>
                <w:vertAlign w:val="baseline"/>
                <w:lang w:val="en-US" w:eastAsia="zh-CN" w:bidi="ar-SA"/>
              </w:rPr>
            </w:pPr>
            <w:r>
              <w:rPr>
                <w:rFonts w:hint="eastAsia" w:cs="Times New Roman"/>
                <w:snapToGrid/>
                <w:color w:val="auto"/>
                <w:spacing w:val="0"/>
                <w:kern w:val="0"/>
                <w:position w:val="0"/>
                <w:sz w:val="24"/>
                <w:szCs w:val="24"/>
                <w:lang w:val="en-US" w:eastAsia="zh-CN"/>
              </w:rPr>
              <w:t>颗粒物</w:t>
            </w:r>
          </w:p>
        </w:tc>
        <w:tc>
          <w:tcPr>
            <w:tcW w:w="2145" w:type="dxa"/>
            <w:tcBorders>
              <w:tl2br w:val="nil"/>
              <w:tr2bl w:val="nil"/>
            </w:tcBorders>
            <w:shd w:val="clear" w:color="auto" w:fill="auto"/>
            <w:noWrap w:val="0"/>
            <w:vAlign w:val="center"/>
          </w:tcPr>
          <w:p w14:paraId="6DED12DC">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snapToGrid/>
                <w:color w:val="auto"/>
                <w:spacing w:val="0"/>
                <w:kern w:val="0"/>
                <w:position w:val="0"/>
                <w:sz w:val="32"/>
                <w:szCs w:val="32"/>
                <w:lang w:val="en-US" w:eastAsia="zh-CN" w:bidi="ar-SA"/>
              </w:rPr>
            </w:pPr>
            <w:r>
              <w:rPr>
                <w:rFonts w:hint="eastAsia" w:cs="Times New Roman"/>
                <w:color w:val="auto"/>
                <w:sz w:val="24"/>
                <w:szCs w:val="24"/>
                <w:highlight w:val="none"/>
                <w:lang w:val="en-US" w:eastAsia="zh-CN"/>
              </w:rPr>
              <w:t>侧向集气罩+布袋除尘器+15m高排气筒（DA005）</w:t>
            </w:r>
          </w:p>
        </w:tc>
        <w:tc>
          <w:tcPr>
            <w:tcW w:w="2072" w:type="dxa"/>
            <w:vMerge w:val="continue"/>
            <w:tcBorders>
              <w:tl2br w:val="nil"/>
              <w:tr2bl w:val="nil"/>
            </w:tcBorders>
            <w:shd w:val="clear" w:color="auto" w:fill="auto"/>
            <w:noWrap w:val="0"/>
            <w:vAlign w:val="center"/>
          </w:tcPr>
          <w:p w14:paraId="7F9A91EE">
            <w:pPr>
              <w:adjustRightInd w:val="0"/>
              <w:snapToGrid w:val="0"/>
              <w:jc w:val="center"/>
              <w:rPr>
                <w:rFonts w:hint="default" w:ascii="Times New Roman" w:hAnsi="Times New Roman" w:eastAsia="宋体" w:cs="Times New Roman"/>
                <w:snapToGrid/>
                <w:color w:val="auto"/>
                <w:spacing w:val="0"/>
                <w:kern w:val="0"/>
                <w:position w:val="0"/>
                <w:sz w:val="24"/>
                <w:szCs w:val="24"/>
                <w:lang w:val="en-US" w:eastAsia="zh-CN" w:bidi="ar-SA"/>
              </w:rPr>
            </w:pPr>
          </w:p>
        </w:tc>
      </w:tr>
      <w:tr w14:paraId="699954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564" w:type="dxa"/>
            <w:vMerge w:val="continue"/>
            <w:tcBorders>
              <w:tl2br w:val="nil"/>
              <w:tr2bl w:val="nil"/>
            </w:tcBorders>
            <w:noWrap w:val="0"/>
            <w:vAlign w:val="center"/>
          </w:tcPr>
          <w:p w14:paraId="18DC6825">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p>
        </w:tc>
        <w:tc>
          <w:tcPr>
            <w:tcW w:w="1860" w:type="dxa"/>
            <w:tcBorders>
              <w:tl2br w:val="nil"/>
              <w:tr2bl w:val="nil"/>
            </w:tcBorders>
            <w:shd w:val="clear" w:color="auto" w:fill="auto"/>
            <w:noWrap w:val="0"/>
            <w:vAlign w:val="center"/>
          </w:tcPr>
          <w:p w14:paraId="033CD143">
            <w:pPr>
              <w:adjustRightInd w:val="0"/>
              <w:snapToGrid w:val="0"/>
              <w:jc w:val="center"/>
              <w:rPr>
                <w:rFonts w:hint="eastAsia" w:ascii="Times New Roman" w:hAnsi="Times New Roman" w:eastAsia="宋体" w:cs="Times New Roman"/>
                <w:snapToGrid/>
                <w:color w:val="auto"/>
                <w:spacing w:val="0"/>
                <w:kern w:val="0"/>
                <w:position w:val="0"/>
                <w:sz w:val="24"/>
                <w:szCs w:val="24"/>
                <w:lang w:val="en-US" w:eastAsia="zh-CN" w:bidi="ar-SA"/>
              </w:rPr>
            </w:pPr>
            <w:r>
              <w:rPr>
                <w:rFonts w:hint="eastAsia" w:cs="Times New Roman"/>
                <w:bCs/>
                <w:color w:val="auto"/>
                <w:kern w:val="24"/>
                <w:sz w:val="24"/>
                <w:szCs w:val="24"/>
                <w:lang w:val="en-US" w:eastAsia="zh-CN"/>
              </w:rPr>
              <w:t>液氨储罐呼吸废气</w:t>
            </w:r>
          </w:p>
        </w:tc>
        <w:tc>
          <w:tcPr>
            <w:tcW w:w="1350" w:type="dxa"/>
            <w:tcBorders>
              <w:tl2br w:val="nil"/>
              <w:tr2bl w:val="nil"/>
            </w:tcBorders>
            <w:shd w:val="clear" w:color="auto" w:fill="auto"/>
            <w:noWrap w:val="0"/>
            <w:vAlign w:val="center"/>
          </w:tcPr>
          <w:p w14:paraId="70AF56FC">
            <w:pPr>
              <w:autoSpaceDE w:val="0"/>
              <w:autoSpaceDN w:val="0"/>
              <w:adjustRightInd w:val="0"/>
              <w:jc w:val="center"/>
              <w:rPr>
                <w:rFonts w:hint="default" w:ascii="Times New Roman" w:hAnsi="Times New Roman" w:eastAsia="宋体" w:cs="Times New Roman"/>
                <w:snapToGrid/>
                <w:color w:val="auto"/>
                <w:spacing w:val="0"/>
                <w:kern w:val="0"/>
                <w:position w:val="0"/>
                <w:sz w:val="24"/>
                <w:szCs w:val="24"/>
                <w:lang w:val="en-US" w:eastAsia="zh-CN" w:bidi="ar-SA"/>
              </w:rPr>
            </w:pPr>
            <w:r>
              <w:rPr>
                <w:rFonts w:hint="default" w:ascii="Times New Roman" w:hAnsi="Times New Roman" w:cs="Times New Roman"/>
                <w:snapToGrid/>
                <w:color w:val="auto"/>
                <w:spacing w:val="0"/>
                <w:kern w:val="0"/>
                <w:position w:val="0"/>
                <w:sz w:val="24"/>
                <w:szCs w:val="24"/>
                <w:lang w:eastAsia="zh-CN"/>
              </w:rPr>
              <w:t>NH</w:t>
            </w:r>
            <w:r>
              <w:rPr>
                <w:rFonts w:hint="default" w:ascii="Times New Roman" w:hAnsi="Times New Roman" w:cs="Times New Roman"/>
                <w:snapToGrid/>
                <w:color w:val="auto"/>
                <w:spacing w:val="0"/>
                <w:kern w:val="0"/>
                <w:position w:val="0"/>
                <w:sz w:val="24"/>
                <w:szCs w:val="24"/>
                <w:vertAlign w:val="subscript"/>
                <w:lang w:eastAsia="zh-CN"/>
              </w:rPr>
              <w:t>3</w:t>
            </w:r>
          </w:p>
        </w:tc>
        <w:tc>
          <w:tcPr>
            <w:tcW w:w="2145" w:type="dxa"/>
            <w:tcBorders>
              <w:tl2br w:val="nil"/>
              <w:tr2bl w:val="nil"/>
            </w:tcBorders>
            <w:shd w:val="clear" w:color="auto" w:fill="auto"/>
            <w:noWrap w:val="0"/>
            <w:vAlign w:val="center"/>
          </w:tcPr>
          <w:p w14:paraId="21AD0B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snapToGrid/>
                <w:color w:val="auto"/>
                <w:spacing w:val="0"/>
                <w:kern w:val="0"/>
                <w:position w:val="0"/>
                <w:sz w:val="24"/>
                <w:szCs w:val="24"/>
                <w:lang w:val="en-US" w:eastAsia="zh-CN" w:bidi="ar-SA"/>
              </w:rPr>
            </w:pPr>
            <w:r>
              <w:rPr>
                <w:rFonts w:hint="eastAsia" w:cs="Times New Roman"/>
                <w:snapToGrid/>
                <w:color w:val="auto"/>
                <w:spacing w:val="0"/>
                <w:kern w:val="0"/>
                <w:position w:val="0"/>
                <w:sz w:val="24"/>
                <w:szCs w:val="24"/>
                <w:lang w:val="en-US" w:eastAsia="zh-CN" w:bidi="ar-SA"/>
              </w:rPr>
              <w:t>加强通风，无组织排放</w:t>
            </w:r>
          </w:p>
        </w:tc>
        <w:tc>
          <w:tcPr>
            <w:tcW w:w="2072" w:type="dxa"/>
            <w:vMerge w:val="continue"/>
            <w:tcBorders>
              <w:tl2br w:val="nil"/>
              <w:tr2bl w:val="nil"/>
            </w:tcBorders>
            <w:shd w:val="clear" w:color="auto" w:fill="auto"/>
            <w:noWrap w:val="0"/>
            <w:vAlign w:val="center"/>
          </w:tcPr>
          <w:p w14:paraId="3DD28F9F">
            <w:pPr>
              <w:adjustRightInd w:val="0"/>
              <w:snapToGrid w:val="0"/>
              <w:jc w:val="center"/>
              <w:rPr>
                <w:rFonts w:hint="eastAsia" w:ascii="Times New Roman" w:hAnsi="Times New Roman" w:eastAsia="宋体" w:cs="Times New Roman"/>
                <w:snapToGrid/>
                <w:color w:val="auto"/>
                <w:spacing w:val="0"/>
                <w:kern w:val="0"/>
                <w:position w:val="0"/>
                <w:sz w:val="24"/>
                <w:szCs w:val="24"/>
                <w:lang w:val="en-US" w:eastAsia="zh-CN"/>
              </w:rPr>
            </w:pPr>
          </w:p>
        </w:tc>
      </w:tr>
      <w:tr w14:paraId="3F8C98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vMerge w:val="restart"/>
            <w:tcBorders>
              <w:tl2br w:val="nil"/>
              <w:tr2bl w:val="nil"/>
            </w:tcBorders>
            <w:noWrap w:val="0"/>
            <w:vAlign w:val="center"/>
          </w:tcPr>
          <w:p w14:paraId="69C1947C">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地表水环境</w:t>
            </w:r>
          </w:p>
        </w:tc>
        <w:tc>
          <w:tcPr>
            <w:tcW w:w="1860" w:type="dxa"/>
            <w:vMerge w:val="restart"/>
            <w:tcBorders>
              <w:tl2br w:val="nil"/>
              <w:tr2bl w:val="nil"/>
            </w:tcBorders>
            <w:noWrap w:val="0"/>
            <w:vAlign w:val="center"/>
          </w:tcPr>
          <w:p w14:paraId="26FAF34E">
            <w:pPr>
              <w:adjustRightInd w:val="0"/>
              <w:snapToGrid w:val="0"/>
              <w:jc w:val="center"/>
              <w:rPr>
                <w:rFonts w:hint="eastAsia" w:cs="Times New Roman"/>
                <w:snapToGrid/>
                <w:color w:val="auto"/>
                <w:spacing w:val="0"/>
                <w:kern w:val="0"/>
                <w:position w:val="0"/>
                <w:sz w:val="24"/>
                <w:szCs w:val="24"/>
              </w:rPr>
            </w:pPr>
            <w:r>
              <w:rPr>
                <w:rFonts w:hint="eastAsia" w:cs="Times New Roman"/>
                <w:snapToGrid/>
                <w:color w:val="auto"/>
                <w:spacing w:val="0"/>
                <w:kern w:val="0"/>
                <w:position w:val="0"/>
                <w:sz w:val="24"/>
                <w:szCs w:val="24"/>
              </w:rPr>
              <w:t>员工</w:t>
            </w:r>
          </w:p>
          <w:p w14:paraId="1273CB02">
            <w:pPr>
              <w:adjustRightInd w:val="0"/>
              <w:snapToGrid w:val="0"/>
              <w:jc w:val="center"/>
              <w:rPr>
                <w:rFonts w:hint="eastAsia" w:cs="Times New Roman"/>
                <w:snapToGrid/>
                <w:color w:val="auto"/>
                <w:spacing w:val="0"/>
                <w:kern w:val="0"/>
                <w:position w:val="0"/>
                <w:sz w:val="24"/>
                <w:szCs w:val="24"/>
              </w:rPr>
            </w:pPr>
            <w:r>
              <w:rPr>
                <w:rFonts w:hint="eastAsia" w:cs="Times New Roman"/>
                <w:snapToGrid/>
                <w:color w:val="auto"/>
                <w:spacing w:val="0"/>
                <w:kern w:val="0"/>
                <w:position w:val="0"/>
                <w:sz w:val="24"/>
                <w:szCs w:val="24"/>
              </w:rPr>
              <w:t>生活</w:t>
            </w:r>
          </w:p>
          <w:p w14:paraId="40CD8FAA">
            <w:pPr>
              <w:spacing w:line="240" w:lineRule="exact"/>
              <w:ind w:firstLine="0" w:firstLineChars="0"/>
              <w:jc w:val="center"/>
              <w:rPr>
                <w:rFonts w:hint="default" w:ascii="Times New Roman" w:hAnsi="Times New Roman" w:eastAsia="宋体" w:cs="Times New Roman"/>
                <w:snapToGrid/>
                <w:color w:val="auto"/>
                <w:spacing w:val="0"/>
                <w:kern w:val="0"/>
                <w:position w:val="0"/>
                <w:sz w:val="24"/>
                <w:szCs w:val="24"/>
                <w:lang w:val="en-US" w:eastAsia="zh-CN"/>
              </w:rPr>
            </w:pPr>
            <w:r>
              <w:rPr>
                <w:rFonts w:hint="eastAsia" w:cs="Times New Roman"/>
                <w:snapToGrid/>
                <w:color w:val="auto"/>
                <w:spacing w:val="0"/>
                <w:kern w:val="0"/>
                <w:position w:val="0"/>
                <w:sz w:val="24"/>
                <w:szCs w:val="24"/>
              </w:rPr>
              <w:t>污水</w:t>
            </w:r>
          </w:p>
        </w:tc>
        <w:tc>
          <w:tcPr>
            <w:tcW w:w="1350" w:type="dxa"/>
            <w:tcBorders>
              <w:tl2br w:val="nil"/>
              <w:tr2bl w:val="nil"/>
            </w:tcBorders>
            <w:noWrap w:val="0"/>
            <w:vAlign w:val="center"/>
          </w:tcPr>
          <w:p w14:paraId="7E90326A">
            <w:pPr>
              <w:adjustRightInd w:val="0"/>
              <w:snapToGrid w:val="0"/>
              <w:jc w:val="center"/>
              <w:rPr>
                <w:rFonts w:hint="default" w:ascii="Times New Roman" w:hAnsi="Times New Roman" w:eastAsia="宋体" w:cs="Times New Roman"/>
                <w:snapToGrid/>
                <w:color w:val="auto"/>
                <w:spacing w:val="0"/>
                <w:kern w:val="0"/>
                <w:position w:val="0"/>
                <w:sz w:val="24"/>
                <w:szCs w:val="24"/>
                <w:lang w:val="en-US" w:eastAsia="zh-CN" w:bidi="ar-SA"/>
              </w:rPr>
            </w:pPr>
            <w:r>
              <w:rPr>
                <w:rFonts w:hint="default" w:ascii="Times New Roman" w:hAnsi="Times New Roman" w:eastAsia="宋体" w:cs="Times New Roman"/>
                <w:snapToGrid/>
                <w:color w:val="auto"/>
                <w:spacing w:val="0"/>
                <w:kern w:val="0"/>
                <w:position w:val="0"/>
                <w:sz w:val="24"/>
                <w:szCs w:val="24"/>
                <w:lang w:val="en-US" w:eastAsia="zh-CN"/>
              </w:rPr>
              <w:t>COD</w:t>
            </w:r>
          </w:p>
        </w:tc>
        <w:tc>
          <w:tcPr>
            <w:tcW w:w="2145" w:type="dxa"/>
            <w:vMerge w:val="restart"/>
            <w:tcBorders>
              <w:tl2br w:val="nil"/>
              <w:tr2bl w:val="nil"/>
            </w:tcBorders>
            <w:noWrap w:val="0"/>
            <w:vAlign w:val="center"/>
          </w:tcPr>
          <w:p w14:paraId="6D38BF00">
            <w:pPr>
              <w:adjustRightInd w:val="0"/>
              <w:snapToGrid w:val="0"/>
              <w:jc w:val="center"/>
              <w:rPr>
                <w:rFonts w:hint="default" w:ascii="Times New Roman" w:hAnsi="Times New Roman" w:eastAsia="宋体" w:cs="Times New Roman"/>
                <w:snapToGrid/>
                <w:color w:val="auto"/>
                <w:spacing w:val="0"/>
                <w:kern w:val="0"/>
                <w:position w:val="0"/>
                <w:sz w:val="24"/>
                <w:szCs w:val="24"/>
              </w:rPr>
            </w:pPr>
            <w:r>
              <w:rPr>
                <w:rFonts w:hint="eastAsia"/>
                <w:snapToGrid/>
                <w:color w:val="auto"/>
                <w:spacing w:val="0"/>
                <w:kern w:val="0"/>
                <w:position w:val="0"/>
                <w:sz w:val="24"/>
                <w:szCs w:val="24"/>
                <w:lang w:val="en-US" w:eastAsia="zh-CN"/>
              </w:rPr>
              <w:t>化粪池</w:t>
            </w:r>
          </w:p>
        </w:tc>
        <w:tc>
          <w:tcPr>
            <w:tcW w:w="2072" w:type="dxa"/>
            <w:vMerge w:val="restart"/>
            <w:tcBorders>
              <w:tl2br w:val="nil"/>
              <w:tr2bl w:val="nil"/>
            </w:tcBorders>
            <w:noWrap w:val="0"/>
            <w:vAlign w:val="center"/>
          </w:tcPr>
          <w:p w14:paraId="37042D8F">
            <w:pPr>
              <w:adjustRightInd w:val="0"/>
              <w:snapToGrid w:val="0"/>
              <w:jc w:val="center"/>
              <w:rPr>
                <w:rFonts w:hint="default" w:ascii="Times New Roman" w:hAnsi="Times New Roman" w:eastAsia="宋体" w:cs="Times New Roman"/>
                <w:snapToGrid/>
                <w:color w:val="auto"/>
                <w:spacing w:val="0"/>
                <w:kern w:val="0"/>
                <w:position w:val="0"/>
                <w:sz w:val="24"/>
                <w:szCs w:val="24"/>
                <w:lang w:val="en-US" w:eastAsia="zh-CN"/>
              </w:rPr>
            </w:pPr>
            <w:r>
              <w:rPr>
                <w:rFonts w:hint="default" w:ascii="Times New Roman" w:hAnsi="Times New Roman" w:eastAsia="宋体" w:cs="Times New Roman"/>
                <w:snapToGrid/>
                <w:color w:val="auto"/>
                <w:spacing w:val="0"/>
                <w:kern w:val="0"/>
                <w:position w:val="0"/>
                <w:sz w:val="24"/>
                <w:szCs w:val="24"/>
                <w:lang w:val="en-US" w:eastAsia="zh-CN"/>
              </w:rPr>
              <w:t>经化粪池处理后定期清掏，不外排</w:t>
            </w:r>
          </w:p>
        </w:tc>
      </w:tr>
      <w:tr w14:paraId="1BB434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vMerge w:val="continue"/>
            <w:tcBorders>
              <w:tl2br w:val="nil"/>
              <w:tr2bl w:val="nil"/>
            </w:tcBorders>
            <w:noWrap w:val="0"/>
            <w:vAlign w:val="center"/>
          </w:tcPr>
          <w:p w14:paraId="07C8DC3B">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p>
        </w:tc>
        <w:tc>
          <w:tcPr>
            <w:tcW w:w="1860" w:type="dxa"/>
            <w:vMerge w:val="continue"/>
            <w:tcBorders>
              <w:tl2br w:val="nil"/>
              <w:tr2bl w:val="nil"/>
            </w:tcBorders>
            <w:noWrap w:val="0"/>
            <w:vAlign w:val="center"/>
          </w:tcPr>
          <w:p w14:paraId="3F3C3F9A">
            <w:pPr>
              <w:adjustRightInd w:val="0"/>
              <w:snapToGrid w:val="0"/>
              <w:jc w:val="center"/>
              <w:rPr>
                <w:rFonts w:hint="default" w:ascii="Times New Roman" w:hAnsi="Times New Roman" w:eastAsia="宋体" w:cs="Times New Roman"/>
                <w:snapToGrid/>
                <w:color w:val="auto"/>
                <w:spacing w:val="0"/>
                <w:kern w:val="0"/>
                <w:position w:val="0"/>
                <w:sz w:val="24"/>
                <w:szCs w:val="24"/>
                <w:lang w:val="en-US" w:eastAsia="zh-CN"/>
              </w:rPr>
            </w:pPr>
          </w:p>
        </w:tc>
        <w:tc>
          <w:tcPr>
            <w:tcW w:w="1350" w:type="dxa"/>
            <w:tcBorders>
              <w:tl2br w:val="nil"/>
              <w:tr2bl w:val="nil"/>
            </w:tcBorders>
            <w:noWrap w:val="0"/>
            <w:vAlign w:val="center"/>
          </w:tcPr>
          <w:p w14:paraId="70E48AD0">
            <w:pPr>
              <w:adjustRightInd w:val="0"/>
              <w:snapToGrid w:val="0"/>
              <w:jc w:val="center"/>
              <w:rPr>
                <w:rFonts w:hint="default" w:ascii="Times New Roman" w:hAnsi="Times New Roman" w:eastAsia="宋体" w:cs="Times New Roman"/>
                <w:snapToGrid/>
                <w:color w:val="auto"/>
                <w:spacing w:val="0"/>
                <w:kern w:val="0"/>
                <w:position w:val="0"/>
                <w:sz w:val="24"/>
                <w:szCs w:val="24"/>
                <w:lang w:val="en-US" w:eastAsia="zh-CN" w:bidi="ar-SA"/>
              </w:rPr>
            </w:pPr>
            <w:r>
              <w:rPr>
                <w:rFonts w:hint="default" w:ascii="Times New Roman" w:hAnsi="Times New Roman" w:eastAsia="宋体" w:cs="Times New Roman"/>
                <w:snapToGrid/>
                <w:color w:val="auto"/>
                <w:spacing w:val="0"/>
                <w:kern w:val="0"/>
                <w:position w:val="0"/>
                <w:sz w:val="24"/>
                <w:szCs w:val="24"/>
                <w:lang w:val="en-US" w:eastAsia="zh-CN"/>
              </w:rPr>
              <w:t>SS</w:t>
            </w:r>
          </w:p>
        </w:tc>
        <w:tc>
          <w:tcPr>
            <w:tcW w:w="2145" w:type="dxa"/>
            <w:vMerge w:val="continue"/>
            <w:tcBorders>
              <w:tl2br w:val="nil"/>
              <w:tr2bl w:val="nil"/>
            </w:tcBorders>
            <w:noWrap w:val="0"/>
            <w:vAlign w:val="center"/>
          </w:tcPr>
          <w:p w14:paraId="04DC0D03">
            <w:pPr>
              <w:adjustRightInd w:val="0"/>
              <w:snapToGrid w:val="0"/>
              <w:jc w:val="center"/>
              <w:rPr>
                <w:rFonts w:hint="default" w:ascii="Times New Roman" w:hAnsi="Times New Roman" w:eastAsia="宋体" w:cs="Times New Roman"/>
                <w:snapToGrid/>
                <w:color w:val="auto"/>
                <w:spacing w:val="0"/>
                <w:kern w:val="0"/>
                <w:position w:val="0"/>
                <w:sz w:val="24"/>
                <w:szCs w:val="24"/>
              </w:rPr>
            </w:pPr>
          </w:p>
        </w:tc>
        <w:tc>
          <w:tcPr>
            <w:tcW w:w="2072" w:type="dxa"/>
            <w:vMerge w:val="continue"/>
            <w:tcBorders>
              <w:tl2br w:val="nil"/>
              <w:tr2bl w:val="nil"/>
            </w:tcBorders>
            <w:noWrap w:val="0"/>
            <w:vAlign w:val="center"/>
          </w:tcPr>
          <w:p w14:paraId="21838A38">
            <w:pPr>
              <w:adjustRightInd w:val="0"/>
              <w:snapToGrid w:val="0"/>
              <w:jc w:val="center"/>
              <w:rPr>
                <w:rFonts w:hint="default" w:ascii="Times New Roman" w:hAnsi="Times New Roman" w:eastAsia="宋体" w:cs="Times New Roman"/>
                <w:snapToGrid/>
                <w:color w:val="auto"/>
                <w:spacing w:val="0"/>
                <w:kern w:val="0"/>
                <w:position w:val="0"/>
                <w:sz w:val="24"/>
                <w:szCs w:val="24"/>
              </w:rPr>
            </w:pPr>
          </w:p>
        </w:tc>
      </w:tr>
      <w:tr w14:paraId="41F152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vMerge w:val="continue"/>
            <w:tcBorders>
              <w:tl2br w:val="nil"/>
              <w:tr2bl w:val="nil"/>
            </w:tcBorders>
            <w:noWrap w:val="0"/>
            <w:vAlign w:val="center"/>
          </w:tcPr>
          <w:p w14:paraId="7A5673C8">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p>
        </w:tc>
        <w:tc>
          <w:tcPr>
            <w:tcW w:w="1860" w:type="dxa"/>
            <w:vMerge w:val="continue"/>
            <w:tcBorders>
              <w:tl2br w:val="nil"/>
              <w:tr2bl w:val="nil"/>
            </w:tcBorders>
            <w:noWrap w:val="0"/>
            <w:vAlign w:val="center"/>
          </w:tcPr>
          <w:p w14:paraId="1206A9B9">
            <w:pPr>
              <w:adjustRightInd w:val="0"/>
              <w:snapToGrid w:val="0"/>
              <w:jc w:val="center"/>
              <w:rPr>
                <w:rFonts w:hint="default" w:ascii="Times New Roman" w:hAnsi="Times New Roman" w:eastAsia="宋体" w:cs="Times New Roman"/>
                <w:snapToGrid/>
                <w:color w:val="auto"/>
                <w:spacing w:val="0"/>
                <w:kern w:val="0"/>
                <w:position w:val="0"/>
                <w:sz w:val="24"/>
                <w:szCs w:val="24"/>
                <w:lang w:val="en-US" w:eastAsia="zh-CN"/>
              </w:rPr>
            </w:pPr>
          </w:p>
        </w:tc>
        <w:tc>
          <w:tcPr>
            <w:tcW w:w="1350" w:type="dxa"/>
            <w:tcBorders>
              <w:tl2br w:val="nil"/>
              <w:tr2bl w:val="nil"/>
            </w:tcBorders>
            <w:noWrap w:val="0"/>
            <w:vAlign w:val="center"/>
          </w:tcPr>
          <w:p w14:paraId="30CE8E25">
            <w:pPr>
              <w:adjustRightInd w:val="0"/>
              <w:snapToGrid w:val="0"/>
              <w:jc w:val="center"/>
              <w:rPr>
                <w:rFonts w:hint="default" w:ascii="Times New Roman" w:hAnsi="Times New Roman" w:eastAsia="宋体" w:cs="Times New Roman"/>
                <w:snapToGrid/>
                <w:color w:val="auto"/>
                <w:spacing w:val="0"/>
                <w:kern w:val="0"/>
                <w:position w:val="0"/>
                <w:sz w:val="24"/>
                <w:szCs w:val="24"/>
                <w:lang w:val="en-US" w:eastAsia="zh-CN" w:bidi="ar-SA"/>
              </w:rPr>
            </w:pPr>
            <w:r>
              <w:rPr>
                <w:rFonts w:hint="default" w:ascii="Times New Roman" w:hAnsi="Times New Roman" w:eastAsia="宋体" w:cs="Times New Roman"/>
                <w:snapToGrid/>
                <w:color w:val="auto"/>
                <w:spacing w:val="0"/>
                <w:kern w:val="0"/>
                <w:position w:val="0"/>
                <w:sz w:val="24"/>
                <w:szCs w:val="24"/>
                <w:lang w:val="en-US" w:eastAsia="zh-CN"/>
              </w:rPr>
              <w:t>BOD</w:t>
            </w:r>
            <w:r>
              <w:rPr>
                <w:rFonts w:hint="default" w:ascii="Times New Roman" w:hAnsi="Times New Roman" w:eastAsia="宋体" w:cs="Times New Roman"/>
                <w:snapToGrid/>
                <w:color w:val="auto"/>
                <w:spacing w:val="0"/>
                <w:kern w:val="0"/>
                <w:position w:val="0"/>
                <w:sz w:val="24"/>
                <w:szCs w:val="24"/>
                <w:vertAlign w:val="subscript"/>
                <w:lang w:val="en-US" w:eastAsia="zh-CN"/>
              </w:rPr>
              <w:t>5</w:t>
            </w:r>
          </w:p>
        </w:tc>
        <w:tc>
          <w:tcPr>
            <w:tcW w:w="2145" w:type="dxa"/>
            <w:vMerge w:val="continue"/>
            <w:tcBorders>
              <w:tl2br w:val="nil"/>
              <w:tr2bl w:val="nil"/>
            </w:tcBorders>
            <w:noWrap w:val="0"/>
            <w:vAlign w:val="center"/>
          </w:tcPr>
          <w:p w14:paraId="3AA4A9CA">
            <w:pPr>
              <w:adjustRightInd w:val="0"/>
              <w:snapToGrid w:val="0"/>
              <w:jc w:val="center"/>
              <w:rPr>
                <w:rFonts w:hint="default" w:ascii="Times New Roman" w:hAnsi="Times New Roman" w:eastAsia="宋体" w:cs="Times New Roman"/>
                <w:snapToGrid/>
                <w:color w:val="auto"/>
                <w:spacing w:val="0"/>
                <w:kern w:val="0"/>
                <w:position w:val="0"/>
                <w:sz w:val="24"/>
                <w:szCs w:val="24"/>
              </w:rPr>
            </w:pPr>
          </w:p>
        </w:tc>
        <w:tc>
          <w:tcPr>
            <w:tcW w:w="2072" w:type="dxa"/>
            <w:vMerge w:val="continue"/>
            <w:tcBorders>
              <w:tl2br w:val="nil"/>
              <w:tr2bl w:val="nil"/>
            </w:tcBorders>
            <w:noWrap w:val="0"/>
            <w:vAlign w:val="center"/>
          </w:tcPr>
          <w:p w14:paraId="5DA9475A">
            <w:pPr>
              <w:adjustRightInd w:val="0"/>
              <w:snapToGrid w:val="0"/>
              <w:jc w:val="center"/>
              <w:rPr>
                <w:rFonts w:hint="default" w:ascii="Times New Roman" w:hAnsi="Times New Roman" w:eastAsia="宋体" w:cs="Times New Roman"/>
                <w:snapToGrid/>
                <w:color w:val="auto"/>
                <w:spacing w:val="0"/>
                <w:kern w:val="0"/>
                <w:position w:val="0"/>
                <w:sz w:val="24"/>
                <w:szCs w:val="24"/>
              </w:rPr>
            </w:pPr>
          </w:p>
        </w:tc>
      </w:tr>
      <w:tr w14:paraId="5251D8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vMerge w:val="continue"/>
            <w:tcBorders>
              <w:tl2br w:val="nil"/>
              <w:tr2bl w:val="nil"/>
            </w:tcBorders>
            <w:noWrap w:val="0"/>
            <w:vAlign w:val="center"/>
          </w:tcPr>
          <w:p w14:paraId="21F58FE2">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p>
        </w:tc>
        <w:tc>
          <w:tcPr>
            <w:tcW w:w="1860" w:type="dxa"/>
            <w:vMerge w:val="continue"/>
            <w:tcBorders>
              <w:tl2br w:val="nil"/>
              <w:tr2bl w:val="nil"/>
            </w:tcBorders>
            <w:noWrap w:val="0"/>
            <w:vAlign w:val="center"/>
          </w:tcPr>
          <w:p w14:paraId="6A8901E4">
            <w:pPr>
              <w:adjustRightInd w:val="0"/>
              <w:snapToGrid w:val="0"/>
              <w:jc w:val="center"/>
              <w:rPr>
                <w:rFonts w:hint="default" w:ascii="Times New Roman" w:hAnsi="Times New Roman" w:eastAsia="宋体" w:cs="Times New Roman"/>
                <w:snapToGrid/>
                <w:color w:val="auto"/>
                <w:spacing w:val="0"/>
                <w:kern w:val="0"/>
                <w:position w:val="0"/>
                <w:sz w:val="24"/>
                <w:szCs w:val="24"/>
                <w:lang w:val="en-US" w:eastAsia="zh-CN"/>
              </w:rPr>
            </w:pPr>
          </w:p>
        </w:tc>
        <w:tc>
          <w:tcPr>
            <w:tcW w:w="1350" w:type="dxa"/>
            <w:tcBorders>
              <w:tl2br w:val="nil"/>
              <w:tr2bl w:val="nil"/>
            </w:tcBorders>
            <w:noWrap w:val="0"/>
            <w:vAlign w:val="center"/>
          </w:tcPr>
          <w:p w14:paraId="6F09C25A">
            <w:pPr>
              <w:adjustRightInd w:val="0"/>
              <w:snapToGrid w:val="0"/>
              <w:jc w:val="center"/>
              <w:rPr>
                <w:rFonts w:hint="default" w:ascii="Times New Roman" w:hAnsi="Times New Roman" w:eastAsia="宋体" w:cs="Times New Roman"/>
                <w:snapToGrid/>
                <w:color w:val="auto"/>
                <w:spacing w:val="0"/>
                <w:kern w:val="0"/>
                <w:position w:val="0"/>
                <w:sz w:val="24"/>
                <w:szCs w:val="24"/>
                <w:lang w:val="en-US" w:eastAsia="zh-CN" w:bidi="ar-SA"/>
              </w:rPr>
            </w:pPr>
            <w:r>
              <w:rPr>
                <w:rFonts w:cs="Times New Roman"/>
                <w:snapToGrid/>
                <w:color w:val="auto"/>
                <w:spacing w:val="0"/>
                <w:kern w:val="0"/>
                <w:position w:val="0"/>
                <w:sz w:val="24"/>
                <w:szCs w:val="24"/>
              </w:rPr>
              <w:t>NH</w:t>
            </w:r>
            <w:r>
              <w:rPr>
                <w:rFonts w:cs="Times New Roman"/>
                <w:snapToGrid/>
                <w:color w:val="auto"/>
                <w:spacing w:val="0"/>
                <w:kern w:val="0"/>
                <w:position w:val="0"/>
                <w:sz w:val="24"/>
                <w:szCs w:val="24"/>
                <w:vertAlign w:val="subscript"/>
              </w:rPr>
              <w:t>3</w:t>
            </w:r>
            <w:r>
              <w:rPr>
                <w:rFonts w:cs="Times New Roman"/>
                <w:snapToGrid/>
                <w:color w:val="auto"/>
                <w:spacing w:val="0"/>
                <w:kern w:val="0"/>
                <w:position w:val="0"/>
                <w:sz w:val="24"/>
                <w:szCs w:val="24"/>
              </w:rPr>
              <w:t>-N</w:t>
            </w:r>
          </w:p>
        </w:tc>
        <w:tc>
          <w:tcPr>
            <w:tcW w:w="2145" w:type="dxa"/>
            <w:vMerge w:val="continue"/>
            <w:tcBorders>
              <w:tl2br w:val="nil"/>
              <w:tr2bl w:val="nil"/>
            </w:tcBorders>
            <w:noWrap w:val="0"/>
            <w:vAlign w:val="center"/>
          </w:tcPr>
          <w:p w14:paraId="51C9197B">
            <w:pPr>
              <w:adjustRightInd w:val="0"/>
              <w:snapToGrid w:val="0"/>
              <w:jc w:val="center"/>
              <w:rPr>
                <w:rFonts w:hint="default" w:ascii="Times New Roman" w:hAnsi="Times New Roman" w:eastAsia="宋体" w:cs="Times New Roman"/>
                <w:snapToGrid/>
                <w:color w:val="auto"/>
                <w:spacing w:val="0"/>
                <w:kern w:val="0"/>
                <w:position w:val="0"/>
                <w:sz w:val="24"/>
                <w:szCs w:val="24"/>
              </w:rPr>
            </w:pPr>
          </w:p>
        </w:tc>
        <w:tc>
          <w:tcPr>
            <w:tcW w:w="2072" w:type="dxa"/>
            <w:vMerge w:val="continue"/>
            <w:tcBorders>
              <w:tl2br w:val="nil"/>
              <w:tr2bl w:val="nil"/>
            </w:tcBorders>
            <w:noWrap w:val="0"/>
            <w:vAlign w:val="center"/>
          </w:tcPr>
          <w:p w14:paraId="6730E3FA">
            <w:pPr>
              <w:adjustRightInd w:val="0"/>
              <w:snapToGrid w:val="0"/>
              <w:jc w:val="center"/>
              <w:rPr>
                <w:rFonts w:hint="default" w:ascii="Times New Roman" w:hAnsi="Times New Roman" w:eastAsia="宋体" w:cs="Times New Roman"/>
                <w:snapToGrid/>
                <w:color w:val="auto"/>
                <w:spacing w:val="0"/>
                <w:kern w:val="0"/>
                <w:position w:val="0"/>
                <w:sz w:val="24"/>
                <w:szCs w:val="24"/>
              </w:rPr>
            </w:pPr>
          </w:p>
        </w:tc>
      </w:tr>
      <w:tr w14:paraId="4B63A4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1564" w:type="dxa"/>
            <w:tcBorders>
              <w:tl2br w:val="nil"/>
              <w:tr2bl w:val="nil"/>
            </w:tcBorders>
            <w:noWrap w:val="0"/>
            <w:vAlign w:val="center"/>
          </w:tcPr>
          <w:p w14:paraId="6BCE383C">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声环境</w:t>
            </w:r>
          </w:p>
        </w:tc>
        <w:tc>
          <w:tcPr>
            <w:tcW w:w="1860" w:type="dxa"/>
            <w:tcBorders>
              <w:tl2br w:val="nil"/>
              <w:tr2bl w:val="nil"/>
            </w:tcBorders>
            <w:noWrap w:val="0"/>
            <w:vAlign w:val="center"/>
          </w:tcPr>
          <w:p w14:paraId="6897B5FC">
            <w:pPr>
              <w:adjustRightInd w:val="0"/>
              <w:snapToGrid w:val="0"/>
              <w:jc w:val="center"/>
              <w:rPr>
                <w:rFonts w:hint="default" w:ascii="Times New Roman" w:hAnsi="Times New Roman" w:eastAsia="宋体" w:cs="Times New Roman"/>
                <w:snapToGrid/>
                <w:color w:val="auto"/>
                <w:spacing w:val="0"/>
                <w:kern w:val="0"/>
                <w:position w:val="0"/>
                <w:sz w:val="24"/>
                <w:szCs w:val="24"/>
                <w:lang w:eastAsia="zh-CN"/>
              </w:rPr>
            </w:pPr>
            <w:r>
              <w:rPr>
                <w:rFonts w:hint="default" w:ascii="Times New Roman" w:hAnsi="Times New Roman" w:eastAsia="宋体" w:cs="Times New Roman"/>
                <w:snapToGrid/>
                <w:color w:val="auto"/>
                <w:spacing w:val="0"/>
                <w:kern w:val="0"/>
                <w:position w:val="0"/>
                <w:sz w:val="24"/>
                <w:szCs w:val="24"/>
                <w:lang w:eastAsia="zh-CN"/>
              </w:rPr>
              <w:t>厂界</w:t>
            </w:r>
          </w:p>
        </w:tc>
        <w:tc>
          <w:tcPr>
            <w:tcW w:w="1350" w:type="dxa"/>
            <w:tcBorders>
              <w:tl2br w:val="nil"/>
              <w:tr2bl w:val="nil"/>
            </w:tcBorders>
            <w:noWrap w:val="0"/>
            <w:vAlign w:val="center"/>
          </w:tcPr>
          <w:p w14:paraId="798E6D44">
            <w:pPr>
              <w:adjustRightInd w:val="0"/>
              <w:snapToGrid w:val="0"/>
              <w:jc w:val="center"/>
              <w:rPr>
                <w:rFonts w:hint="default" w:ascii="Times New Roman" w:hAnsi="Times New Roman" w:eastAsia="宋体" w:cs="Times New Roman"/>
                <w:snapToGrid/>
                <w:color w:val="auto"/>
                <w:spacing w:val="0"/>
                <w:kern w:val="0"/>
                <w:position w:val="0"/>
                <w:sz w:val="24"/>
                <w:szCs w:val="24"/>
                <w:lang w:eastAsia="zh-CN"/>
              </w:rPr>
            </w:pPr>
            <w:r>
              <w:rPr>
                <w:rFonts w:hint="default" w:ascii="Times New Roman" w:hAnsi="Times New Roman" w:eastAsia="宋体" w:cs="Times New Roman"/>
                <w:snapToGrid/>
                <w:color w:val="auto"/>
                <w:spacing w:val="0"/>
                <w:kern w:val="0"/>
                <w:position w:val="0"/>
                <w:sz w:val="24"/>
                <w:szCs w:val="24"/>
                <w:lang w:eastAsia="zh-CN"/>
              </w:rPr>
              <w:t>噪声</w:t>
            </w:r>
          </w:p>
        </w:tc>
        <w:tc>
          <w:tcPr>
            <w:tcW w:w="2145" w:type="dxa"/>
            <w:tcBorders>
              <w:tl2br w:val="nil"/>
              <w:tr2bl w:val="nil"/>
            </w:tcBorders>
            <w:noWrap w:val="0"/>
            <w:vAlign w:val="center"/>
          </w:tcPr>
          <w:p w14:paraId="406D7652">
            <w:pPr>
              <w:adjustRightInd w:val="0"/>
              <w:snapToGrid w:val="0"/>
              <w:jc w:val="center"/>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t>合理布局；对高噪声设备采取隔振减振措施；车间隔声；合理安排生产时间</w:t>
            </w:r>
          </w:p>
        </w:tc>
        <w:tc>
          <w:tcPr>
            <w:tcW w:w="2072" w:type="dxa"/>
            <w:tcBorders>
              <w:tl2br w:val="nil"/>
              <w:tr2bl w:val="nil"/>
            </w:tcBorders>
            <w:noWrap w:val="0"/>
            <w:vAlign w:val="center"/>
          </w:tcPr>
          <w:p w14:paraId="6F6FC78F">
            <w:pPr>
              <w:adjustRightInd w:val="0"/>
              <w:snapToGrid w:val="0"/>
              <w:jc w:val="center"/>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t>《工业企业厂界环境噪声排放标准》（GB12348-2008）中的</w:t>
            </w:r>
            <w:r>
              <w:rPr>
                <w:rFonts w:hint="eastAsia" w:cs="Times New Roman"/>
                <w:snapToGrid/>
                <w:color w:val="auto"/>
                <w:spacing w:val="0"/>
                <w:kern w:val="0"/>
                <w:position w:val="0"/>
                <w:sz w:val="24"/>
                <w:szCs w:val="24"/>
                <w:lang w:val="en-US" w:eastAsia="zh-CN"/>
              </w:rPr>
              <w:t>2</w:t>
            </w:r>
            <w:r>
              <w:rPr>
                <w:rFonts w:hint="default" w:ascii="Times New Roman" w:hAnsi="Times New Roman" w:eastAsia="宋体" w:cs="Times New Roman"/>
                <w:snapToGrid/>
                <w:color w:val="auto"/>
                <w:spacing w:val="0"/>
                <w:kern w:val="0"/>
                <w:position w:val="0"/>
                <w:sz w:val="24"/>
                <w:szCs w:val="24"/>
                <w:lang w:val="en-US" w:eastAsia="zh-CN"/>
              </w:rPr>
              <w:t>类</w:t>
            </w:r>
            <w:r>
              <w:rPr>
                <w:rFonts w:hint="default" w:ascii="Times New Roman" w:hAnsi="Times New Roman" w:eastAsia="宋体" w:cs="Times New Roman"/>
                <w:snapToGrid/>
                <w:color w:val="auto"/>
                <w:spacing w:val="0"/>
                <w:kern w:val="0"/>
                <w:position w:val="0"/>
                <w:sz w:val="24"/>
                <w:szCs w:val="24"/>
              </w:rPr>
              <w:t>标准</w:t>
            </w:r>
          </w:p>
        </w:tc>
      </w:tr>
      <w:tr w14:paraId="78B2D1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64" w:type="dxa"/>
            <w:tcBorders>
              <w:tl2br w:val="nil"/>
              <w:tr2bl w:val="nil"/>
            </w:tcBorders>
            <w:noWrap w:val="0"/>
            <w:vAlign w:val="center"/>
          </w:tcPr>
          <w:p w14:paraId="643BE7F1">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电磁辐射</w:t>
            </w:r>
          </w:p>
        </w:tc>
        <w:tc>
          <w:tcPr>
            <w:tcW w:w="7427" w:type="dxa"/>
            <w:gridSpan w:val="4"/>
            <w:tcBorders>
              <w:tl2br w:val="nil"/>
              <w:tr2bl w:val="nil"/>
            </w:tcBorders>
            <w:noWrap w:val="0"/>
            <w:vAlign w:val="center"/>
          </w:tcPr>
          <w:p w14:paraId="0DBE7C69">
            <w:pPr>
              <w:adjustRightInd w:val="0"/>
              <w:snapToGrid w:val="0"/>
              <w:jc w:val="center"/>
              <w:rPr>
                <w:rFonts w:hint="default" w:ascii="Times New Roman" w:hAnsi="Times New Roman" w:eastAsia="宋体" w:cs="Times New Roman"/>
                <w:snapToGrid/>
                <w:color w:val="auto"/>
                <w:spacing w:val="0"/>
                <w:kern w:val="0"/>
                <w:position w:val="0"/>
                <w:sz w:val="24"/>
                <w:szCs w:val="24"/>
                <w:lang w:val="en-US" w:eastAsia="zh-CN"/>
              </w:rPr>
            </w:pPr>
            <w:r>
              <w:rPr>
                <w:rFonts w:hint="eastAsia" w:ascii="Times New Roman" w:hAnsi="Times New Roman" w:eastAsia="宋体" w:cs="Times New Roman"/>
                <w:snapToGrid/>
                <w:color w:val="auto"/>
                <w:spacing w:val="0"/>
                <w:kern w:val="0"/>
                <w:position w:val="0"/>
                <w:sz w:val="24"/>
                <w:szCs w:val="24"/>
                <w:lang w:val="en-US" w:eastAsia="zh-CN"/>
              </w:rPr>
              <w:t>无</w:t>
            </w:r>
          </w:p>
        </w:tc>
      </w:tr>
      <w:tr w14:paraId="7D9D15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564" w:type="dxa"/>
            <w:tcBorders>
              <w:tl2br w:val="nil"/>
              <w:tr2bl w:val="nil"/>
            </w:tcBorders>
            <w:noWrap w:val="0"/>
            <w:vAlign w:val="center"/>
          </w:tcPr>
          <w:p w14:paraId="1AFEC94D">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固体废物</w:t>
            </w:r>
          </w:p>
        </w:tc>
        <w:tc>
          <w:tcPr>
            <w:tcW w:w="7427" w:type="dxa"/>
            <w:gridSpan w:val="4"/>
            <w:tcBorders>
              <w:tl2br w:val="nil"/>
              <w:tr2bl w:val="nil"/>
            </w:tcBorders>
            <w:noWrap w:val="0"/>
            <w:vAlign w:val="center"/>
          </w:tcPr>
          <w:p w14:paraId="3FCAB931">
            <w:pPr>
              <w:keepNext w:val="0"/>
              <w:keepLines w:val="0"/>
              <w:pageBreakBefore w:val="0"/>
              <w:widowControl/>
              <w:kinsoku/>
              <w:wordWrap/>
              <w:overflowPunct/>
              <w:topLinePunct w:val="0"/>
              <w:autoSpaceDE/>
              <w:autoSpaceDN/>
              <w:bidi w:val="0"/>
              <w:adjustRightInd/>
              <w:snapToGrid/>
              <w:spacing w:before="95" w:beforeLines="30" w:line="312" w:lineRule="auto"/>
              <w:jc w:val="center"/>
              <w:textAlignment w:val="auto"/>
              <w:rPr>
                <w:rFonts w:hint="default" w:ascii="Times New Roman" w:hAnsi="Times New Roman" w:eastAsia="宋体" w:cs="Times New Roman"/>
                <w:snapToGrid/>
                <w:color w:val="auto"/>
                <w:spacing w:val="0"/>
                <w:kern w:val="0"/>
                <w:position w:val="0"/>
                <w:sz w:val="24"/>
                <w:szCs w:val="24"/>
              </w:rPr>
            </w:pPr>
            <w:r>
              <w:rPr>
                <w:snapToGrid/>
                <w:color w:val="auto"/>
                <w:spacing w:val="0"/>
                <w:kern w:val="0"/>
                <w:position w:val="0"/>
                <w:sz w:val="24"/>
                <w:szCs w:val="24"/>
              </w:rPr>
              <w:t>本项目产生的</w:t>
            </w:r>
            <w:r>
              <w:rPr>
                <w:rFonts w:hint="eastAsia" w:ascii="Times New Roman" w:hAnsi="Times New Roman" w:eastAsia="宋体" w:cs="Times New Roman"/>
                <w:snapToGrid/>
                <w:color w:val="auto"/>
                <w:spacing w:val="0"/>
                <w:kern w:val="0"/>
                <w:position w:val="0"/>
                <w:sz w:val="24"/>
                <w:szCs w:val="24"/>
                <w:lang w:eastAsia="zh-CN"/>
              </w:rPr>
              <w:t>一般工业固体废物</w:t>
            </w:r>
            <w:r>
              <w:rPr>
                <w:rFonts w:hint="eastAsia" w:cs="Times New Roman"/>
                <w:snapToGrid/>
                <w:color w:val="auto"/>
                <w:spacing w:val="0"/>
                <w:kern w:val="0"/>
                <w:position w:val="0"/>
                <w:sz w:val="24"/>
                <w:szCs w:val="24"/>
                <w:lang w:eastAsia="zh-CN"/>
              </w:rPr>
              <w:t>，</w:t>
            </w:r>
            <w:r>
              <w:rPr>
                <w:rFonts w:hint="eastAsia" w:ascii="Times New Roman" w:hAnsi="Times New Roman" w:cs="Times New Roman"/>
                <w:b w:val="0"/>
                <w:bCs w:val="0"/>
                <w:color w:val="auto"/>
                <w:sz w:val="24"/>
                <w:szCs w:val="24"/>
                <w:lang w:val="en-US" w:eastAsia="zh-CN"/>
              </w:rPr>
              <w:t>废包装袋</w:t>
            </w:r>
            <w:r>
              <w:rPr>
                <w:rFonts w:hint="eastAsia" w:cs="Times New Roman"/>
                <w:b w:val="0"/>
                <w:bCs w:val="0"/>
                <w:color w:val="auto"/>
                <w:sz w:val="24"/>
                <w:szCs w:val="24"/>
                <w:highlight w:val="none"/>
                <w:lang w:val="en-US" w:eastAsia="zh-CN"/>
              </w:rPr>
              <w:t>、</w:t>
            </w:r>
            <w:r>
              <w:rPr>
                <w:rFonts w:hint="eastAsia" w:ascii="Times New Roman" w:hAnsi="Times New Roman" w:cs="Times New Roman"/>
                <w:b w:val="0"/>
                <w:bCs w:val="0"/>
                <w:color w:val="auto"/>
                <w:sz w:val="24"/>
                <w:szCs w:val="24"/>
                <w:lang w:val="en-US" w:eastAsia="zh-CN"/>
              </w:rPr>
              <w:t>回收粘结剂、</w:t>
            </w:r>
            <w:r>
              <w:rPr>
                <w:rFonts w:hint="default" w:ascii="Times New Roman" w:hAnsi="Times New Roman" w:eastAsia="宋体" w:cs="Times New Roman"/>
                <w:b w:val="0"/>
                <w:bCs w:val="0"/>
                <w:color w:val="auto"/>
                <w:sz w:val="24"/>
                <w:szCs w:val="24"/>
                <w:lang w:val="en-US" w:eastAsia="zh-CN"/>
              </w:rPr>
              <w:t>废包装材料</w:t>
            </w:r>
            <w:r>
              <w:rPr>
                <w:rFonts w:hint="default" w:ascii="Times New Roman" w:hAnsi="Times New Roman" w:cs="Times New Roman"/>
                <w:b w:val="0"/>
                <w:bCs w:val="0"/>
                <w:color w:val="auto"/>
                <w:sz w:val="24"/>
                <w:szCs w:val="24"/>
                <w:highlight w:val="none"/>
                <w:lang w:val="en-US" w:eastAsia="zh-CN"/>
              </w:rPr>
              <w:t>统一收集后由资源利用单位回收利用</w:t>
            </w:r>
            <w:r>
              <w:rPr>
                <w:rFonts w:hint="eastAsia" w:cs="Times New Roman"/>
                <w:b w:val="0"/>
                <w:bCs w:val="0"/>
                <w:color w:val="auto"/>
                <w:sz w:val="24"/>
                <w:szCs w:val="24"/>
                <w:highlight w:val="none"/>
                <w:lang w:val="en-US" w:eastAsia="zh-CN"/>
              </w:rPr>
              <w:t>，</w:t>
            </w:r>
            <w:r>
              <w:rPr>
                <w:rFonts w:hint="eastAsia" w:cs="Times New Roman"/>
                <w:b w:val="0"/>
                <w:bCs w:val="0"/>
                <w:snapToGrid/>
                <w:color w:val="auto"/>
                <w:spacing w:val="0"/>
                <w:kern w:val="0"/>
                <w:position w:val="0"/>
                <w:sz w:val="24"/>
                <w:szCs w:val="24"/>
                <w:highlight w:val="none"/>
                <w:lang w:val="en-US" w:eastAsia="zh-CN"/>
              </w:rPr>
              <w:t>除尘器收集颗粒物</w:t>
            </w:r>
            <w:r>
              <w:rPr>
                <w:rFonts w:hint="default" w:ascii="Times New Roman" w:hAnsi="Times New Roman" w:eastAsia="宋体" w:cs="Times New Roman"/>
                <w:b w:val="0"/>
                <w:bCs w:val="0"/>
                <w:color w:val="auto"/>
                <w:sz w:val="24"/>
                <w:szCs w:val="24"/>
                <w:lang w:val="en-US" w:eastAsia="zh-CN"/>
              </w:rPr>
              <w:t>统一收集后回用于生产</w:t>
            </w:r>
            <w:r>
              <w:rPr>
                <w:rFonts w:hint="eastAsia"/>
                <w:snapToGrid/>
                <w:color w:val="auto"/>
                <w:spacing w:val="0"/>
                <w:kern w:val="0"/>
                <w:position w:val="0"/>
                <w:sz w:val="24"/>
                <w:lang w:val="en-US" w:eastAsia="zh-CN"/>
              </w:rPr>
              <w:t>；</w:t>
            </w:r>
            <w:r>
              <w:rPr>
                <w:rFonts w:hint="default" w:ascii="Times New Roman" w:hAnsi="Times New Roman" w:eastAsia="宋体" w:cs="Times New Roman"/>
                <w:b w:val="0"/>
                <w:bCs w:val="0"/>
                <w:color w:val="auto"/>
                <w:sz w:val="24"/>
                <w:szCs w:val="24"/>
                <w:lang w:val="en-US" w:eastAsia="zh-CN"/>
              </w:rPr>
              <w:t>废活性炭</w:t>
            </w:r>
            <w:r>
              <w:rPr>
                <w:rFonts w:hint="eastAsia" w:cs="Times New Roman"/>
                <w:b w:val="0"/>
                <w:bCs w:val="0"/>
                <w:color w:val="auto"/>
                <w:sz w:val="24"/>
                <w:szCs w:val="24"/>
                <w:highlight w:val="none"/>
                <w:lang w:val="en-US" w:eastAsia="zh-CN"/>
              </w:rPr>
              <w:t>、废机油、废镍催化剂、废弃含油抹布、劳保用品</w:t>
            </w:r>
            <w:r>
              <w:rPr>
                <w:rFonts w:hint="default" w:ascii="Times New Roman" w:hAnsi="Times New Roman" w:cs="Times New Roman"/>
                <w:b w:val="0"/>
                <w:bCs w:val="0"/>
                <w:snapToGrid/>
                <w:color w:val="auto"/>
                <w:spacing w:val="0"/>
                <w:kern w:val="0"/>
                <w:position w:val="0"/>
                <w:sz w:val="24"/>
                <w:lang w:val="en-US" w:eastAsia="zh-CN"/>
              </w:rPr>
              <w:t>于厂内危废暂存间暂存后委托有资质单位妥善处置</w:t>
            </w:r>
            <w:r>
              <w:rPr>
                <w:rFonts w:hint="eastAsia" w:cs="Times New Roman"/>
                <w:b w:val="0"/>
                <w:bCs w:val="0"/>
                <w:snapToGrid/>
                <w:color w:val="auto"/>
                <w:spacing w:val="0"/>
                <w:kern w:val="0"/>
                <w:position w:val="0"/>
                <w:sz w:val="24"/>
                <w:lang w:val="en-US" w:eastAsia="zh-CN"/>
              </w:rPr>
              <w:t>；</w:t>
            </w:r>
            <w:r>
              <w:rPr>
                <w:rFonts w:hint="eastAsia"/>
                <w:snapToGrid/>
                <w:color w:val="auto"/>
                <w:spacing w:val="0"/>
                <w:kern w:val="0"/>
                <w:position w:val="0"/>
                <w:sz w:val="24"/>
                <w:szCs w:val="24"/>
              </w:rPr>
              <w:t>生活垃圾委托环卫部门统一处理</w:t>
            </w:r>
            <w:r>
              <w:rPr>
                <w:snapToGrid/>
                <w:color w:val="auto"/>
                <w:spacing w:val="0"/>
                <w:kern w:val="0"/>
                <w:position w:val="0"/>
                <w:sz w:val="24"/>
                <w:szCs w:val="24"/>
              </w:rPr>
              <w:t>。</w:t>
            </w:r>
          </w:p>
        </w:tc>
      </w:tr>
      <w:tr w14:paraId="1E2BB6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564" w:type="dxa"/>
            <w:tcBorders>
              <w:tl2br w:val="nil"/>
              <w:tr2bl w:val="nil"/>
            </w:tcBorders>
            <w:noWrap w:val="0"/>
            <w:vAlign w:val="center"/>
          </w:tcPr>
          <w:p w14:paraId="77DFB26B">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土壤及地下水污染防治措施</w:t>
            </w:r>
          </w:p>
        </w:tc>
        <w:tc>
          <w:tcPr>
            <w:tcW w:w="7427" w:type="dxa"/>
            <w:gridSpan w:val="4"/>
            <w:tcBorders>
              <w:tl2br w:val="nil"/>
              <w:tr2bl w:val="nil"/>
            </w:tcBorders>
            <w:noWrap w:val="0"/>
            <w:vAlign w:val="center"/>
          </w:tcPr>
          <w:p w14:paraId="52FD40BC">
            <w:pPr>
              <w:keepNext w:val="0"/>
              <w:keepLines w:val="0"/>
              <w:pageBreakBefore w:val="0"/>
              <w:widowControl w:val="0"/>
              <w:kinsoku/>
              <w:wordWrap/>
              <w:overflowPunct/>
              <w:topLinePunct w:val="0"/>
              <w:autoSpaceDE/>
              <w:autoSpaceDN/>
              <w:bidi w:val="0"/>
              <w:adjustRightInd w:val="0"/>
              <w:snapToGrid w:val="0"/>
              <w:spacing w:before="95" w:beforeLines="30" w:line="312" w:lineRule="auto"/>
              <w:jc w:val="center"/>
              <w:textAlignment w:val="auto"/>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cs="Times New Roman"/>
                <w:b w:val="0"/>
                <w:bCs w:val="0"/>
                <w:color w:val="auto"/>
                <w:sz w:val="24"/>
                <w:lang w:val="en-US" w:eastAsia="zh-CN"/>
              </w:rPr>
              <w:t>危废暂存</w:t>
            </w:r>
            <w:r>
              <w:rPr>
                <w:rFonts w:hint="eastAsia" w:ascii="Times New Roman" w:hAnsi="Times New Roman" w:cs="Times New Roman"/>
                <w:b w:val="0"/>
                <w:bCs w:val="0"/>
                <w:color w:val="auto"/>
                <w:sz w:val="24"/>
                <w:lang w:val="en-US" w:eastAsia="zh-CN"/>
              </w:rPr>
              <w:t>间</w:t>
            </w:r>
            <w:r>
              <w:rPr>
                <w:rFonts w:hint="eastAsia" w:cs="Times New Roman"/>
                <w:b w:val="0"/>
                <w:bCs w:val="0"/>
                <w:color w:val="auto"/>
                <w:sz w:val="24"/>
                <w:lang w:val="en-US" w:eastAsia="zh-CN"/>
              </w:rPr>
              <w:t>、液氨储罐区等区域</w:t>
            </w:r>
            <w:r>
              <w:rPr>
                <w:rFonts w:hint="eastAsia" w:ascii="Times New Roman" w:hAnsi="Times New Roman" w:cs="Times New Roman"/>
                <w:b w:val="0"/>
                <w:bCs w:val="0"/>
                <w:color w:val="auto"/>
                <w:sz w:val="24"/>
                <w:lang w:val="en-US" w:eastAsia="zh-CN"/>
              </w:rPr>
              <w:t>为</w:t>
            </w:r>
            <w:r>
              <w:rPr>
                <w:rFonts w:cs="Times New Roman"/>
                <w:color w:val="auto"/>
                <w:sz w:val="24"/>
                <w:szCs w:val="24"/>
              </w:rPr>
              <w:t>重点防渗区域</w:t>
            </w:r>
            <w:r>
              <w:rPr>
                <w:rFonts w:hint="eastAsia" w:cs="Times New Roman"/>
                <w:color w:val="auto"/>
                <w:sz w:val="24"/>
                <w:szCs w:val="24"/>
                <w:lang w:eastAsia="zh-CN"/>
              </w:rPr>
              <w:t>采用抗渗混凝土（</w:t>
            </w:r>
            <w:r>
              <w:rPr>
                <w:rFonts w:hint="eastAsia" w:cs="Times New Roman"/>
                <w:color w:val="auto"/>
                <w:sz w:val="24"/>
                <w:szCs w:val="24"/>
                <w:lang w:val="en-US" w:eastAsia="zh-CN"/>
              </w:rPr>
              <w:t>0.2m）+环氧树脂漆</w:t>
            </w:r>
            <w:r>
              <w:rPr>
                <w:rFonts w:hint="eastAsia" w:cs="Times New Roman"/>
                <w:color w:val="auto"/>
                <w:sz w:val="24"/>
                <w:szCs w:val="24"/>
                <w:lang w:eastAsia="zh-CN"/>
              </w:rPr>
              <w:t>（</w:t>
            </w:r>
            <w:r>
              <w:rPr>
                <w:rFonts w:hint="eastAsia" w:cs="Times New Roman"/>
                <w:color w:val="auto"/>
                <w:sz w:val="24"/>
                <w:szCs w:val="24"/>
                <w:lang w:val="en-US" w:eastAsia="zh-CN"/>
              </w:rPr>
              <w:t>1.5mm）进行重点防渗，渗透系数</w:t>
            </w:r>
            <w:r>
              <w:rPr>
                <w:rFonts w:hint="default" w:ascii="Times New Roman" w:hAnsi="Times New Roman" w:eastAsia="宋体" w:cs="Times New Roman"/>
                <w:color w:val="auto"/>
                <w:sz w:val="24"/>
                <w:szCs w:val="24"/>
              </w:rPr>
              <w:t>≤1×10</w:t>
            </w:r>
            <w:r>
              <w:rPr>
                <w:rFonts w:hint="default" w:ascii="Times New Roman" w:hAnsi="Times New Roman" w:eastAsia="宋体" w:cs="Times New Roman"/>
                <w:color w:val="auto"/>
                <w:sz w:val="24"/>
                <w:szCs w:val="24"/>
                <w:vertAlign w:val="superscript"/>
              </w:rPr>
              <w:t>-7</w:t>
            </w:r>
            <w:r>
              <w:rPr>
                <w:rFonts w:hint="default" w:ascii="Times New Roman" w:hAnsi="Times New Roman" w:eastAsia="宋体" w:cs="Times New Roman"/>
                <w:color w:val="auto"/>
                <w:sz w:val="24"/>
                <w:szCs w:val="24"/>
              </w:rPr>
              <w:t>cm/s</w:t>
            </w:r>
            <w:r>
              <w:rPr>
                <w:rFonts w:hint="eastAsia" w:cs="Times New Roman"/>
                <w:color w:val="auto"/>
                <w:sz w:val="24"/>
                <w:szCs w:val="24"/>
                <w:lang w:eastAsia="zh-CN"/>
              </w:rPr>
              <w:t>；其他为</w:t>
            </w:r>
            <w:r>
              <w:rPr>
                <w:rFonts w:cs="Times New Roman"/>
                <w:color w:val="auto"/>
                <w:sz w:val="24"/>
                <w:szCs w:val="24"/>
              </w:rPr>
              <w:t>一般防渗区域</w:t>
            </w:r>
            <w:r>
              <w:rPr>
                <w:rFonts w:hint="eastAsia" w:cs="Times New Roman"/>
                <w:color w:val="auto"/>
                <w:sz w:val="24"/>
                <w:szCs w:val="24"/>
                <w:lang w:eastAsia="zh-CN"/>
              </w:rPr>
              <w:t>采用环氧地坪进行一般防渗，渗透系数</w:t>
            </w:r>
            <w:r>
              <w:rPr>
                <w:rFonts w:hint="default" w:ascii="Times New Roman" w:hAnsi="Times New Roman" w:eastAsia="宋体" w:cs="Times New Roman"/>
                <w:color w:val="auto"/>
                <w:sz w:val="24"/>
                <w:szCs w:val="24"/>
              </w:rPr>
              <w:t>≤1×10</w:t>
            </w:r>
            <w:r>
              <w:rPr>
                <w:rFonts w:hint="default" w:ascii="Times New Roman" w:hAnsi="Times New Roman" w:eastAsia="宋体" w:cs="Times New Roman"/>
                <w:color w:val="auto"/>
                <w:sz w:val="24"/>
                <w:szCs w:val="24"/>
                <w:vertAlign w:val="superscript"/>
              </w:rPr>
              <w:t>-7</w:t>
            </w:r>
            <w:r>
              <w:rPr>
                <w:rFonts w:hint="default" w:ascii="Times New Roman" w:hAnsi="Times New Roman" w:eastAsia="宋体" w:cs="Times New Roman"/>
                <w:color w:val="auto"/>
                <w:sz w:val="24"/>
                <w:szCs w:val="24"/>
              </w:rPr>
              <w:t>cm/s</w:t>
            </w:r>
            <w:r>
              <w:rPr>
                <w:rFonts w:hint="eastAsia" w:cs="Times New Roman"/>
                <w:color w:val="auto"/>
                <w:sz w:val="24"/>
                <w:szCs w:val="24"/>
                <w:lang w:eastAsia="zh-CN"/>
              </w:rPr>
              <w:t>。</w:t>
            </w:r>
          </w:p>
        </w:tc>
      </w:tr>
      <w:tr w14:paraId="64B2E6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564" w:type="dxa"/>
            <w:tcBorders>
              <w:tl2br w:val="nil"/>
              <w:tr2bl w:val="nil"/>
            </w:tcBorders>
            <w:noWrap w:val="0"/>
            <w:vAlign w:val="center"/>
          </w:tcPr>
          <w:p w14:paraId="196C17FC">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生态保护措施</w:t>
            </w:r>
          </w:p>
        </w:tc>
        <w:tc>
          <w:tcPr>
            <w:tcW w:w="7427" w:type="dxa"/>
            <w:gridSpan w:val="4"/>
            <w:tcBorders>
              <w:tl2br w:val="nil"/>
              <w:tr2bl w:val="nil"/>
            </w:tcBorders>
            <w:noWrap w:val="0"/>
            <w:vAlign w:val="center"/>
          </w:tcPr>
          <w:p w14:paraId="4A103187">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t>项目区域附近无自然保护区，人文景观和名胜古迹等环境敏感点，周围没有需要特殊保护的生态环境。项目建设不会对周围生态环境造成影响。</w:t>
            </w:r>
          </w:p>
        </w:tc>
      </w:tr>
      <w:tr w14:paraId="4F0621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1564" w:type="dxa"/>
            <w:tcBorders>
              <w:tl2br w:val="nil"/>
              <w:tr2bl w:val="nil"/>
            </w:tcBorders>
            <w:noWrap w:val="0"/>
            <w:vAlign w:val="center"/>
          </w:tcPr>
          <w:p w14:paraId="77CAB620">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环境风险</w:t>
            </w:r>
          </w:p>
          <w:p w14:paraId="1759AE08">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防范措施</w:t>
            </w:r>
          </w:p>
        </w:tc>
        <w:tc>
          <w:tcPr>
            <w:tcW w:w="7427" w:type="dxa"/>
            <w:gridSpan w:val="4"/>
            <w:tcBorders>
              <w:tl2br w:val="nil"/>
              <w:tr2bl w:val="nil"/>
            </w:tcBorders>
            <w:noWrap w:val="0"/>
            <w:vAlign w:val="center"/>
          </w:tcPr>
          <w:p w14:paraId="7DD4F990">
            <w:pPr>
              <w:keepNext w:val="0"/>
              <w:keepLines w:val="0"/>
              <w:pageBreakBefore w:val="0"/>
              <w:widowControl w:val="0"/>
              <w:kinsoku/>
              <w:wordWrap/>
              <w:overflowPunct/>
              <w:topLinePunct w:val="0"/>
              <w:autoSpaceDE/>
              <w:autoSpaceDN/>
              <w:bidi w:val="0"/>
              <w:adjustRightInd w:val="0"/>
              <w:snapToGrid w:val="0"/>
              <w:spacing w:before="95" w:beforeLines="30" w:line="312" w:lineRule="auto"/>
              <w:jc w:val="center"/>
              <w:textAlignment w:val="auto"/>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t>为保证公司员工和周围居民的生命财产安全，防止重、特大事故的发生，并能在事故发生后迅速有效的控制处理，防止事故扩大，根据公司实际情况，本</w:t>
            </w:r>
            <w:r>
              <w:rPr>
                <w:rFonts w:hint="eastAsia" w:ascii="宋体" w:hAnsi="宋体" w:eastAsia="宋体" w:cs="宋体"/>
                <w:snapToGrid/>
                <w:color w:val="auto"/>
                <w:spacing w:val="0"/>
                <w:kern w:val="0"/>
                <w:position w:val="0"/>
                <w:sz w:val="24"/>
                <w:szCs w:val="24"/>
              </w:rPr>
              <w:t>着“安全第一，预防为主；统一指挥，分工负责”</w:t>
            </w:r>
            <w:r>
              <w:rPr>
                <w:rFonts w:hint="default" w:ascii="Times New Roman" w:hAnsi="Times New Roman" w:eastAsia="宋体" w:cs="Times New Roman"/>
                <w:snapToGrid/>
                <w:color w:val="auto"/>
                <w:spacing w:val="0"/>
                <w:kern w:val="0"/>
                <w:position w:val="0"/>
                <w:sz w:val="24"/>
                <w:szCs w:val="24"/>
              </w:rPr>
              <w:t>的原则，制定严格的事故应急预案并经常演练使之启动运转及时，是减轻风险事故环境影响的有效措施。</w:t>
            </w:r>
          </w:p>
        </w:tc>
      </w:tr>
      <w:tr w14:paraId="5DFCC3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564" w:type="dxa"/>
            <w:tcBorders>
              <w:tl2br w:val="nil"/>
              <w:tr2bl w:val="nil"/>
            </w:tcBorders>
            <w:noWrap w:val="0"/>
            <w:vAlign w:val="center"/>
          </w:tcPr>
          <w:p w14:paraId="25E02762">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其他环境</w:t>
            </w:r>
          </w:p>
          <w:p w14:paraId="766BC621">
            <w:pPr>
              <w:adjustRightInd w:val="0"/>
              <w:snapToGrid w:val="0"/>
              <w:jc w:val="center"/>
              <w:rPr>
                <w:rFonts w:hint="default" w:ascii="Times New Roman" w:hAnsi="Times New Roman" w:eastAsia="宋体" w:cs="Times New Roman"/>
                <w:b w:val="0"/>
                <w:bCs w:val="0"/>
                <w:snapToGrid/>
                <w:color w:val="auto"/>
                <w:spacing w:val="0"/>
                <w:kern w:val="0"/>
                <w:position w:val="0"/>
                <w:sz w:val="24"/>
                <w:szCs w:val="24"/>
              </w:rPr>
            </w:pPr>
            <w:r>
              <w:rPr>
                <w:rFonts w:hint="default" w:ascii="Times New Roman" w:hAnsi="Times New Roman" w:eastAsia="宋体" w:cs="Times New Roman"/>
                <w:b w:val="0"/>
                <w:bCs w:val="0"/>
                <w:snapToGrid/>
                <w:color w:val="auto"/>
                <w:spacing w:val="0"/>
                <w:kern w:val="0"/>
                <w:position w:val="0"/>
                <w:sz w:val="24"/>
                <w:szCs w:val="24"/>
              </w:rPr>
              <w:t>管理要求</w:t>
            </w:r>
          </w:p>
        </w:tc>
        <w:tc>
          <w:tcPr>
            <w:tcW w:w="7427" w:type="dxa"/>
            <w:gridSpan w:val="4"/>
            <w:tcBorders>
              <w:tl2br w:val="nil"/>
              <w:tr2bl w:val="nil"/>
            </w:tcBorders>
            <w:noWrap w:val="0"/>
            <w:vAlign w:val="center"/>
          </w:tcPr>
          <w:p w14:paraId="01F0C7FA">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default" w:ascii="Times New Roman" w:hAnsi="Times New Roman" w:cs="Times New Roman"/>
                <w:b/>
                <w:bCs/>
                <w:snapToGrid/>
                <w:color w:val="auto"/>
                <w:spacing w:val="0"/>
                <w:kern w:val="0"/>
                <w:position w:val="0"/>
                <w:sz w:val="24"/>
                <w:szCs w:val="24"/>
              </w:rPr>
            </w:pPr>
            <w:r>
              <w:rPr>
                <w:rFonts w:hint="default" w:ascii="Times New Roman" w:hAnsi="Times New Roman" w:cs="Times New Roman"/>
                <w:b/>
                <w:bCs/>
                <w:snapToGrid/>
                <w:color w:val="auto"/>
                <w:spacing w:val="0"/>
                <w:kern w:val="0"/>
                <w:position w:val="0"/>
                <w:sz w:val="24"/>
                <w:szCs w:val="24"/>
              </w:rPr>
              <w:t>1、排放口规范化及信息公开化</w:t>
            </w:r>
          </w:p>
          <w:p w14:paraId="591B4C06">
            <w:pPr>
              <w:keepNext w:val="0"/>
              <w:keepLines w:val="0"/>
              <w:pageBreakBefore w:val="0"/>
              <w:widowControl/>
              <w:suppressLineNumbers w:val="0"/>
              <w:kinsoku/>
              <w:wordWrap/>
              <w:overflowPunct/>
              <w:topLinePunct w:val="0"/>
              <w:autoSpaceDE/>
              <w:autoSpaceDN/>
              <w:bidi w:val="0"/>
              <w:adjustRightInd w:val="0"/>
              <w:snapToGrid w:val="0"/>
              <w:spacing w:line="348" w:lineRule="auto"/>
              <w:ind w:firstLine="480" w:firstLineChars="200"/>
              <w:jc w:val="left"/>
              <w:textAlignment w:val="auto"/>
              <w:rPr>
                <w:rFonts w:hint="eastAsia" w:ascii="Times New Roman" w:hAnsi="Times New Roman" w:eastAsia="宋体" w:cs="Times New Roman"/>
                <w:snapToGrid/>
                <w:color w:val="auto"/>
                <w:spacing w:val="0"/>
                <w:kern w:val="0"/>
                <w:position w:val="0"/>
                <w:sz w:val="24"/>
                <w:szCs w:val="24"/>
                <w:lang w:eastAsia="zh-CN"/>
              </w:rPr>
            </w:pPr>
            <w:r>
              <w:rPr>
                <w:rFonts w:hint="default" w:ascii="Times New Roman" w:hAnsi="Times New Roman" w:cs="Times New Roman"/>
                <w:snapToGrid/>
                <w:color w:val="auto"/>
                <w:spacing w:val="0"/>
                <w:kern w:val="0"/>
                <w:position w:val="0"/>
                <w:sz w:val="24"/>
                <w:szCs w:val="24"/>
              </w:rPr>
              <w:t>根据《关于开展排放口规范化整治工作的通知》（环发</w:t>
            </w:r>
            <w:r>
              <w:rPr>
                <w:rFonts w:hint="default" w:ascii="Times New Roman" w:hAnsi="Times New Roman" w:eastAsia="宋体" w:cs="Times New Roman"/>
                <w:b w:val="0"/>
                <w:bCs w:val="0"/>
                <w:snapToGrid/>
                <w:color w:val="auto"/>
                <w:spacing w:val="0"/>
                <w:kern w:val="0"/>
                <w:position w:val="0"/>
                <w:sz w:val="24"/>
                <w:szCs w:val="24"/>
                <w:lang w:val="en-US" w:eastAsia="zh-CN"/>
              </w:rPr>
              <w:t>〔</w:t>
            </w:r>
            <w:r>
              <w:rPr>
                <w:rFonts w:hint="eastAsia" w:ascii="Times New Roman" w:hAnsi="Times New Roman" w:eastAsia="宋体" w:cs="Times New Roman"/>
                <w:b w:val="0"/>
                <w:bCs w:val="0"/>
                <w:snapToGrid/>
                <w:color w:val="auto"/>
                <w:spacing w:val="0"/>
                <w:kern w:val="0"/>
                <w:position w:val="0"/>
                <w:sz w:val="24"/>
                <w:szCs w:val="24"/>
                <w:lang w:val="en-US" w:eastAsia="zh-CN"/>
              </w:rPr>
              <w:t>1999</w:t>
            </w:r>
            <w:r>
              <w:rPr>
                <w:rFonts w:hint="default" w:ascii="Times New Roman" w:hAnsi="Times New Roman" w:eastAsia="宋体" w:cs="Times New Roman"/>
                <w:b w:val="0"/>
                <w:bCs w:val="0"/>
                <w:snapToGrid/>
                <w:color w:val="auto"/>
                <w:spacing w:val="0"/>
                <w:kern w:val="0"/>
                <w:position w:val="0"/>
                <w:sz w:val="24"/>
                <w:szCs w:val="24"/>
                <w:lang w:val="en-US" w:eastAsia="zh-CN"/>
              </w:rPr>
              <w:t>〕</w:t>
            </w:r>
            <w:r>
              <w:rPr>
                <w:rFonts w:hint="default" w:ascii="Times New Roman" w:hAnsi="Times New Roman" w:cs="Times New Roman"/>
                <w:snapToGrid/>
                <w:color w:val="auto"/>
                <w:spacing w:val="0"/>
                <w:kern w:val="0"/>
                <w:position w:val="0"/>
                <w:sz w:val="24"/>
                <w:szCs w:val="24"/>
              </w:rPr>
              <w:t>24号）、《排污口规范化整治技术要求》（环监</w:t>
            </w:r>
            <w:r>
              <w:rPr>
                <w:rFonts w:hint="default" w:ascii="Times New Roman" w:hAnsi="Times New Roman" w:eastAsia="宋体" w:cs="Times New Roman"/>
                <w:b w:val="0"/>
                <w:bCs w:val="0"/>
                <w:snapToGrid/>
                <w:color w:val="auto"/>
                <w:spacing w:val="0"/>
                <w:kern w:val="0"/>
                <w:position w:val="0"/>
                <w:sz w:val="24"/>
                <w:szCs w:val="24"/>
                <w:lang w:val="en-US" w:eastAsia="zh-CN"/>
              </w:rPr>
              <w:t>〔</w:t>
            </w:r>
            <w:r>
              <w:rPr>
                <w:rFonts w:hint="eastAsia" w:ascii="Times New Roman" w:hAnsi="Times New Roman" w:eastAsia="宋体" w:cs="Times New Roman"/>
                <w:b w:val="0"/>
                <w:bCs w:val="0"/>
                <w:snapToGrid/>
                <w:color w:val="auto"/>
                <w:spacing w:val="0"/>
                <w:kern w:val="0"/>
                <w:position w:val="0"/>
                <w:sz w:val="24"/>
                <w:szCs w:val="24"/>
                <w:lang w:val="en-US" w:eastAsia="zh-CN"/>
              </w:rPr>
              <w:t>1996</w:t>
            </w:r>
            <w:r>
              <w:rPr>
                <w:rFonts w:hint="default" w:ascii="Times New Roman" w:hAnsi="Times New Roman" w:eastAsia="宋体" w:cs="Times New Roman"/>
                <w:b w:val="0"/>
                <w:bCs w:val="0"/>
                <w:snapToGrid/>
                <w:color w:val="auto"/>
                <w:spacing w:val="0"/>
                <w:kern w:val="0"/>
                <w:position w:val="0"/>
                <w:sz w:val="24"/>
                <w:szCs w:val="24"/>
                <w:lang w:val="en-US" w:eastAsia="zh-CN"/>
              </w:rPr>
              <w:t>〕</w:t>
            </w:r>
            <w:r>
              <w:rPr>
                <w:rFonts w:hint="default" w:ascii="Times New Roman" w:hAnsi="Times New Roman" w:cs="Times New Roman"/>
                <w:snapToGrid/>
                <w:color w:val="auto"/>
                <w:spacing w:val="0"/>
                <w:kern w:val="0"/>
                <w:position w:val="0"/>
                <w:sz w:val="24"/>
                <w:szCs w:val="24"/>
              </w:rPr>
              <w:t>470号）、《固定污染源废气监测点位设置技术规范》（DB37/T 3535-2019）等规定的要求，一切新建、改造、扩建的排污单位以及限期治理的排污单位必须在建设污染治理设施的同时，建设规范化排放口。因此，建设项目产生的各类污染物的排放口必须规范化，并且规范化工作的完成必须与污染治理设施同步</w:t>
            </w:r>
            <w:r>
              <w:rPr>
                <w:rFonts w:hint="eastAsia" w:ascii="Times New Roman" w:hAnsi="Times New Roman" w:cs="Times New Roman"/>
                <w:snapToGrid/>
                <w:color w:val="auto"/>
                <w:spacing w:val="0"/>
                <w:kern w:val="0"/>
                <w:position w:val="0"/>
                <w:sz w:val="24"/>
                <w:szCs w:val="24"/>
                <w:lang w:eastAsia="zh-CN"/>
              </w:rPr>
              <w:t>。</w:t>
            </w:r>
          </w:p>
          <w:p w14:paraId="6D791C19">
            <w:pPr>
              <w:pStyle w:val="27"/>
              <w:keepNext w:val="0"/>
              <w:keepLines w:val="0"/>
              <w:pageBreakBefore w:val="0"/>
              <w:widowControl w:val="0"/>
              <w:kinsoku/>
              <w:wordWrap/>
              <w:overflowPunct/>
              <w:topLinePunct w:val="0"/>
              <w:autoSpaceDE w:val="0"/>
              <w:autoSpaceDN w:val="0"/>
              <w:bidi w:val="0"/>
              <w:adjustRightInd w:val="0"/>
              <w:snapToGrid w:val="0"/>
              <w:spacing w:line="348" w:lineRule="auto"/>
              <w:textAlignment w:val="auto"/>
              <w:rPr>
                <w:rFonts w:hint="default" w:ascii="Times New Roman" w:hAnsi="Times New Roman" w:eastAsia="宋体" w:cs="Times New Roman"/>
                <w:b/>
                <w:bCs/>
                <w:snapToGrid/>
                <w:color w:val="auto"/>
                <w:spacing w:val="0"/>
                <w:kern w:val="0"/>
                <w:position w:val="0"/>
                <w:sz w:val="24"/>
                <w:szCs w:val="24"/>
                <w:lang w:val="en-US" w:eastAsia="zh-CN"/>
              </w:rPr>
            </w:pPr>
            <w:r>
              <w:rPr>
                <w:rFonts w:hint="eastAsia" w:cs="Times New Roman"/>
                <w:b/>
                <w:bCs/>
                <w:snapToGrid/>
                <w:color w:val="auto"/>
                <w:spacing w:val="0"/>
                <w:kern w:val="0"/>
                <w:position w:val="0"/>
                <w:sz w:val="24"/>
                <w:szCs w:val="24"/>
                <w:lang w:val="en-US" w:eastAsia="zh-CN"/>
              </w:rPr>
              <w:t>2、</w:t>
            </w:r>
            <w:r>
              <w:rPr>
                <w:rFonts w:hint="default" w:ascii="Times New Roman" w:hAnsi="Times New Roman" w:eastAsia="宋体" w:cs="Times New Roman"/>
                <w:b/>
                <w:bCs/>
                <w:snapToGrid/>
                <w:color w:val="auto"/>
                <w:spacing w:val="0"/>
                <w:kern w:val="0"/>
                <w:position w:val="0"/>
                <w:sz w:val="24"/>
                <w:szCs w:val="24"/>
                <w:lang w:val="en-US" w:eastAsia="zh-CN"/>
              </w:rPr>
              <w:t>与排污许可证制度衔接</w:t>
            </w:r>
          </w:p>
          <w:p w14:paraId="6F9ACBE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48" w:lineRule="auto"/>
              <w:ind w:leftChars="0" w:firstLine="480" w:firstLineChars="200"/>
              <w:jc w:val="left"/>
              <w:textAlignment w:val="auto"/>
              <w:rPr>
                <w:rFonts w:hint="eastAsia" w:cs="Times New Roman"/>
                <w:snapToGrid/>
                <w:color w:val="auto"/>
                <w:spacing w:val="0"/>
                <w:kern w:val="0"/>
                <w:position w:val="0"/>
                <w:sz w:val="24"/>
                <w:szCs w:val="24"/>
                <w:lang w:val="en-US" w:eastAsia="zh-CN"/>
              </w:rPr>
            </w:pPr>
            <w:r>
              <w:rPr>
                <w:rFonts w:hint="default" w:ascii="Times New Roman" w:hAnsi="Times New Roman" w:eastAsia="宋体" w:cs="Times New Roman"/>
                <w:color w:val="auto"/>
                <w:kern w:val="0"/>
                <w:sz w:val="24"/>
                <w:szCs w:val="24"/>
                <w:lang w:val="en-US" w:eastAsia="zh-CN" w:bidi="ar"/>
              </w:rPr>
              <w:t>根据《关于做好环境影响评价制度与排污许可制衔接相关工作的通知》（环办环评[2017]84号），项目应在获得环评审批文件后，按照国家环境保护相关法律法规以及排污许可证申请与核发技术规范要求</w:t>
            </w:r>
            <w:r>
              <w:rPr>
                <w:rFonts w:hint="eastAsia" w:cs="Times New Roman"/>
                <w:color w:val="auto"/>
                <w:kern w:val="0"/>
                <w:sz w:val="24"/>
                <w:szCs w:val="24"/>
                <w:lang w:val="en-US" w:eastAsia="zh-CN" w:bidi="ar"/>
              </w:rPr>
              <w:t>变更</w:t>
            </w:r>
            <w:r>
              <w:rPr>
                <w:rFonts w:hint="default" w:ascii="Times New Roman" w:hAnsi="Times New Roman" w:eastAsia="宋体" w:cs="Times New Roman"/>
                <w:color w:val="auto"/>
                <w:kern w:val="0"/>
                <w:sz w:val="24"/>
                <w:szCs w:val="24"/>
                <w:lang w:val="en-US" w:eastAsia="zh-CN" w:bidi="ar"/>
              </w:rPr>
              <w:t>排污许可证，</w:t>
            </w:r>
            <w:r>
              <w:rPr>
                <w:rFonts w:hint="default" w:ascii="Times New Roman" w:hAnsi="Times New Roman" w:eastAsia="宋体" w:cs="Times New Roman"/>
                <w:color w:val="auto"/>
                <w:sz w:val="24"/>
                <w:szCs w:val="24"/>
                <w:lang w:val="en-US" w:eastAsia="zh-CN"/>
              </w:rPr>
              <w:t>并在取得排污许可证后按照排污许可证申请与核发技术规范相关要求履行自行检测、台账管理、执行报告等手续。</w:t>
            </w:r>
          </w:p>
          <w:p w14:paraId="08C29EA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48" w:lineRule="auto"/>
              <w:jc w:val="left"/>
              <w:textAlignment w:val="auto"/>
              <w:rPr>
                <w:rFonts w:hint="default" w:ascii="Times New Roman" w:hAnsi="Times New Roman" w:eastAsia="宋体" w:cs="Times New Roman"/>
                <w:b/>
                <w:bCs/>
                <w:snapToGrid/>
                <w:color w:val="auto"/>
                <w:spacing w:val="0"/>
                <w:kern w:val="0"/>
                <w:position w:val="0"/>
                <w:sz w:val="24"/>
                <w:szCs w:val="24"/>
                <w:lang w:val="en-US" w:eastAsia="zh-CN" w:bidi="ar"/>
              </w:rPr>
            </w:pPr>
            <w:r>
              <w:rPr>
                <w:rFonts w:hint="default" w:ascii="Times New Roman" w:hAnsi="Times New Roman" w:eastAsia="宋体" w:cs="Times New Roman"/>
                <w:b/>
                <w:bCs/>
                <w:snapToGrid/>
                <w:color w:val="auto"/>
                <w:spacing w:val="0"/>
                <w:kern w:val="0"/>
                <w:position w:val="0"/>
                <w:sz w:val="24"/>
                <w:szCs w:val="24"/>
                <w:lang w:val="en-US" w:eastAsia="zh-CN" w:bidi="ar"/>
              </w:rPr>
              <w:t>3、竣工环境保护设施验收</w:t>
            </w:r>
          </w:p>
          <w:p w14:paraId="17356C38">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snapToGrid/>
                <w:color w:val="auto"/>
                <w:spacing w:val="0"/>
                <w:kern w:val="0"/>
                <w:position w:val="0"/>
                <w:sz w:val="24"/>
                <w:szCs w:val="24"/>
                <w:lang w:val="en-US" w:eastAsia="zh-CN" w:bidi="ar"/>
              </w:rPr>
            </w:pPr>
            <w:r>
              <w:rPr>
                <w:rFonts w:hint="default" w:ascii="Times New Roman" w:hAnsi="Times New Roman" w:eastAsia="宋体" w:cs="Times New Roman"/>
                <w:snapToGrid/>
                <w:color w:val="auto"/>
                <w:spacing w:val="0"/>
                <w:kern w:val="0"/>
                <w:position w:val="0"/>
                <w:sz w:val="24"/>
                <w:szCs w:val="24"/>
                <w:lang w:val="en-US" w:eastAsia="zh-CN" w:bidi="ar"/>
              </w:rPr>
              <w:t>根据《建设项目竣工环境保护验收暂行办法》的规定，建设项目竣工后，建设单位应当如实查验、监测、记载建设项目环境保护设施的建设和调试情况，编制验收监测报告。</w:t>
            </w:r>
          </w:p>
          <w:p w14:paraId="31B47C4A">
            <w:pPr>
              <w:pStyle w:val="27"/>
              <w:numPr>
                <w:ilvl w:val="1"/>
                <w:numId w:val="0"/>
              </w:numPr>
              <w:snapToGrid w:val="0"/>
              <w:spacing w:line="360" w:lineRule="auto"/>
              <w:ind w:left="-60" w:leftChars="0"/>
              <w:rPr>
                <w:rFonts w:hint="eastAsia" w:ascii="宋体" w:hAnsi="宋体" w:eastAsia="宋体" w:cs="宋体"/>
                <w:b/>
                <w:bCs/>
                <w:color w:val="auto"/>
                <w:kern w:val="0"/>
                <w:sz w:val="24"/>
                <w:szCs w:val="24"/>
                <w:highlight w:val="none"/>
                <w:lang w:bidi="ar"/>
              </w:rPr>
            </w:pPr>
            <w:r>
              <w:rPr>
                <w:rFonts w:hint="eastAsia" w:cs="Times New Roman"/>
                <w:b/>
                <w:bCs/>
                <w:color w:val="auto"/>
                <w:kern w:val="0"/>
                <w:sz w:val="24"/>
                <w:szCs w:val="24"/>
                <w:highlight w:val="none"/>
                <w:lang w:val="en-US" w:eastAsia="zh-CN" w:bidi="ar"/>
              </w:rPr>
              <w:t>4、</w:t>
            </w:r>
            <w:r>
              <w:rPr>
                <w:rFonts w:hint="default" w:ascii="Times New Roman" w:hAnsi="Times New Roman" w:eastAsia="宋体" w:cs="Times New Roman"/>
                <w:b/>
                <w:bCs/>
                <w:color w:val="auto"/>
                <w:kern w:val="0"/>
                <w:sz w:val="24"/>
                <w:szCs w:val="24"/>
                <w:highlight w:val="none"/>
                <w:lang w:bidi="ar"/>
              </w:rPr>
              <w:t>扩建前后污染物排放</w:t>
            </w:r>
            <w:r>
              <w:rPr>
                <w:rFonts w:hint="eastAsia" w:ascii="宋体" w:hAnsi="宋体" w:eastAsia="宋体" w:cs="宋体"/>
                <w:b/>
                <w:bCs/>
                <w:color w:val="auto"/>
                <w:kern w:val="0"/>
                <w:sz w:val="24"/>
                <w:szCs w:val="24"/>
                <w:highlight w:val="none"/>
                <w:lang w:bidi="ar"/>
              </w:rPr>
              <w:t>“三本账”</w:t>
            </w:r>
          </w:p>
          <w:p w14:paraId="5C2B14DD">
            <w:pPr>
              <w:pStyle w:val="27"/>
              <w:numPr>
                <w:ilvl w:val="1"/>
                <w:numId w:val="0"/>
              </w:numPr>
              <w:snapToGrid w:val="0"/>
              <w:spacing w:line="360" w:lineRule="auto"/>
              <w:ind w:left="-60" w:leftChars="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表5.</w:t>
            </w:r>
            <w:r>
              <w:rPr>
                <w:rFonts w:hint="eastAsia"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 xml:space="preserve">  </w:t>
            </w:r>
            <w:r>
              <w:rPr>
                <w:rFonts w:hint="default" w:ascii="Times New Roman" w:hAnsi="Times New Roman" w:eastAsia="宋体" w:cs="Times New Roman"/>
                <w:b/>
                <w:bCs/>
                <w:color w:val="auto"/>
                <w:kern w:val="0"/>
                <w:sz w:val="24"/>
                <w:szCs w:val="24"/>
                <w:highlight w:val="none"/>
                <w:lang w:bidi="ar"/>
              </w:rPr>
              <w:t>扩建</w:t>
            </w:r>
            <w:r>
              <w:rPr>
                <w:rFonts w:hint="default" w:ascii="Times New Roman" w:hAnsi="Times New Roman" w:eastAsia="宋体" w:cs="Times New Roman"/>
                <w:b/>
                <w:bCs/>
                <w:color w:val="auto"/>
                <w:sz w:val="24"/>
                <w:szCs w:val="24"/>
                <w:highlight w:val="none"/>
              </w:rPr>
              <w:t>前后污染物</w:t>
            </w:r>
            <w:r>
              <w:rPr>
                <w:rFonts w:hint="eastAsia" w:ascii="宋体" w:hAnsi="宋体" w:eastAsia="宋体" w:cs="宋体"/>
                <w:b/>
                <w:bCs/>
                <w:color w:val="auto"/>
                <w:sz w:val="24"/>
                <w:szCs w:val="24"/>
                <w:highlight w:val="none"/>
              </w:rPr>
              <w:t>排放“三本账”</w:t>
            </w:r>
            <w:r>
              <w:rPr>
                <w:rFonts w:hint="default" w:ascii="Times New Roman" w:hAnsi="Times New Roman" w:eastAsia="宋体" w:cs="Times New Roman"/>
                <w:b/>
                <w:bCs/>
                <w:color w:val="auto"/>
                <w:sz w:val="24"/>
                <w:szCs w:val="24"/>
                <w:highlight w:val="none"/>
              </w:rPr>
              <w:t xml:space="preserve"> 单位：t/a</w:t>
            </w:r>
          </w:p>
          <w:tbl>
            <w:tblPr>
              <w:tblStyle w:val="23"/>
              <w:tblW w:w="49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238"/>
              <w:gridCol w:w="946"/>
              <w:gridCol w:w="1085"/>
              <w:gridCol w:w="939"/>
              <w:gridCol w:w="1262"/>
              <w:gridCol w:w="1044"/>
            </w:tblGrid>
            <w:tr w14:paraId="2683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Align w:val="center"/>
                </w:tcPr>
                <w:p w14:paraId="07CC82FD">
                  <w:pPr>
                    <w:pStyle w:val="27"/>
                    <w:keepNext w:val="0"/>
                    <w:keepLines w:val="0"/>
                    <w:pageBreakBefore w:val="0"/>
                    <w:numPr>
                      <w:ilvl w:val="1"/>
                      <w:numId w:val="0"/>
                    </w:numPr>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类别</w:t>
                  </w:r>
                </w:p>
              </w:tc>
              <w:tc>
                <w:tcPr>
                  <w:tcW w:w="1238" w:type="dxa"/>
                  <w:vAlign w:val="center"/>
                </w:tcPr>
                <w:p w14:paraId="0B276BCB">
                  <w:pPr>
                    <w:pStyle w:val="27"/>
                    <w:keepNext w:val="0"/>
                    <w:keepLines w:val="0"/>
                    <w:pageBreakBefore w:val="0"/>
                    <w:numPr>
                      <w:ilvl w:val="1"/>
                      <w:numId w:val="0"/>
                    </w:numPr>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污染物名称</w:t>
                  </w:r>
                </w:p>
              </w:tc>
              <w:tc>
                <w:tcPr>
                  <w:tcW w:w="946" w:type="dxa"/>
                  <w:vAlign w:val="center"/>
                </w:tcPr>
                <w:p w14:paraId="340C8C37">
                  <w:pPr>
                    <w:pStyle w:val="27"/>
                    <w:keepNext w:val="0"/>
                    <w:keepLines w:val="0"/>
                    <w:pageBreakBefore w:val="0"/>
                    <w:numPr>
                      <w:ilvl w:val="1"/>
                      <w:numId w:val="0"/>
                    </w:numPr>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扩建前排放量</w:t>
                  </w:r>
                </w:p>
              </w:tc>
              <w:tc>
                <w:tcPr>
                  <w:tcW w:w="1085" w:type="dxa"/>
                  <w:vAlign w:val="center"/>
                </w:tcPr>
                <w:p w14:paraId="7439DA31">
                  <w:pPr>
                    <w:pStyle w:val="27"/>
                    <w:keepNext w:val="0"/>
                    <w:keepLines w:val="0"/>
                    <w:pageBreakBefore w:val="0"/>
                    <w:numPr>
                      <w:ilvl w:val="1"/>
                      <w:numId w:val="0"/>
                    </w:numPr>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本项目排放量</w:t>
                  </w:r>
                </w:p>
              </w:tc>
              <w:tc>
                <w:tcPr>
                  <w:tcW w:w="939" w:type="dxa"/>
                  <w:vAlign w:val="center"/>
                </w:tcPr>
                <w:p w14:paraId="21384CE0">
                  <w:pPr>
                    <w:pStyle w:val="27"/>
                    <w:keepNext w:val="0"/>
                    <w:keepLines w:val="0"/>
                    <w:pageBreakBefore w:val="0"/>
                    <w:numPr>
                      <w:ilvl w:val="1"/>
                      <w:numId w:val="0"/>
                    </w:numPr>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sz w:val="21"/>
                      <w:szCs w:val="21"/>
                      <w:highlight w:val="none"/>
                    </w:rPr>
                    <w:t>“以新带老”削减量</w:t>
                  </w:r>
                </w:p>
              </w:tc>
              <w:tc>
                <w:tcPr>
                  <w:tcW w:w="1262" w:type="dxa"/>
                  <w:vAlign w:val="center"/>
                </w:tcPr>
                <w:p w14:paraId="0DEA863C">
                  <w:pPr>
                    <w:pStyle w:val="27"/>
                    <w:keepNext w:val="0"/>
                    <w:keepLines w:val="0"/>
                    <w:pageBreakBefore w:val="0"/>
                    <w:numPr>
                      <w:ilvl w:val="1"/>
                      <w:numId w:val="0"/>
                    </w:numPr>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扩建后排放量</w:t>
                  </w:r>
                </w:p>
              </w:tc>
              <w:tc>
                <w:tcPr>
                  <w:tcW w:w="1044" w:type="dxa"/>
                  <w:vAlign w:val="center"/>
                </w:tcPr>
                <w:p w14:paraId="138B5C76">
                  <w:pPr>
                    <w:pStyle w:val="27"/>
                    <w:keepNext w:val="0"/>
                    <w:keepLines w:val="0"/>
                    <w:pageBreakBefore w:val="0"/>
                    <w:numPr>
                      <w:ilvl w:val="1"/>
                      <w:numId w:val="0"/>
                    </w:numPr>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排放增减量</w:t>
                  </w:r>
                </w:p>
              </w:tc>
            </w:tr>
            <w:tr w14:paraId="62B57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Merge w:val="restart"/>
                  <w:shd w:val="clear" w:color="auto" w:fill="auto"/>
                  <w:vAlign w:val="center"/>
                </w:tcPr>
                <w:p w14:paraId="2C48A0CB">
                  <w:pPr>
                    <w:pStyle w:val="27"/>
                    <w:keepNext w:val="0"/>
                    <w:keepLines w:val="0"/>
                    <w:pageBreakBefore w:val="0"/>
                    <w:numPr>
                      <w:ilvl w:val="1"/>
                      <w:numId w:val="0"/>
                    </w:numPr>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w:t>
                  </w:r>
                </w:p>
              </w:tc>
              <w:tc>
                <w:tcPr>
                  <w:tcW w:w="1238" w:type="dxa"/>
                  <w:shd w:val="clear" w:color="auto" w:fill="auto"/>
                  <w:vAlign w:val="center"/>
                </w:tcPr>
                <w:p w14:paraId="613FBACD">
                  <w:pPr>
                    <w:pStyle w:val="38"/>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颗粒物</w:t>
                  </w:r>
                </w:p>
              </w:tc>
              <w:tc>
                <w:tcPr>
                  <w:tcW w:w="946" w:type="dxa"/>
                  <w:shd w:val="clear" w:color="auto" w:fill="auto"/>
                  <w:vAlign w:val="center"/>
                </w:tcPr>
                <w:p w14:paraId="0D8EEE51">
                  <w:pPr>
                    <w:pStyle w:val="38"/>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color w:val="auto"/>
                      <w:sz w:val="21"/>
                      <w:szCs w:val="21"/>
                      <w:highlight w:val="none"/>
                      <w:lang w:val="en-US"/>
                    </w:rPr>
                  </w:pPr>
                  <w:r>
                    <w:rPr>
                      <w:rFonts w:hint="eastAsia" w:ascii="Times New Roman" w:cs="Times New Roman"/>
                      <w:color w:val="auto"/>
                      <w:sz w:val="21"/>
                      <w:szCs w:val="21"/>
                      <w:highlight w:val="none"/>
                      <w:lang w:val="en-US" w:eastAsia="zh-CN"/>
                    </w:rPr>
                    <w:t>0.041</w:t>
                  </w:r>
                </w:p>
              </w:tc>
              <w:tc>
                <w:tcPr>
                  <w:tcW w:w="1085" w:type="dxa"/>
                  <w:shd w:val="clear" w:color="auto" w:fill="auto"/>
                  <w:vAlign w:val="center"/>
                </w:tcPr>
                <w:p w14:paraId="36F74B5D">
                  <w:pPr>
                    <w:pStyle w:val="38"/>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rPr>
                  </w:pPr>
                  <w:r>
                    <w:rPr>
                      <w:rFonts w:hint="eastAsia" w:ascii="Times New Roman" w:cs="Times New Roman"/>
                      <w:color w:val="auto"/>
                      <w:kern w:val="2"/>
                      <w:sz w:val="21"/>
                      <w:szCs w:val="21"/>
                      <w:highlight w:val="none"/>
                      <w:lang w:val="en-US" w:eastAsia="zh-CN"/>
                    </w:rPr>
                    <w:t>0.0293</w:t>
                  </w:r>
                </w:p>
              </w:tc>
              <w:tc>
                <w:tcPr>
                  <w:tcW w:w="939" w:type="dxa"/>
                  <w:shd w:val="clear" w:color="auto" w:fill="auto"/>
                  <w:vAlign w:val="center"/>
                </w:tcPr>
                <w:p w14:paraId="224F755B">
                  <w:pPr>
                    <w:pStyle w:val="38"/>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cs="Times New Roman"/>
                      <w:color w:val="auto"/>
                      <w:kern w:val="0"/>
                      <w:sz w:val="21"/>
                      <w:szCs w:val="21"/>
                      <w:highlight w:val="none"/>
                      <w:lang w:val="en-US" w:eastAsia="zh-CN" w:bidi="ar-SA"/>
                    </w:rPr>
                    <w:t>0.0103</w:t>
                  </w:r>
                </w:p>
              </w:tc>
              <w:tc>
                <w:tcPr>
                  <w:tcW w:w="1262" w:type="dxa"/>
                  <w:shd w:val="clear" w:color="auto" w:fill="auto"/>
                  <w:vAlign w:val="center"/>
                </w:tcPr>
                <w:p w14:paraId="0706102A">
                  <w:pPr>
                    <w:pStyle w:val="38"/>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0.06</w:t>
                  </w:r>
                </w:p>
              </w:tc>
              <w:tc>
                <w:tcPr>
                  <w:tcW w:w="1044" w:type="dxa"/>
                  <w:shd w:val="clear" w:color="auto" w:fill="auto"/>
                  <w:vAlign w:val="center"/>
                </w:tcPr>
                <w:p w14:paraId="6AD660A2">
                  <w:pPr>
                    <w:pStyle w:val="38"/>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cs="Times New Roman"/>
                      <w:color w:val="auto"/>
                      <w:sz w:val="21"/>
                      <w:szCs w:val="21"/>
                      <w:highlight w:val="none"/>
                      <w:lang w:val="en-US" w:eastAsia="zh-CN"/>
                    </w:rPr>
                    <w:t>+0.019</w:t>
                  </w:r>
                </w:p>
              </w:tc>
            </w:tr>
            <w:tr w14:paraId="29B1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Merge w:val="continue"/>
                  <w:shd w:val="clear" w:color="auto" w:fill="auto"/>
                  <w:vAlign w:val="center"/>
                </w:tcPr>
                <w:p w14:paraId="5DEDA8B8">
                  <w:pPr>
                    <w:pStyle w:val="27"/>
                    <w:keepNext w:val="0"/>
                    <w:keepLines w:val="0"/>
                    <w:pageBreakBefore w:val="0"/>
                    <w:numPr>
                      <w:ilvl w:val="1"/>
                      <w:numId w:val="0"/>
                    </w:numPr>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rPr>
                  </w:pPr>
                </w:p>
              </w:tc>
              <w:tc>
                <w:tcPr>
                  <w:tcW w:w="1238" w:type="dxa"/>
                  <w:shd w:val="clear" w:color="auto" w:fill="auto"/>
                  <w:vAlign w:val="center"/>
                </w:tcPr>
                <w:p w14:paraId="4D2A05EE">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挥发性有机物</w:t>
                  </w:r>
                </w:p>
              </w:tc>
              <w:tc>
                <w:tcPr>
                  <w:tcW w:w="946" w:type="dxa"/>
                  <w:shd w:val="clear" w:color="auto" w:fill="auto"/>
                  <w:vAlign w:val="center"/>
                </w:tcPr>
                <w:p w14:paraId="0F767BE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r>
                    <w:rPr>
                      <w:rFonts w:hint="eastAsia" w:cs="Times New Roman"/>
                      <w:color w:val="auto"/>
                      <w:sz w:val="21"/>
                      <w:szCs w:val="21"/>
                      <w:highlight w:val="none"/>
                      <w:lang w:val="en-US" w:eastAsia="zh-CN"/>
                    </w:rPr>
                    <w:t>132</w:t>
                  </w:r>
                </w:p>
              </w:tc>
              <w:tc>
                <w:tcPr>
                  <w:tcW w:w="1085" w:type="dxa"/>
                  <w:shd w:val="clear" w:color="auto" w:fill="auto"/>
                  <w:vAlign w:val="center"/>
                </w:tcPr>
                <w:p w14:paraId="28B4D5CD">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0.0889</w:t>
                  </w:r>
                </w:p>
              </w:tc>
              <w:tc>
                <w:tcPr>
                  <w:tcW w:w="939" w:type="dxa"/>
                  <w:shd w:val="clear" w:color="auto" w:fill="auto"/>
                  <w:vAlign w:val="center"/>
                </w:tcPr>
                <w:p w14:paraId="0F7F18B4">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0.0431</w:t>
                  </w:r>
                </w:p>
              </w:tc>
              <w:tc>
                <w:tcPr>
                  <w:tcW w:w="1262" w:type="dxa"/>
                  <w:shd w:val="clear" w:color="auto" w:fill="auto"/>
                  <w:vAlign w:val="center"/>
                </w:tcPr>
                <w:p w14:paraId="575701BA">
                  <w:pPr>
                    <w:pStyle w:val="38"/>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0.1778</w:t>
                  </w:r>
                </w:p>
              </w:tc>
              <w:tc>
                <w:tcPr>
                  <w:tcW w:w="1044" w:type="dxa"/>
                  <w:shd w:val="clear" w:color="auto" w:fill="auto"/>
                  <w:vAlign w:val="center"/>
                </w:tcPr>
                <w:p w14:paraId="71E6F172">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highlight w:val="none"/>
                      <w:lang w:val="en-US" w:eastAsia="zh-CN" w:bidi="ar-SA"/>
                    </w:rPr>
                    <w:t>+0.0458</w:t>
                  </w:r>
                </w:p>
              </w:tc>
            </w:tr>
            <w:tr w14:paraId="128B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Merge w:val="restart"/>
                  <w:shd w:val="clear" w:color="auto" w:fill="auto"/>
                  <w:vAlign w:val="center"/>
                </w:tcPr>
                <w:p w14:paraId="091F72FA">
                  <w:pPr>
                    <w:pStyle w:val="27"/>
                    <w:keepNext w:val="0"/>
                    <w:keepLines w:val="0"/>
                    <w:pageBreakBefore w:val="0"/>
                    <w:numPr>
                      <w:ilvl w:val="1"/>
                      <w:numId w:val="0"/>
                    </w:numPr>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1238" w:type="dxa"/>
                  <w:shd w:val="clear" w:color="auto" w:fill="auto"/>
                  <w:vAlign w:val="center"/>
                </w:tcPr>
                <w:p w14:paraId="528E10E6">
                  <w:pPr>
                    <w:keepNext w:val="0"/>
                    <w:keepLines w:val="0"/>
                    <w:pageBreakBefore w:val="0"/>
                    <w:kinsoku/>
                    <w:wordWrap/>
                    <w:overflowPunct/>
                    <w:topLinePunct w:val="0"/>
                    <w:bidi w:val="0"/>
                    <w:adjustRightInd w:val="0"/>
                    <w:snapToGrid w:val="0"/>
                    <w:spacing w:line="240" w:lineRule="auto"/>
                    <w:ind w:left="0"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COD</w:t>
                  </w:r>
                </w:p>
              </w:tc>
              <w:tc>
                <w:tcPr>
                  <w:tcW w:w="946" w:type="dxa"/>
                  <w:shd w:val="clear" w:color="auto" w:fill="auto"/>
                  <w:vAlign w:val="center"/>
                </w:tcPr>
                <w:p w14:paraId="5C023CAF">
                  <w:pPr>
                    <w:keepNext w:val="0"/>
                    <w:keepLines w:val="0"/>
                    <w:pageBreakBefore w:val="0"/>
                    <w:kinsoku/>
                    <w:wordWrap/>
                    <w:overflowPunct/>
                    <w:topLinePunct w:val="0"/>
                    <w:bidi w:val="0"/>
                    <w:adjustRightInd w:val="0"/>
                    <w:snapToGrid w:val="0"/>
                    <w:spacing w:line="240" w:lineRule="auto"/>
                    <w:ind w:lef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085" w:type="dxa"/>
                  <w:shd w:val="clear" w:color="auto" w:fill="auto"/>
                  <w:vAlign w:val="center"/>
                </w:tcPr>
                <w:p w14:paraId="00BB0315">
                  <w:pPr>
                    <w:keepNext w:val="0"/>
                    <w:keepLines w:val="0"/>
                    <w:pageBreakBefore w:val="0"/>
                    <w:kinsoku/>
                    <w:wordWrap/>
                    <w:overflowPunct/>
                    <w:topLinePunct w:val="0"/>
                    <w:bidi w:val="0"/>
                    <w:adjustRightInd w:val="0"/>
                    <w:snapToGrid w:val="0"/>
                    <w:spacing w:line="240" w:lineRule="auto"/>
                    <w:ind w:lef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w:t>
                  </w:r>
                </w:p>
              </w:tc>
              <w:tc>
                <w:tcPr>
                  <w:tcW w:w="939" w:type="dxa"/>
                  <w:shd w:val="clear" w:color="auto" w:fill="auto"/>
                  <w:vAlign w:val="center"/>
                </w:tcPr>
                <w:p w14:paraId="748843BB">
                  <w:pPr>
                    <w:keepNext w:val="0"/>
                    <w:keepLines w:val="0"/>
                    <w:pageBreakBefore w:val="0"/>
                    <w:widowControl/>
                    <w:kinsoku/>
                    <w:wordWrap/>
                    <w:overflowPunct/>
                    <w:topLinePunct w:val="0"/>
                    <w:bidi w:val="0"/>
                    <w:adjustRightInd w:val="0"/>
                    <w:snapToGrid w:val="0"/>
                    <w:spacing w:line="240" w:lineRule="auto"/>
                    <w:ind w:left="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62" w:type="dxa"/>
                  <w:shd w:val="clear" w:color="auto" w:fill="auto"/>
                  <w:vAlign w:val="center"/>
                </w:tcPr>
                <w:p w14:paraId="2C3D7BFB">
                  <w:pPr>
                    <w:keepNext w:val="0"/>
                    <w:keepLines w:val="0"/>
                    <w:pageBreakBefore w:val="0"/>
                    <w:kinsoku/>
                    <w:wordWrap/>
                    <w:overflowPunct/>
                    <w:topLinePunct w:val="0"/>
                    <w:bidi w:val="0"/>
                    <w:adjustRightInd w:val="0"/>
                    <w:snapToGrid w:val="0"/>
                    <w:spacing w:line="240" w:lineRule="auto"/>
                    <w:ind w:lef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w:t>
                  </w:r>
                </w:p>
              </w:tc>
              <w:tc>
                <w:tcPr>
                  <w:tcW w:w="1044" w:type="dxa"/>
                  <w:shd w:val="clear" w:color="auto" w:fill="auto"/>
                  <w:vAlign w:val="center"/>
                </w:tcPr>
                <w:p w14:paraId="21901D2E">
                  <w:pPr>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14:paraId="7A62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Merge w:val="continue"/>
                  <w:shd w:val="clear" w:color="auto" w:fill="auto"/>
                  <w:vAlign w:val="center"/>
                </w:tcPr>
                <w:p w14:paraId="571C371B">
                  <w:pPr>
                    <w:pStyle w:val="27"/>
                    <w:keepNext w:val="0"/>
                    <w:keepLines w:val="0"/>
                    <w:pageBreakBefore w:val="0"/>
                    <w:kinsoku/>
                    <w:wordWrap/>
                    <w:overflowPunct/>
                    <w:topLinePunct w:val="0"/>
                    <w:bidi w:val="0"/>
                    <w:snapToGrid w:val="0"/>
                    <w:spacing w:line="240" w:lineRule="auto"/>
                    <w:ind w:left="0" w:firstLine="0" w:firstLineChars="0"/>
                    <w:jc w:val="center"/>
                    <w:rPr>
                      <w:rFonts w:hint="default" w:ascii="Times New Roman" w:hAnsi="Times New Roman" w:eastAsia="宋体" w:cs="Times New Roman"/>
                      <w:color w:val="auto"/>
                      <w:sz w:val="21"/>
                      <w:szCs w:val="21"/>
                      <w:highlight w:val="none"/>
                    </w:rPr>
                  </w:pPr>
                </w:p>
              </w:tc>
              <w:tc>
                <w:tcPr>
                  <w:tcW w:w="1238" w:type="dxa"/>
                  <w:shd w:val="clear" w:color="auto" w:fill="auto"/>
                  <w:vAlign w:val="center"/>
                </w:tcPr>
                <w:p w14:paraId="158BC2C0">
                  <w:pPr>
                    <w:keepNext w:val="0"/>
                    <w:keepLines w:val="0"/>
                    <w:pageBreakBefore w:val="0"/>
                    <w:kinsoku/>
                    <w:wordWrap/>
                    <w:overflowPunct/>
                    <w:topLinePunct w:val="0"/>
                    <w:bidi w:val="0"/>
                    <w:adjustRightInd w:val="0"/>
                    <w:snapToGrid w:val="0"/>
                    <w:spacing w:line="240" w:lineRule="auto"/>
                    <w:ind w:left="0"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NH</w:t>
                  </w:r>
                  <w:r>
                    <w:rPr>
                      <w:rFonts w:hint="default" w:ascii="Times New Roman" w:hAnsi="Times New Roman" w:eastAsia="宋体" w:cs="Times New Roman"/>
                      <w:color w:val="auto"/>
                      <w:kern w:val="0"/>
                      <w:sz w:val="21"/>
                      <w:szCs w:val="21"/>
                      <w:highlight w:val="none"/>
                      <w:vertAlign w:val="subscript"/>
                    </w:rPr>
                    <w:t>3</w:t>
                  </w:r>
                  <w:r>
                    <w:rPr>
                      <w:rFonts w:hint="default" w:ascii="Times New Roman" w:hAnsi="Times New Roman" w:eastAsia="宋体" w:cs="Times New Roman"/>
                      <w:color w:val="auto"/>
                      <w:kern w:val="0"/>
                      <w:sz w:val="21"/>
                      <w:szCs w:val="21"/>
                      <w:highlight w:val="none"/>
                    </w:rPr>
                    <w:t>-N</w:t>
                  </w:r>
                </w:p>
              </w:tc>
              <w:tc>
                <w:tcPr>
                  <w:tcW w:w="946" w:type="dxa"/>
                  <w:shd w:val="clear" w:color="auto" w:fill="auto"/>
                  <w:vAlign w:val="center"/>
                </w:tcPr>
                <w:p w14:paraId="7EFCE7AA">
                  <w:pPr>
                    <w:keepNext w:val="0"/>
                    <w:keepLines w:val="0"/>
                    <w:pageBreakBefore w:val="0"/>
                    <w:kinsoku/>
                    <w:wordWrap/>
                    <w:overflowPunct/>
                    <w:topLinePunct w:val="0"/>
                    <w:bidi w:val="0"/>
                    <w:adjustRightInd w:val="0"/>
                    <w:snapToGrid w:val="0"/>
                    <w:spacing w:line="240" w:lineRule="auto"/>
                    <w:ind w:lef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w:t>
                  </w:r>
                </w:p>
              </w:tc>
              <w:tc>
                <w:tcPr>
                  <w:tcW w:w="1085" w:type="dxa"/>
                  <w:shd w:val="clear" w:color="auto" w:fill="auto"/>
                  <w:vAlign w:val="center"/>
                </w:tcPr>
                <w:p w14:paraId="3DBAF3FB">
                  <w:pPr>
                    <w:keepNext w:val="0"/>
                    <w:keepLines w:val="0"/>
                    <w:pageBreakBefore w:val="0"/>
                    <w:kinsoku/>
                    <w:wordWrap/>
                    <w:overflowPunct/>
                    <w:topLinePunct w:val="0"/>
                    <w:bidi w:val="0"/>
                    <w:adjustRightInd w:val="0"/>
                    <w:snapToGrid w:val="0"/>
                    <w:spacing w:line="240" w:lineRule="auto"/>
                    <w:ind w:lef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w:t>
                  </w:r>
                </w:p>
              </w:tc>
              <w:tc>
                <w:tcPr>
                  <w:tcW w:w="939" w:type="dxa"/>
                  <w:shd w:val="clear" w:color="auto" w:fill="auto"/>
                  <w:vAlign w:val="center"/>
                </w:tcPr>
                <w:p w14:paraId="0896D77A">
                  <w:pPr>
                    <w:keepNext w:val="0"/>
                    <w:keepLines w:val="0"/>
                    <w:pageBreakBefore w:val="0"/>
                    <w:widowControl/>
                    <w:kinsoku/>
                    <w:wordWrap/>
                    <w:overflowPunct/>
                    <w:topLinePunct w:val="0"/>
                    <w:bidi w:val="0"/>
                    <w:adjustRightInd w:val="0"/>
                    <w:snapToGrid w:val="0"/>
                    <w:spacing w:line="240" w:lineRule="auto"/>
                    <w:ind w:left="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w:t>
                  </w:r>
                </w:p>
              </w:tc>
              <w:tc>
                <w:tcPr>
                  <w:tcW w:w="1262" w:type="dxa"/>
                  <w:shd w:val="clear" w:color="auto" w:fill="auto"/>
                  <w:vAlign w:val="center"/>
                </w:tcPr>
                <w:p w14:paraId="198988B7">
                  <w:pPr>
                    <w:keepNext w:val="0"/>
                    <w:keepLines w:val="0"/>
                    <w:pageBreakBefore w:val="0"/>
                    <w:kinsoku/>
                    <w:wordWrap/>
                    <w:overflowPunct/>
                    <w:topLinePunct w:val="0"/>
                    <w:bidi w:val="0"/>
                    <w:adjustRightInd w:val="0"/>
                    <w:snapToGrid w:val="0"/>
                    <w:spacing w:line="240" w:lineRule="auto"/>
                    <w:ind w:lef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w:t>
                  </w:r>
                </w:p>
              </w:tc>
              <w:tc>
                <w:tcPr>
                  <w:tcW w:w="1044" w:type="dxa"/>
                  <w:shd w:val="clear" w:color="auto" w:fill="auto"/>
                  <w:vAlign w:val="center"/>
                </w:tcPr>
                <w:p w14:paraId="5C700E6F">
                  <w:pPr>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14:paraId="0708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Merge w:val="restart"/>
                  <w:shd w:val="clear" w:color="auto" w:fill="auto"/>
                  <w:vAlign w:val="center"/>
                </w:tcPr>
                <w:p w14:paraId="0D5BAA42">
                  <w:pPr>
                    <w:pStyle w:val="27"/>
                    <w:keepNext w:val="0"/>
                    <w:keepLines w:val="0"/>
                    <w:pageBreakBefore w:val="0"/>
                    <w:numPr>
                      <w:ilvl w:val="1"/>
                      <w:numId w:val="0"/>
                    </w:numPr>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w:t>
                  </w:r>
                </w:p>
              </w:tc>
              <w:tc>
                <w:tcPr>
                  <w:tcW w:w="1238" w:type="dxa"/>
                  <w:shd w:val="clear" w:color="auto" w:fill="auto"/>
                  <w:vAlign w:val="center"/>
                </w:tcPr>
                <w:p w14:paraId="75FD5B03">
                  <w:pPr>
                    <w:keepNext w:val="0"/>
                    <w:keepLines w:val="0"/>
                    <w:pageBreakBefore w:val="0"/>
                    <w:widowControl/>
                    <w:suppressLineNumbers w:val="0"/>
                    <w:kinsoku/>
                    <w:wordWrap/>
                    <w:overflowPunct/>
                    <w:autoSpaceDE/>
                    <w:autoSpaceDN/>
                    <w:bidi w:val="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生活垃圾</w:t>
                  </w:r>
                </w:p>
              </w:tc>
              <w:tc>
                <w:tcPr>
                  <w:tcW w:w="946" w:type="dxa"/>
                  <w:shd w:val="clear" w:color="auto" w:fill="auto"/>
                  <w:vAlign w:val="center"/>
                </w:tcPr>
                <w:p w14:paraId="23B777FF">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en-US"/>
                    </w:rPr>
                  </w:pPr>
                  <w:r>
                    <w:rPr>
                      <w:rFonts w:hint="eastAsia" w:ascii="Times New Roman" w:hAnsi="Times New Roman" w:cs="Times New Roman"/>
                      <w:b w:val="0"/>
                      <w:bCs/>
                      <w:color w:val="auto"/>
                      <w:kern w:val="2"/>
                      <w:sz w:val="21"/>
                      <w:szCs w:val="21"/>
                      <w:vertAlign w:val="baseline"/>
                      <w:lang w:val="en-US" w:eastAsia="zh-CN" w:bidi="ar-SA"/>
                    </w:rPr>
                    <w:t>12.75</w:t>
                  </w:r>
                </w:p>
              </w:tc>
              <w:tc>
                <w:tcPr>
                  <w:tcW w:w="1085" w:type="dxa"/>
                  <w:shd w:val="clear" w:color="auto" w:fill="auto"/>
                  <w:vAlign w:val="center"/>
                </w:tcPr>
                <w:p w14:paraId="79256080">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1"/>
                      <w:szCs w:val="21"/>
                      <w:vertAlign w:val="baseline"/>
                      <w:lang w:val="en-US" w:eastAsia="zh-CN" w:bidi="ar-SA"/>
                    </w:rPr>
                  </w:pPr>
                  <w:r>
                    <w:rPr>
                      <w:rFonts w:hint="eastAsia" w:cs="Times New Roman"/>
                      <w:snapToGrid/>
                      <w:color w:val="auto"/>
                      <w:spacing w:val="0"/>
                      <w:kern w:val="0"/>
                      <w:position w:val="0"/>
                      <w:sz w:val="21"/>
                      <w:szCs w:val="21"/>
                      <w:lang w:val="en-US" w:eastAsia="zh-CN"/>
                    </w:rPr>
                    <w:t>4.5</w:t>
                  </w:r>
                </w:p>
              </w:tc>
              <w:tc>
                <w:tcPr>
                  <w:tcW w:w="939" w:type="dxa"/>
                  <w:shd w:val="clear" w:color="auto" w:fill="auto"/>
                  <w:vAlign w:val="center"/>
                </w:tcPr>
                <w:p w14:paraId="64C33986">
                  <w:pPr>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1262" w:type="dxa"/>
                  <w:shd w:val="clear" w:color="auto" w:fill="auto"/>
                  <w:vAlign w:val="center"/>
                </w:tcPr>
                <w:p w14:paraId="26FB1D04">
                  <w:pPr>
                    <w:keepNext w:val="0"/>
                    <w:keepLines w:val="0"/>
                    <w:pageBreakBefore w:val="0"/>
                    <w:kinsoku/>
                    <w:wordWrap/>
                    <w:overflowPunct/>
                    <w:topLinePunct w:val="0"/>
                    <w:bidi w:val="0"/>
                    <w:adjustRightInd w:val="0"/>
                    <w:snapToGrid w:val="0"/>
                    <w:spacing w:line="240" w:lineRule="auto"/>
                    <w:ind w:left="0" w:firstLine="0" w:firstLineChars="0"/>
                    <w:jc w:val="center"/>
                    <w:rPr>
                      <w:rFonts w:hint="default" w:ascii="Times New Roman" w:hAnsi="Times New Roman" w:eastAsia="宋体" w:cs="Times New Roman"/>
                      <w:snapToGrid w:val="0"/>
                      <w:color w:val="auto"/>
                      <w:kern w:val="21"/>
                      <w:sz w:val="21"/>
                      <w:szCs w:val="21"/>
                      <w:highlight w:val="none"/>
                      <w:lang w:val="en-US" w:eastAsia="zh-CN"/>
                    </w:rPr>
                  </w:pPr>
                  <w:r>
                    <w:rPr>
                      <w:rFonts w:hint="eastAsia" w:cs="Times New Roman"/>
                      <w:snapToGrid w:val="0"/>
                      <w:color w:val="auto"/>
                      <w:kern w:val="21"/>
                      <w:sz w:val="21"/>
                      <w:szCs w:val="21"/>
                      <w:highlight w:val="none"/>
                      <w:lang w:val="en-US" w:eastAsia="zh-CN"/>
                    </w:rPr>
                    <w:t>17.25</w:t>
                  </w:r>
                </w:p>
              </w:tc>
              <w:tc>
                <w:tcPr>
                  <w:tcW w:w="1044" w:type="dxa"/>
                  <w:shd w:val="clear" w:color="auto" w:fill="auto"/>
                  <w:vAlign w:val="center"/>
                </w:tcPr>
                <w:p w14:paraId="080CEC65">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snapToGrid/>
                      <w:color w:val="auto"/>
                      <w:spacing w:val="0"/>
                      <w:kern w:val="0"/>
                      <w:position w:val="0"/>
                      <w:sz w:val="21"/>
                      <w:szCs w:val="21"/>
                      <w:highlight w:val="none"/>
                      <w:vertAlign w:val="baseline"/>
                      <w:lang w:val="en-US" w:eastAsia="zh-CN" w:bidi="ar-SA"/>
                    </w:rPr>
                  </w:pPr>
                  <w:r>
                    <w:rPr>
                      <w:rFonts w:hint="eastAsia" w:ascii="Times New Roman" w:hAnsi="Times New Roman" w:eastAsia="宋体" w:cs="Times New Roman"/>
                      <w:b w:val="0"/>
                      <w:bCs w:val="0"/>
                      <w:snapToGrid/>
                      <w:color w:val="auto"/>
                      <w:spacing w:val="0"/>
                      <w:kern w:val="0"/>
                      <w:position w:val="0"/>
                      <w:sz w:val="21"/>
                      <w:szCs w:val="21"/>
                      <w:highlight w:val="none"/>
                      <w:vertAlign w:val="baseline"/>
                      <w:lang w:val="en-US" w:eastAsia="zh-CN" w:bidi="ar-SA"/>
                    </w:rPr>
                    <w:t>+4.5</w:t>
                  </w:r>
                </w:p>
              </w:tc>
            </w:tr>
            <w:tr w14:paraId="1861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Merge w:val="continue"/>
                  <w:shd w:val="clear" w:color="auto" w:fill="auto"/>
                  <w:vAlign w:val="center"/>
                </w:tcPr>
                <w:p w14:paraId="44032C3C">
                  <w:pPr>
                    <w:pStyle w:val="27"/>
                    <w:keepNext w:val="0"/>
                    <w:keepLines w:val="0"/>
                    <w:pageBreakBefore w:val="0"/>
                    <w:kinsoku/>
                    <w:wordWrap/>
                    <w:overflowPunct/>
                    <w:topLinePunct w:val="0"/>
                    <w:bidi w:val="0"/>
                    <w:snapToGrid w:val="0"/>
                    <w:spacing w:line="240" w:lineRule="auto"/>
                    <w:ind w:left="0" w:firstLine="0" w:firstLineChars="0"/>
                    <w:jc w:val="center"/>
                    <w:rPr>
                      <w:rFonts w:hint="default" w:ascii="Times New Roman" w:hAnsi="Times New Roman" w:eastAsia="宋体" w:cs="Times New Roman"/>
                      <w:color w:val="auto"/>
                      <w:sz w:val="21"/>
                      <w:szCs w:val="21"/>
                      <w:highlight w:val="none"/>
                    </w:rPr>
                  </w:pPr>
                </w:p>
              </w:tc>
              <w:tc>
                <w:tcPr>
                  <w:tcW w:w="1238" w:type="dxa"/>
                  <w:shd w:val="clear" w:color="auto" w:fill="auto"/>
                  <w:vAlign w:val="center"/>
                </w:tcPr>
                <w:p w14:paraId="49B5834D">
                  <w:pPr>
                    <w:keepNext w:val="0"/>
                    <w:keepLines w:val="0"/>
                    <w:pageBreakBefore w:val="0"/>
                    <w:widowControl/>
                    <w:suppressLineNumbers w:val="0"/>
                    <w:kinsoku/>
                    <w:wordWrap/>
                    <w:overflowPunct/>
                    <w:autoSpaceDE/>
                    <w:autoSpaceDN/>
                    <w:bidi w:val="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sz w:val="21"/>
                      <w:szCs w:val="21"/>
                      <w:highlight w:val="none"/>
                      <w:vertAlign w:val="baseline"/>
                      <w:lang w:val="en-US" w:eastAsia="zh-CN"/>
                    </w:rPr>
                    <w:t>废包装袋</w:t>
                  </w:r>
                </w:p>
              </w:tc>
              <w:tc>
                <w:tcPr>
                  <w:tcW w:w="946" w:type="dxa"/>
                  <w:shd w:val="clear" w:color="auto" w:fill="auto"/>
                  <w:vAlign w:val="center"/>
                </w:tcPr>
                <w:p w14:paraId="019B26B3">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kern w:val="2"/>
                      <w:sz w:val="21"/>
                      <w:szCs w:val="21"/>
                      <w:vertAlign w:val="baseline"/>
                      <w:lang w:val="en-US" w:eastAsia="zh-CN" w:bidi="ar-SA"/>
                    </w:rPr>
                    <w:t>0.02</w:t>
                  </w:r>
                </w:p>
              </w:tc>
              <w:tc>
                <w:tcPr>
                  <w:tcW w:w="1085" w:type="dxa"/>
                  <w:shd w:val="clear" w:color="auto" w:fill="auto"/>
                  <w:vAlign w:val="center"/>
                </w:tcPr>
                <w:p w14:paraId="5915987B">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bidi="ar-SA"/>
                    </w:rPr>
                  </w:pPr>
                  <w:r>
                    <w:rPr>
                      <w:rFonts w:hint="eastAsia" w:cs="Times New Roman"/>
                      <w:snapToGrid/>
                      <w:color w:val="auto"/>
                      <w:spacing w:val="0"/>
                      <w:kern w:val="0"/>
                      <w:position w:val="0"/>
                      <w:sz w:val="21"/>
                      <w:szCs w:val="21"/>
                      <w:lang w:val="en-US" w:eastAsia="zh-CN"/>
                    </w:rPr>
                    <w:t>0.02</w:t>
                  </w:r>
                </w:p>
              </w:tc>
              <w:tc>
                <w:tcPr>
                  <w:tcW w:w="939" w:type="dxa"/>
                  <w:shd w:val="clear" w:color="auto" w:fill="auto"/>
                  <w:vAlign w:val="center"/>
                </w:tcPr>
                <w:p w14:paraId="533C2C17">
                  <w:pPr>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1262" w:type="dxa"/>
                  <w:shd w:val="clear" w:color="auto" w:fill="auto"/>
                  <w:vAlign w:val="center"/>
                </w:tcPr>
                <w:p w14:paraId="201C1D23">
                  <w:pPr>
                    <w:keepNext w:val="0"/>
                    <w:keepLines w:val="0"/>
                    <w:pageBreakBefore w:val="0"/>
                    <w:kinsoku/>
                    <w:wordWrap/>
                    <w:overflowPunct/>
                    <w:topLinePunct w:val="0"/>
                    <w:bidi w:val="0"/>
                    <w:spacing w:line="240" w:lineRule="auto"/>
                    <w:ind w:left="0"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0.04</w:t>
                  </w:r>
                </w:p>
              </w:tc>
              <w:tc>
                <w:tcPr>
                  <w:tcW w:w="1044" w:type="dxa"/>
                  <w:shd w:val="clear" w:color="auto" w:fill="auto"/>
                  <w:vAlign w:val="center"/>
                </w:tcPr>
                <w:p w14:paraId="0BC3B426">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ascii="Times New Roman" w:hAnsi="Times New Roman" w:eastAsia="宋体" w:cs="Times New Roman"/>
                      <w:b w:val="0"/>
                      <w:bCs w:val="0"/>
                      <w:color w:val="auto"/>
                      <w:kern w:val="2"/>
                      <w:sz w:val="21"/>
                      <w:szCs w:val="21"/>
                      <w:highlight w:val="none"/>
                      <w:vertAlign w:val="baseline"/>
                      <w:lang w:val="en-US" w:eastAsia="zh-CN" w:bidi="ar-SA"/>
                    </w:rPr>
                    <w:t>+</w:t>
                  </w:r>
                  <w:r>
                    <w:rPr>
                      <w:rFonts w:hint="eastAsia" w:cs="Times New Roman"/>
                      <w:b w:val="0"/>
                      <w:bCs w:val="0"/>
                      <w:color w:val="auto"/>
                      <w:kern w:val="2"/>
                      <w:sz w:val="21"/>
                      <w:szCs w:val="21"/>
                      <w:highlight w:val="none"/>
                      <w:vertAlign w:val="baseline"/>
                      <w:lang w:val="en-US" w:eastAsia="zh-CN" w:bidi="ar-SA"/>
                    </w:rPr>
                    <w:t>0.02</w:t>
                  </w:r>
                </w:p>
              </w:tc>
            </w:tr>
            <w:tr w14:paraId="38BF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Merge w:val="continue"/>
                  <w:shd w:val="clear" w:color="auto" w:fill="auto"/>
                  <w:vAlign w:val="center"/>
                </w:tcPr>
                <w:p w14:paraId="61B884DB">
                  <w:pPr>
                    <w:pStyle w:val="27"/>
                    <w:keepNext w:val="0"/>
                    <w:keepLines w:val="0"/>
                    <w:pageBreakBefore w:val="0"/>
                    <w:kinsoku/>
                    <w:wordWrap/>
                    <w:overflowPunct/>
                    <w:topLinePunct w:val="0"/>
                    <w:bidi w:val="0"/>
                    <w:snapToGrid w:val="0"/>
                    <w:spacing w:line="240" w:lineRule="auto"/>
                    <w:ind w:left="0" w:firstLine="0" w:firstLineChars="0"/>
                    <w:jc w:val="center"/>
                    <w:rPr>
                      <w:rFonts w:hint="default" w:ascii="Times New Roman" w:hAnsi="Times New Roman" w:eastAsia="宋体" w:cs="Times New Roman"/>
                      <w:color w:val="auto"/>
                      <w:sz w:val="21"/>
                      <w:szCs w:val="21"/>
                      <w:highlight w:val="none"/>
                    </w:rPr>
                  </w:pPr>
                </w:p>
              </w:tc>
              <w:tc>
                <w:tcPr>
                  <w:tcW w:w="1238" w:type="dxa"/>
                  <w:shd w:val="clear" w:color="auto" w:fill="auto"/>
                  <w:vAlign w:val="center"/>
                </w:tcPr>
                <w:p w14:paraId="473E03F2">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b w:val="0"/>
                      <w:bCs w:val="0"/>
                      <w:color w:val="auto"/>
                      <w:sz w:val="21"/>
                      <w:szCs w:val="21"/>
                      <w:highlight w:val="none"/>
                      <w:vertAlign w:val="baseline"/>
                      <w:lang w:val="en-US" w:eastAsia="zh-CN"/>
                    </w:rPr>
                    <w:t>回收粘结剂</w:t>
                  </w:r>
                </w:p>
              </w:tc>
              <w:tc>
                <w:tcPr>
                  <w:tcW w:w="946" w:type="dxa"/>
                  <w:shd w:val="clear" w:color="auto" w:fill="auto"/>
                  <w:vAlign w:val="center"/>
                </w:tcPr>
                <w:p w14:paraId="07F1AC27">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kern w:val="2"/>
                      <w:sz w:val="21"/>
                      <w:szCs w:val="21"/>
                      <w:vertAlign w:val="baseline"/>
                      <w:lang w:val="en-US" w:eastAsia="zh-CN" w:bidi="ar-SA"/>
                    </w:rPr>
                    <w:t>0.06</w:t>
                  </w:r>
                </w:p>
              </w:tc>
              <w:tc>
                <w:tcPr>
                  <w:tcW w:w="1085" w:type="dxa"/>
                  <w:shd w:val="clear" w:color="auto" w:fill="auto"/>
                  <w:vAlign w:val="center"/>
                </w:tcPr>
                <w:p w14:paraId="3B7A23F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0.06</w:t>
                  </w:r>
                </w:p>
              </w:tc>
              <w:tc>
                <w:tcPr>
                  <w:tcW w:w="939" w:type="dxa"/>
                  <w:shd w:val="clear" w:color="auto" w:fill="auto"/>
                  <w:vAlign w:val="center"/>
                </w:tcPr>
                <w:p w14:paraId="7353E631">
                  <w:pPr>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1262" w:type="dxa"/>
                  <w:shd w:val="clear" w:color="auto" w:fill="auto"/>
                  <w:vAlign w:val="center"/>
                </w:tcPr>
                <w:p w14:paraId="32EF5667">
                  <w:pPr>
                    <w:keepNext w:val="0"/>
                    <w:keepLines w:val="0"/>
                    <w:pageBreakBefore w:val="0"/>
                    <w:kinsoku/>
                    <w:wordWrap/>
                    <w:overflowPunct/>
                    <w:topLinePunct w:val="0"/>
                    <w:bidi w:val="0"/>
                    <w:spacing w:line="240" w:lineRule="auto"/>
                    <w:ind w:left="0"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0.12</w:t>
                  </w:r>
                </w:p>
              </w:tc>
              <w:tc>
                <w:tcPr>
                  <w:tcW w:w="1044" w:type="dxa"/>
                  <w:shd w:val="clear" w:color="auto" w:fill="auto"/>
                  <w:vAlign w:val="center"/>
                </w:tcPr>
                <w:p w14:paraId="0F16E4E6">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ascii="Times New Roman" w:hAnsi="Times New Roman" w:eastAsia="宋体" w:cs="Times New Roman"/>
                      <w:b w:val="0"/>
                      <w:bCs w:val="0"/>
                      <w:color w:val="auto"/>
                      <w:kern w:val="2"/>
                      <w:sz w:val="21"/>
                      <w:szCs w:val="21"/>
                      <w:highlight w:val="none"/>
                      <w:vertAlign w:val="baseline"/>
                      <w:lang w:val="en-US" w:eastAsia="zh-CN" w:bidi="ar-SA"/>
                    </w:rPr>
                    <w:t>+0.</w:t>
                  </w:r>
                  <w:r>
                    <w:rPr>
                      <w:rFonts w:hint="eastAsia" w:cs="Times New Roman"/>
                      <w:b w:val="0"/>
                      <w:bCs w:val="0"/>
                      <w:color w:val="auto"/>
                      <w:kern w:val="2"/>
                      <w:sz w:val="21"/>
                      <w:szCs w:val="21"/>
                      <w:highlight w:val="none"/>
                      <w:vertAlign w:val="baseline"/>
                      <w:lang w:val="en-US" w:eastAsia="zh-CN" w:bidi="ar-SA"/>
                    </w:rPr>
                    <w:t>06</w:t>
                  </w:r>
                </w:p>
              </w:tc>
            </w:tr>
            <w:tr w14:paraId="56D4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Merge w:val="continue"/>
                  <w:shd w:val="clear" w:color="auto" w:fill="auto"/>
                  <w:vAlign w:val="center"/>
                </w:tcPr>
                <w:p w14:paraId="2795D631">
                  <w:pPr>
                    <w:pStyle w:val="27"/>
                    <w:keepNext w:val="0"/>
                    <w:keepLines w:val="0"/>
                    <w:pageBreakBefore w:val="0"/>
                    <w:numPr>
                      <w:ilvl w:val="1"/>
                      <w:numId w:val="0"/>
                    </w:numPr>
                    <w:kinsoku/>
                    <w:wordWrap/>
                    <w:overflowPunct/>
                    <w:topLinePunct w:val="0"/>
                    <w:bidi w:val="0"/>
                    <w:snapToGrid w:val="0"/>
                    <w:spacing w:line="240" w:lineRule="auto"/>
                    <w:ind w:left="0" w:firstLine="0" w:firstLineChars="0"/>
                    <w:jc w:val="center"/>
                    <w:rPr>
                      <w:rFonts w:hint="default" w:ascii="Times New Roman" w:hAnsi="Times New Roman" w:eastAsia="宋体" w:cs="Times New Roman"/>
                      <w:color w:val="auto"/>
                      <w:sz w:val="21"/>
                      <w:szCs w:val="21"/>
                      <w:highlight w:val="none"/>
                    </w:rPr>
                  </w:pPr>
                </w:p>
              </w:tc>
              <w:tc>
                <w:tcPr>
                  <w:tcW w:w="1238" w:type="dxa"/>
                  <w:shd w:val="clear" w:color="auto" w:fill="auto"/>
                  <w:vAlign w:val="center"/>
                </w:tcPr>
                <w:p w14:paraId="41C7C127">
                  <w:pPr>
                    <w:keepNext w:val="0"/>
                    <w:keepLines w:val="0"/>
                    <w:pageBreakBefore w:val="0"/>
                    <w:widowControl/>
                    <w:suppressLineNumbers w:val="0"/>
                    <w:kinsoku/>
                    <w:wordWrap/>
                    <w:overflowPunct/>
                    <w:autoSpaceDE/>
                    <w:autoSpaceDN/>
                    <w:bidi w:val="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eastAsia" w:cs="Times New Roman"/>
                      <w:b w:val="0"/>
                      <w:bCs w:val="0"/>
                      <w:color w:val="auto"/>
                      <w:sz w:val="21"/>
                      <w:szCs w:val="21"/>
                      <w:highlight w:val="none"/>
                      <w:vertAlign w:val="baseline"/>
                      <w:lang w:val="en-US" w:eastAsia="zh-CN"/>
                    </w:rPr>
                    <w:t>边角料</w:t>
                  </w:r>
                </w:p>
              </w:tc>
              <w:tc>
                <w:tcPr>
                  <w:tcW w:w="946" w:type="dxa"/>
                  <w:shd w:val="clear" w:color="auto" w:fill="auto"/>
                  <w:vAlign w:val="center"/>
                </w:tcPr>
                <w:p w14:paraId="65012B1A">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kern w:val="2"/>
                      <w:sz w:val="21"/>
                      <w:szCs w:val="21"/>
                      <w:vertAlign w:val="baseline"/>
                      <w:lang w:val="en-US" w:eastAsia="zh-CN" w:bidi="ar-SA"/>
                    </w:rPr>
                    <w:t>0.1</w:t>
                  </w:r>
                </w:p>
              </w:tc>
              <w:tc>
                <w:tcPr>
                  <w:tcW w:w="1085" w:type="dxa"/>
                  <w:shd w:val="clear" w:color="auto" w:fill="auto"/>
                  <w:vAlign w:val="center"/>
                </w:tcPr>
                <w:p w14:paraId="27EE5EF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0.1</w:t>
                  </w:r>
                </w:p>
              </w:tc>
              <w:tc>
                <w:tcPr>
                  <w:tcW w:w="939" w:type="dxa"/>
                  <w:shd w:val="clear" w:color="auto" w:fill="auto"/>
                  <w:vAlign w:val="center"/>
                </w:tcPr>
                <w:p w14:paraId="27019951">
                  <w:pPr>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w:t>
                  </w:r>
                </w:p>
              </w:tc>
              <w:tc>
                <w:tcPr>
                  <w:tcW w:w="1262" w:type="dxa"/>
                  <w:shd w:val="clear" w:color="auto" w:fill="auto"/>
                  <w:vAlign w:val="center"/>
                </w:tcPr>
                <w:p w14:paraId="4EF0773C">
                  <w:pPr>
                    <w:keepNext w:val="0"/>
                    <w:keepLines w:val="0"/>
                    <w:pageBreakBefore w:val="0"/>
                    <w:kinsoku/>
                    <w:wordWrap/>
                    <w:overflowPunct/>
                    <w:topLinePunct w:val="0"/>
                    <w:bidi w:val="0"/>
                    <w:adjustRightInd w:val="0"/>
                    <w:snapToGrid w:val="0"/>
                    <w:spacing w:line="240" w:lineRule="auto"/>
                    <w:ind w:left="0"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0.2</w:t>
                  </w:r>
                </w:p>
              </w:tc>
              <w:tc>
                <w:tcPr>
                  <w:tcW w:w="1044" w:type="dxa"/>
                  <w:shd w:val="clear" w:color="auto" w:fill="auto"/>
                  <w:vAlign w:val="center"/>
                </w:tcPr>
                <w:p w14:paraId="3C67C3B3">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ascii="Times New Roman" w:hAnsi="Times New Roman" w:eastAsia="宋体" w:cs="Times New Roman"/>
                      <w:snapToGrid/>
                      <w:color w:val="auto"/>
                      <w:spacing w:val="0"/>
                      <w:kern w:val="0"/>
                      <w:position w:val="0"/>
                      <w:sz w:val="21"/>
                      <w:szCs w:val="21"/>
                      <w:highlight w:val="none"/>
                      <w:lang w:val="en-US" w:eastAsia="zh-CN" w:bidi="ar-SA"/>
                    </w:rPr>
                    <w:t>+0.</w:t>
                  </w:r>
                  <w:r>
                    <w:rPr>
                      <w:rFonts w:hint="eastAsia" w:cs="Times New Roman"/>
                      <w:snapToGrid/>
                      <w:color w:val="auto"/>
                      <w:spacing w:val="0"/>
                      <w:kern w:val="0"/>
                      <w:position w:val="0"/>
                      <w:sz w:val="21"/>
                      <w:szCs w:val="21"/>
                      <w:highlight w:val="none"/>
                      <w:lang w:val="en-US" w:eastAsia="zh-CN" w:bidi="ar-SA"/>
                    </w:rPr>
                    <w:t>1</w:t>
                  </w:r>
                </w:p>
              </w:tc>
            </w:tr>
            <w:tr w14:paraId="1A25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Merge w:val="continue"/>
                  <w:shd w:val="clear" w:color="auto" w:fill="auto"/>
                  <w:vAlign w:val="center"/>
                </w:tcPr>
                <w:p w14:paraId="36ACC7D7">
                  <w:pPr>
                    <w:pStyle w:val="27"/>
                    <w:keepNext w:val="0"/>
                    <w:keepLines w:val="0"/>
                    <w:pageBreakBefore w:val="0"/>
                    <w:numPr>
                      <w:ilvl w:val="1"/>
                      <w:numId w:val="0"/>
                    </w:numPr>
                    <w:kinsoku/>
                    <w:wordWrap/>
                    <w:overflowPunct/>
                    <w:topLinePunct w:val="0"/>
                    <w:bidi w:val="0"/>
                    <w:snapToGrid w:val="0"/>
                    <w:spacing w:line="240" w:lineRule="auto"/>
                    <w:ind w:left="0" w:firstLine="0" w:firstLineChars="0"/>
                    <w:jc w:val="center"/>
                    <w:rPr>
                      <w:rFonts w:hint="default" w:ascii="Times New Roman" w:hAnsi="Times New Roman" w:eastAsia="宋体" w:cs="Times New Roman"/>
                      <w:color w:val="auto"/>
                      <w:sz w:val="21"/>
                      <w:szCs w:val="21"/>
                      <w:highlight w:val="none"/>
                    </w:rPr>
                  </w:pPr>
                </w:p>
              </w:tc>
              <w:tc>
                <w:tcPr>
                  <w:tcW w:w="1238" w:type="dxa"/>
                  <w:shd w:val="clear" w:color="auto" w:fill="auto"/>
                  <w:vAlign w:val="center"/>
                </w:tcPr>
                <w:p w14:paraId="10B5355D">
                  <w:pPr>
                    <w:pStyle w:val="47"/>
                    <w:keepNext w:val="0"/>
                    <w:keepLines w:val="0"/>
                    <w:pageBreakBefore w:val="0"/>
                    <w:kinsoku/>
                    <w:wordWrap/>
                    <w:overflowPunct/>
                    <w:autoSpaceDE/>
                    <w:autoSpaceDN/>
                    <w:bidi w:val="0"/>
                    <w:spacing w:line="240" w:lineRule="auto"/>
                    <w:ind w:left="0" w:leftChars="0"/>
                    <w:jc w:val="center"/>
                    <w:textAlignment w:val="auto"/>
                    <w:rPr>
                      <w:rFonts w:hint="eastAsia"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color w:val="auto"/>
                      <w:spacing w:val="8"/>
                      <w:sz w:val="21"/>
                      <w:szCs w:val="21"/>
                      <w:highlight w:val="none"/>
                    </w:rPr>
                    <w:t>废包装材料</w:t>
                  </w:r>
                </w:p>
              </w:tc>
              <w:tc>
                <w:tcPr>
                  <w:tcW w:w="946" w:type="dxa"/>
                  <w:shd w:val="clear" w:color="auto" w:fill="auto"/>
                  <w:vAlign w:val="center"/>
                </w:tcPr>
                <w:p w14:paraId="5E3A1ABC">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en-US"/>
                    </w:rPr>
                  </w:pPr>
                  <w:r>
                    <w:rPr>
                      <w:rFonts w:hint="eastAsia" w:ascii="Times New Roman" w:hAnsi="Times New Roman" w:cs="Times New Roman"/>
                      <w:b w:val="0"/>
                      <w:bCs/>
                      <w:color w:val="auto"/>
                      <w:kern w:val="2"/>
                      <w:sz w:val="21"/>
                      <w:szCs w:val="21"/>
                      <w:vertAlign w:val="baseline"/>
                      <w:lang w:val="en-US" w:eastAsia="zh-CN" w:bidi="ar-SA"/>
                    </w:rPr>
                    <w:t>0.01</w:t>
                  </w:r>
                </w:p>
              </w:tc>
              <w:tc>
                <w:tcPr>
                  <w:tcW w:w="1085" w:type="dxa"/>
                  <w:shd w:val="clear" w:color="auto" w:fill="auto"/>
                  <w:vAlign w:val="center"/>
                </w:tcPr>
                <w:p w14:paraId="66B039A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0.01</w:t>
                  </w:r>
                </w:p>
              </w:tc>
              <w:tc>
                <w:tcPr>
                  <w:tcW w:w="939" w:type="dxa"/>
                  <w:shd w:val="clear" w:color="auto" w:fill="auto"/>
                  <w:vAlign w:val="center"/>
                </w:tcPr>
                <w:p w14:paraId="1CED9207">
                  <w:pPr>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1262" w:type="dxa"/>
                  <w:shd w:val="clear" w:color="auto" w:fill="auto"/>
                  <w:vAlign w:val="center"/>
                </w:tcPr>
                <w:p w14:paraId="4ED60F3C">
                  <w:pPr>
                    <w:keepNext w:val="0"/>
                    <w:keepLines w:val="0"/>
                    <w:pageBreakBefore w:val="0"/>
                    <w:kinsoku/>
                    <w:wordWrap/>
                    <w:overflowPunct/>
                    <w:topLinePunct w:val="0"/>
                    <w:bidi w:val="0"/>
                    <w:adjustRightInd w:val="0"/>
                    <w:snapToGrid w:val="0"/>
                    <w:spacing w:line="240" w:lineRule="auto"/>
                    <w:ind w:left="0"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0.02</w:t>
                  </w:r>
                </w:p>
              </w:tc>
              <w:tc>
                <w:tcPr>
                  <w:tcW w:w="1044" w:type="dxa"/>
                  <w:shd w:val="clear" w:color="auto" w:fill="auto"/>
                  <w:vAlign w:val="center"/>
                </w:tcPr>
                <w:p w14:paraId="275D9854">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+0.01</w:t>
                  </w:r>
                </w:p>
              </w:tc>
            </w:tr>
            <w:tr w14:paraId="4162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Merge w:val="continue"/>
                  <w:shd w:val="clear" w:color="auto" w:fill="auto"/>
                  <w:vAlign w:val="center"/>
                </w:tcPr>
                <w:p w14:paraId="44067885">
                  <w:pPr>
                    <w:pStyle w:val="27"/>
                    <w:keepNext w:val="0"/>
                    <w:keepLines w:val="0"/>
                    <w:pageBreakBefore w:val="0"/>
                    <w:numPr>
                      <w:ilvl w:val="1"/>
                      <w:numId w:val="0"/>
                    </w:numPr>
                    <w:kinsoku/>
                    <w:wordWrap/>
                    <w:overflowPunct/>
                    <w:topLinePunct w:val="0"/>
                    <w:bidi w:val="0"/>
                    <w:snapToGrid w:val="0"/>
                    <w:spacing w:line="240" w:lineRule="auto"/>
                    <w:ind w:left="0" w:firstLine="0" w:firstLineChars="0"/>
                    <w:jc w:val="center"/>
                    <w:rPr>
                      <w:rFonts w:hint="default" w:ascii="Times New Roman" w:hAnsi="Times New Roman" w:eastAsia="宋体" w:cs="Times New Roman"/>
                      <w:color w:val="auto"/>
                      <w:sz w:val="21"/>
                      <w:szCs w:val="21"/>
                      <w:highlight w:val="none"/>
                    </w:rPr>
                  </w:pPr>
                </w:p>
              </w:tc>
              <w:tc>
                <w:tcPr>
                  <w:tcW w:w="1238" w:type="dxa"/>
                  <w:shd w:val="clear" w:color="auto" w:fill="auto"/>
                  <w:vAlign w:val="center"/>
                </w:tcPr>
                <w:p w14:paraId="4E0D7B97">
                  <w:pPr>
                    <w:pStyle w:val="47"/>
                    <w:keepNext w:val="0"/>
                    <w:keepLines w:val="0"/>
                    <w:pageBreakBefore w:val="0"/>
                    <w:kinsoku/>
                    <w:wordWrap/>
                    <w:overflowPunct/>
                    <w:autoSpaceDE/>
                    <w:autoSpaceDN/>
                    <w:bidi w:val="0"/>
                    <w:spacing w:line="240" w:lineRule="auto"/>
                    <w:ind w:left="0" w:left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除尘器收集</w:t>
                  </w:r>
                  <w:r>
                    <w:rPr>
                      <w:rFonts w:hint="eastAsia" w:ascii="Times New Roman" w:hAnsi="Times New Roman" w:cs="Times New Roman"/>
                      <w:b w:val="0"/>
                      <w:bCs w:val="0"/>
                      <w:color w:val="auto"/>
                      <w:sz w:val="21"/>
                      <w:szCs w:val="21"/>
                      <w:highlight w:val="none"/>
                      <w:vertAlign w:val="baseline"/>
                      <w:lang w:val="en-US" w:eastAsia="zh-CN"/>
                    </w:rPr>
                    <w:t>颗粒物</w:t>
                  </w:r>
                </w:p>
              </w:tc>
              <w:tc>
                <w:tcPr>
                  <w:tcW w:w="946" w:type="dxa"/>
                  <w:shd w:val="clear" w:color="auto" w:fill="auto"/>
                  <w:vAlign w:val="center"/>
                </w:tcPr>
                <w:p w14:paraId="4AE1C8ED">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en-US"/>
                    </w:rPr>
                  </w:pPr>
                  <w:r>
                    <w:rPr>
                      <w:rFonts w:hint="eastAsia" w:ascii="Times New Roman" w:hAnsi="Times New Roman" w:cs="Times New Roman"/>
                      <w:b w:val="0"/>
                      <w:bCs/>
                      <w:color w:val="auto"/>
                      <w:kern w:val="2"/>
                      <w:sz w:val="21"/>
                      <w:szCs w:val="21"/>
                      <w:vertAlign w:val="baseline"/>
                      <w:lang w:val="en-US" w:eastAsia="zh-CN" w:bidi="ar-SA"/>
                    </w:rPr>
                    <w:t>0.562</w:t>
                  </w:r>
                </w:p>
              </w:tc>
              <w:tc>
                <w:tcPr>
                  <w:tcW w:w="1085" w:type="dxa"/>
                  <w:shd w:val="clear" w:color="auto" w:fill="auto"/>
                  <w:vAlign w:val="center"/>
                </w:tcPr>
                <w:p w14:paraId="16BEA74E">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bidi="ar-SA"/>
                    </w:rPr>
                  </w:pPr>
                  <w:r>
                    <w:rPr>
                      <w:rFonts w:hint="eastAsia" w:cs="Times New Roman"/>
                      <w:b w:val="0"/>
                      <w:bCs w:val="0"/>
                      <w:color w:val="auto"/>
                      <w:kern w:val="2"/>
                      <w:sz w:val="21"/>
                      <w:szCs w:val="21"/>
                      <w:highlight w:val="none"/>
                      <w:vertAlign w:val="baseline"/>
                      <w:lang w:val="en-US" w:eastAsia="zh-CN" w:bidi="ar-SA"/>
                    </w:rPr>
                    <w:t>0.5617</w:t>
                  </w:r>
                </w:p>
              </w:tc>
              <w:tc>
                <w:tcPr>
                  <w:tcW w:w="939" w:type="dxa"/>
                  <w:shd w:val="clear" w:color="auto" w:fill="auto"/>
                  <w:vAlign w:val="center"/>
                </w:tcPr>
                <w:p w14:paraId="680EEA3C">
                  <w:pPr>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cs="Times New Roman"/>
                      <w:snapToGrid w:val="0"/>
                      <w:color w:val="auto"/>
                      <w:kern w:val="21"/>
                      <w:sz w:val="21"/>
                      <w:szCs w:val="21"/>
                      <w:highlight w:val="none"/>
                      <w:lang w:val="en-US" w:eastAsia="zh-CN" w:bidi="ar-SA"/>
                    </w:rPr>
                    <w:t>0.0003</w:t>
                  </w:r>
                </w:p>
              </w:tc>
              <w:tc>
                <w:tcPr>
                  <w:tcW w:w="1262" w:type="dxa"/>
                  <w:shd w:val="clear" w:color="auto" w:fill="auto"/>
                  <w:vAlign w:val="center"/>
                </w:tcPr>
                <w:p w14:paraId="7112E048">
                  <w:pPr>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1.1234</w:t>
                  </w:r>
                </w:p>
              </w:tc>
              <w:tc>
                <w:tcPr>
                  <w:tcW w:w="1044" w:type="dxa"/>
                  <w:shd w:val="clear" w:color="auto" w:fill="auto"/>
                  <w:vAlign w:val="center"/>
                </w:tcPr>
                <w:p w14:paraId="2D2217C0">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ascii="Times New Roman" w:hAnsi="Times New Roman" w:eastAsia="宋体" w:cs="Times New Roman"/>
                      <w:snapToGrid/>
                      <w:color w:val="auto"/>
                      <w:spacing w:val="0"/>
                      <w:kern w:val="0"/>
                      <w:position w:val="0"/>
                      <w:sz w:val="21"/>
                      <w:szCs w:val="21"/>
                      <w:highlight w:val="none"/>
                      <w:lang w:val="en-US" w:eastAsia="zh-CN" w:bidi="ar-SA"/>
                    </w:rPr>
                    <w:t>+</w:t>
                  </w:r>
                  <w:r>
                    <w:rPr>
                      <w:rFonts w:hint="eastAsia" w:cs="Times New Roman"/>
                      <w:snapToGrid/>
                      <w:color w:val="auto"/>
                      <w:spacing w:val="0"/>
                      <w:kern w:val="0"/>
                      <w:position w:val="0"/>
                      <w:sz w:val="21"/>
                      <w:szCs w:val="21"/>
                      <w:highlight w:val="none"/>
                      <w:lang w:val="en-US" w:eastAsia="zh-CN" w:bidi="ar-SA"/>
                    </w:rPr>
                    <w:t>0.5614</w:t>
                  </w:r>
                </w:p>
              </w:tc>
            </w:tr>
            <w:tr w14:paraId="4503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Merge w:val="continue"/>
                  <w:shd w:val="clear" w:color="auto" w:fill="auto"/>
                  <w:vAlign w:val="center"/>
                </w:tcPr>
                <w:p w14:paraId="3D5E7934">
                  <w:pPr>
                    <w:pStyle w:val="27"/>
                    <w:keepNext w:val="0"/>
                    <w:keepLines w:val="0"/>
                    <w:pageBreakBefore w:val="0"/>
                    <w:numPr>
                      <w:ilvl w:val="1"/>
                      <w:numId w:val="0"/>
                    </w:numPr>
                    <w:kinsoku/>
                    <w:wordWrap/>
                    <w:overflowPunct/>
                    <w:topLinePunct w:val="0"/>
                    <w:bidi w:val="0"/>
                    <w:snapToGrid w:val="0"/>
                    <w:spacing w:line="240" w:lineRule="auto"/>
                    <w:ind w:left="0" w:firstLine="0" w:firstLineChars="0"/>
                    <w:jc w:val="center"/>
                    <w:rPr>
                      <w:rFonts w:hint="default" w:ascii="Times New Roman" w:hAnsi="Times New Roman" w:eastAsia="宋体" w:cs="Times New Roman"/>
                      <w:color w:val="auto"/>
                      <w:sz w:val="21"/>
                      <w:szCs w:val="21"/>
                      <w:highlight w:val="none"/>
                    </w:rPr>
                  </w:pPr>
                </w:p>
              </w:tc>
              <w:tc>
                <w:tcPr>
                  <w:tcW w:w="1238" w:type="dxa"/>
                  <w:shd w:val="clear" w:color="auto" w:fill="auto"/>
                  <w:vAlign w:val="center"/>
                </w:tcPr>
                <w:p w14:paraId="5542DDC3">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auto"/>
                      <w:sz w:val="21"/>
                      <w:szCs w:val="21"/>
                      <w:lang w:val="en-US" w:eastAsia="zh-CN"/>
                    </w:rPr>
                  </w:pPr>
                  <w:r>
                    <w:rPr>
                      <w:rFonts w:hint="eastAsia" w:ascii="Times New Roman" w:hAnsi="Times New Roman" w:cs="Times New Roman"/>
                      <w:b w:val="0"/>
                      <w:bCs w:val="0"/>
                      <w:color w:val="auto"/>
                      <w:sz w:val="21"/>
                      <w:szCs w:val="21"/>
                      <w:highlight w:val="none"/>
                      <w:vertAlign w:val="baseline"/>
                      <w:lang w:val="en-US" w:eastAsia="zh-CN"/>
                    </w:rPr>
                    <w:t>废UV灯管</w:t>
                  </w:r>
                </w:p>
              </w:tc>
              <w:tc>
                <w:tcPr>
                  <w:tcW w:w="946" w:type="dxa"/>
                  <w:shd w:val="clear" w:color="auto" w:fill="auto"/>
                  <w:vAlign w:val="center"/>
                </w:tcPr>
                <w:p w14:paraId="1178CA80">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kern w:val="2"/>
                      <w:sz w:val="21"/>
                      <w:szCs w:val="21"/>
                      <w:vertAlign w:val="baseline"/>
                      <w:lang w:val="en-US" w:eastAsia="zh-CN" w:bidi="ar-SA"/>
                    </w:rPr>
                    <w:t>0.15</w:t>
                  </w:r>
                </w:p>
              </w:tc>
              <w:tc>
                <w:tcPr>
                  <w:tcW w:w="1085" w:type="dxa"/>
                  <w:shd w:val="clear" w:color="auto" w:fill="auto"/>
                  <w:vAlign w:val="center"/>
                </w:tcPr>
                <w:p w14:paraId="60FEA0D6">
                  <w:pPr>
                    <w:keepNext w:val="0"/>
                    <w:keepLines w:val="0"/>
                    <w:pageBreakBefore w:val="0"/>
                    <w:kinsoku/>
                    <w:wordWrap/>
                    <w:overflowPunct/>
                    <w:topLinePunct w:val="0"/>
                    <w:autoSpaceDE/>
                    <w:autoSpaceDN/>
                    <w:bidi w:val="0"/>
                    <w:spacing w:line="240" w:lineRule="auto"/>
                    <w:jc w:val="center"/>
                    <w:textAlignment w:val="auto"/>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0</w:t>
                  </w:r>
                </w:p>
              </w:tc>
              <w:tc>
                <w:tcPr>
                  <w:tcW w:w="939" w:type="dxa"/>
                  <w:shd w:val="clear" w:color="auto" w:fill="auto"/>
                  <w:vAlign w:val="center"/>
                </w:tcPr>
                <w:p w14:paraId="1365CF4D">
                  <w:pPr>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0.15</w:t>
                  </w:r>
                </w:p>
              </w:tc>
              <w:tc>
                <w:tcPr>
                  <w:tcW w:w="1262" w:type="dxa"/>
                  <w:shd w:val="clear" w:color="auto" w:fill="auto"/>
                  <w:vAlign w:val="center"/>
                </w:tcPr>
                <w:p w14:paraId="623D5B23">
                  <w:pPr>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0</w:t>
                  </w:r>
                </w:p>
              </w:tc>
              <w:tc>
                <w:tcPr>
                  <w:tcW w:w="1044" w:type="dxa"/>
                  <w:shd w:val="clear" w:color="auto" w:fill="auto"/>
                  <w:vAlign w:val="center"/>
                </w:tcPr>
                <w:p w14:paraId="054C8B93">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-0.15</w:t>
                  </w:r>
                </w:p>
              </w:tc>
            </w:tr>
            <w:tr w14:paraId="2D0C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Merge w:val="continue"/>
                  <w:shd w:val="clear" w:color="auto" w:fill="auto"/>
                  <w:vAlign w:val="center"/>
                </w:tcPr>
                <w:p w14:paraId="5C592E96">
                  <w:pPr>
                    <w:pStyle w:val="27"/>
                    <w:keepNext w:val="0"/>
                    <w:keepLines w:val="0"/>
                    <w:pageBreakBefore w:val="0"/>
                    <w:numPr>
                      <w:ilvl w:val="1"/>
                      <w:numId w:val="0"/>
                    </w:numPr>
                    <w:kinsoku/>
                    <w:wordWrap/>
                    <w:overflowPunct/>
                    <w:topLinePunct w:val="0"/>
                    <w:bidi w:val="0"/>
                    <w:snapToGrid w:val="0"/>
                    <w:spacing w:line="240" w:lineRule="auto"/>
                    <w:ind w:left="0" w:firstLine="0" w:firstLineChars="0"/>
                    <w:jc w:val="center"/>
                    <w:rPr>
                      <w:rFonts w:hint="default" w:ascii="Times New Roman" w:hAnsi="Times New Roman" w:eastAsia="宋体" w:cs="Times New Roman"/>
                      <w:color w:val="auto"/>
                      <w:sz w:val="21"/>
                      <w:szCs w:val="21"/>
                      <w:highlight w:val="none"/>
                    </w:rPr>
                  </w:pPr>
                </w:p>
              </w:tc>
              <w:tc>
                <w:tcPr>
                  <w:tcW w:w="1238" w:type="dxa"/>
                  <w:shd w:val="clear" w:color="auto" w:fill="auto"/>
                  <w:vAlign w:val="center"/>
                </w:tcPr>
                <w:p w14:paraId="1700EB37">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废活性炭</w:t>
                  </w:r>
                </w:p>
              </w:tc>
              <w:tc>
                <w:tcPr>
                  <w:tcW w:w="946" w:type="dxa"/>
                  <w:shd w:val="clear" w:color="auto" w:fill="auto"/>
                  <w:vAlign w:val="center"/>
                </w:tcPr>
                <w:p w14:paraId="73644EB2">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en-US"/>
                    </w:rPr>
                  </w:pPr>
                  <w:r>
                    <w:rPr>
                      <w:rFonts w:hint="eastAsia" w:ascii="Times New Roman" w:hAnsi="Times New Roman" w:cs="Times New Roman"/>
                      <w:b w:val="0"/>
                      <w:bCs/>
                      <w:color w:val="auto"/>
                      <w:kern w:val="2"/>
                      <w:sz w:val="21"/>
                      <w:szCs w:val="21"/>
                      <w:vertAlign w:val="baseline"/>
                      <w:lang w:val="en-US" w:eastAsia="zh-CN" w:bidi="ar-SA"/>
                    </w:rPr>
                    <w:t>1</w:t>
                  </w:r>
                </w:p>
              </w:tc>
              <w:tc>
                <w:tcPr>
                  <w:tcW w:w="1085" w:type="dxa"/>
                  <w:shd w:val="clear" w:color="auto" w:fill="auto"/>
                  <w:vAlign w:val="center"/>
                </w:tcPr>
                <w:p w14:paraId="1D2AAE26">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bidi="ar-SA"/>
                    </w:rPr>
                  </w:pPr>
                  <w:r>
                    <w:rPr>
                      <w:rFonts w:hint="eastAsia" w:cs="Times New Roman"/>
                      <w:snapToGrid/>
                      <w:color w:val="auto"/>
                      <w:spacing w:val="0"/>
                      <w:kern w:val="0"/>
                      <w:position w:val="0"/>
                      <w:sz w:val="21"/>
                      <w:szCs w:val="21"/>
                      <w:lang w:val="en-US" w:eastAsia="zh-CN"/>
                    </w:rPr>
                    <w:t>7.1942</w:t>
                  </w:r>
                </w:p>
              </w:tc>
              <w:tc>
                <w:tcPr>
                  <w:tcW w:w="939" w:type="dxa"/>
                  <w:shd w:val="clear" w:color="auto" w:fill="auto"/>
                  <w:vAlign w:val="center"/>
                </w:tcPr>
                <w:p w14:paraId="1DFD3779">
                  <w:pPr>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cs="Times New Roman"/>
                      <w:color w:val="auto"/>
                      <w:sz w:val="21"/>
                      <w:szCs w:val="21"/>
                      <w:highlight w:val="none"/>
                      <w:lang w:val="en-US" w:eastAsia="zh-CN"/>
                    </w:rPr>
                    <w:t>1</w:t>
                  </w:r>
                </w:p>
              </w:tc>
              <w:tc>
                <w:tcPr>
                  <w:tcW w:w="1262" w:type="dxa"/>
                  <w:shd w:val="clear" w:color="auto" w:fill="auto"/>
                  <w:vAlign w:val="center"/>
                </w:tcPr>
                <w:p w14:paraId="3CEE2564">
                  <w:pPr>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7.1942</w:t>
                  </w:r>
                </w:p>
              </w:tc>
              <w:tc>
                <w:tcPr>
                  <w:tcW w:w="1044" w:type="dxa"/>
                  <w:shd w:val="clear" w:color="auto" w:fill="auto"/>
                  <w:vAlign w:val="center"/>
                </w:tcPr>
                <w:p w14:paraId="290A4FB7">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ascii="Times New Roman" w:hAnsi="Times New Roman" w:eastAsia="宋体" w:cs="Times New Roman"/>
                      <w:snapToGrid/>
                      <w:color w:val="auto"/>
                      <w:spacing w:val="0"/>
                      <w:kern w:val="0"/>
                      <w:position w:val="0"/>
                      <w:sz w:val="21"/>
                      <w:szCs w:val="21"/>
                      <w:highlight w:val="none"/>
                      <w:lang w:val="en-US" w:eastAsia="zh-CN" w:bidi="ar-SA"/>
                    </w:rPr>
                    <w:t>+</w:t>
                  </w:r>
                  <w:r>
                    <w:rPr>
                      <w:rFonts w:hint="eastAsia" w:cs="Times New Roman"/>
                      <w:snapToGrid/>
                      <w:color w:val="auto"/>
                      <w:spacing w:val="0"/>
                      <w:kern w:val="0"/>
                      <w:position w:val="0"/>
                      <w:sz w:val="21"/>
                      <w:szCs w:val="21"/>
                      <w:highlight w:val="none"/>
                      <w:lang w:val="en-US" w:eastAsia="zh-CN" w:bidi="ar-SA"/>
                    </w:rPr>
                    <w:t>6.1942</w:t>
                  </w:r>
                </w:p>
              </w:tc>
            </w:tr>
            <w:tr w14:paraId="32EB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Merge w:val="continue"/>
                  <w:shd w:val="clear" w:color="auto" w:fill="auto"/>
                  <w:vAlign w:val="center"/>
                </w:tcPr>
                <w:p w14:paraId="088F0CD5">
                  <w:pPr>
                    <w:pStyle w:val="27"/>
                    <w:keepNext w:val="0"/>
                    <w:keepLines w:val="0"/>
                    <w:pageBreakBefore w:val="0"/>
                    <w:numPr>
                      <w:ilvl w:val="1"/>
                      <w:numId w:val="0"/>
                    </w:numPr>
                    <w:kinsoku/>
                    <w:wordWrap/>
                    <w:overflowPunct/>
                    <w:topLinePunct w:val="0"/>
                    <w:bidi w:val="0"/>
                    <w:snapToGrid w:val="0"/>
                    <w:spacing w:line="240" w:lineRule="auto"/>
                    <w:ind w:left="0" w:firstLine="0" w:firstLineChars="0"/>
                    <w:jc w:val="center"/>
                    <w:rPr>
                      <w:rFonts w:hint="default" w:ascii="Times New Roman" w:hAnsi="Times New Roman" w:eastAsia="宋体" w:cs="Times New Roman"/>
                      <w:color w:val="auto"/>
                      <w:sz w:val="21"/>
                      <w:szCs w:val="21"/>
                      <w:highlight w:val="none"/>
                    </w:rPr>
                  </w:pPr>
                </w:p>
              </w:tc>
              <w:tc>
                <w:tcPr>
                  <w:tcW w:w="1238" w:type="dxa"/>
                  <w:shd w:val="clear" w:color="auto" w:fill="auto"/>
                  <w:vAlign w:val="center"/>
                </w:tcPr>
                <w:p w14:paraId="54BE4420">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lang w:val="en-US" w:eastAsia="zh-CN"/>
                    </w:rPr>
                    <w:t>废机油</w:t>
                  </w:r>
                </w:p>
              </w:tc>
              <w:tc>
                <w:tcPr>
                  <w:tcW w:w="946" w:type="dxa"/>
                  <w:shd w:val="clear" w:color="auto" w:fill="auto"/>
                  <w:vAlign w:val="center"/>
                </w:tcPr>
                <w:p w14:paraId="1439E11D">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kern w:val="2"/>
                      <w:sz w:val="21"/>
                      <w:szCs w:val="21"/>
                      <w:vertAlign w:val="baseline"/>
                      <w:lang w:val="en-US" w:eastAsia="zh-CN" w:bidi="ar-SA"/>
                    </w:rPr>
                    <w:t>1</w:t>
                  </w:r>
                </w:p>
              </w:tc>
              <w:tc>
                <w:tcPr>
                  <w:tcW w:w="1085" w:type="dxa"/>
                  <w:shd w:val="clear" w:color="auto" w:fill="auto"/>
                  <w:vAlign w:val="center"/>
                </w:tcPr>
                <w:p w14:paraId="57380CF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napToGrid/>
                      <w:color w:val="auto"/>
                      <w:spacing w:val="0"/>
                      <w:kern w:val="0"/>
                      <w:position w:val="0"/>
                      <w:sz w:val="21"/>
                      <w:szCs w:val="21"/>
                      <w:lang w:val="en-US" w:eastAsia="zh-CN" w:bidi="ar-SA"/>
                    </w:rPr>
                  </w:pPr>
                  <w:r>
                    <w:rPr>
                      <w:rFonts w:hint="eastAsia" w:cs="Times New Roman"/>
                      <w:snapToGrid/>
                      <w:color w:val="auto"/>
                      <w:spacing w:val="0"/>
                      <w:kern w:val="0"/>
                      <w:position w:val="0"/>
                      <w:sz w:val="21"/>
                      <w:szCs w:val="21"/>
                      <w:lang w:val="en-US" w:eastAsia="zh-CN"/>
                    </w:rPr>
                    <w:t>1</w:t>
                  </w:r>
                </w:p>
              </w:tc>
              <w:tc>
                <w:tcPr>
                  <w:tcW w:w="939" w:type="dxa"/>
                  <w:shd w:val="clear" w:color="auto" w:fill="auto"/>
                  <w:vAlign w:val="center"/>
                </w:tcPr>
                <w:p w14:paraId="40A6095F">
                  <w:pPr>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1262" w:type="dxa"/>
                  <w:shd w:val="clear" w:color="auto" w:fill="auto"/>
                  <w:vAlign w:val="center"/>
                </w:tcPr>
                <w:p w14:paraId="6815F987">
                  <w:pPr>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2</w:t>
                  </w:r>
                </w:p>
              </w:tc>
              <w:tc>
                <w:tcPr>
                  <w:tcW w:w="1044" w:type="dxa"/>
                  <w:shd w:val="clear" w:color="auto" w:fill="auto"/>
                  <w:vAlign w:val="center"/>
                </w:tcPr>
                <w:p w14:paraId="2CABB9B3">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ascii="Times New Roman" w:hAnsi="Times New Roman" w:eastAsia="宋体" w:cs="Times New Roman"/>
                      <w:snapToGrid/>
                      <w:color w:val="auto"/>
                      <w:spacing w:val="0"/>
                      <w:kern w:val="0"/>
                      <w:position w:val="0"/>
                      <w:sz w:val="21"/>
                      <w:szCs w:val="21"/>
                      <w:highlight w:val="none"/>
                      <w:lang w:val="en-US" w:eastAsia="zh-CN" w:bidi="ar-SA"/>
                    </w:rPr>
                    <w:t>+1</w:t>
                  </w:r>
                </w:p>
              </w:tc>
            </w:tr>
            <w:tr w14:paraId="36C3E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Merge w:val="continue"/>
                  <w:shd w:val="clear" w:color="auto" w:fill="auto"/>
                  <w:vAlign w:val="center"/>
                </w:tcPr>
                <w:p w14:paraId="7E572648">
                  <w:pPr>
                    <w:pStyle w:val="27"/>
                    <w:keepNext w:val="0"/>
                    <w:keepLines w:val="0"/>
                    <w:pageBreakBefore w:val="0"/>
                    <w:numPr>
                      <w:ilvl w:val="1"/>
                      <w:numId w:val="0"/>
                    </w:numPr>
                    <w:kinsoku/>
                    <w:wordWrap/>
                    <w:overflowPunct/>
                    <w:topLinePunct w:val="0"/>
                    <w:bidi w:val="0"/>
                    <w:snapToGrid w:val="0"/>
                    <w:spacing w:line="240" w:lineRule="auto"/>
                    <w:ind w:left="0" w:firstLine="0" w:firstLineChars="0"/>
                    <w:jc w:val="center"/>
                    <w:rPr>
                      <w:rFonts w:hint="default" w:ascii="Times New Roman" w:hAnsi="Times New Roman" w:eastAsia="宋体" w:cs="Times New Roman"/>
                      <w:color w:val="auto"/>
                      <w:sz w:val="21"/>
                      <w:szCs w:val="21"/>
                      <w:highlight w:val="none"/>
                    </w:rPr>
                  </w:pPr>
                </w:p>
              </w:tc>
              <w:tc>
                <w:tcPr>
                  <w:tcW w:w="1238" w:type="dxa"/>
                  <w:shd w:val="clear" w:color="auto" w:fill="auto"/>
                  <w:vAlign w:val="center"/>
                </w:tcPr>
                <w:p w14:paraId="12C7AF21">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废镍催化剂</w:t>
                  </w:r>
                </w:p>
              </w:tc>
              <w:tc>
                <w:tcPr>
                  <w:tcW w:w="946" w:type="dxa"/>
                  <w:shd w:val="clear" w:color="auto" w:fill="auto"/>
                  <w:vAlign w:val="center"/>
                </w:tcPr>
                <w:p w14:paraId="45423AC3">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kern w:val="2"/>
                      <w:sz w:val="21"/>
                      <w:szCs w:val="21"/>
                      <w:vertAlign w:val="baseline"/>
                      <w:lang w:val="en-US" w:eastAsia="zh-CN" w:bidi="ar-SA"/>
                    </w:rPr>
                    <w:t>0.1</w:t>
                  </w:r>
                </w:p>
              </w:tc>
              <w:tc>
                <w:tcPr>
                  <w:tcW w:w="1085" w:type="dxa"/>
                  <w:shd w:val="clear" w:color="auto" w:fill="auto"/>
                  <w:vAlign w:val="center"/>
                </w:tcPr>
                <w:p w14:paraId="6327A836">
                  <w:pPr>
                    <w:keepNext w:val="0"/>
                    <w:keepLines w:val="0"/>
                    <w:pageBreakBefore w:val="0"/>
                    <w:kinsoku/>
                    <w:wordWrap/>
                    <w:overflowPunct/>
                    <w:topLinePunct w:val="0"/>
                    <w:autoSpaceDE/>
                    <w:autoSpaceDN/>
                    <w:bidi w:val="0"/>
                    <w:spacing w:line="240" w:lineRule="auto"/>
                    <w:jc w:val="center"/>
                    <w:textAlignment w:val="auto"/>
                    <w:rPr>
                      <w:rFonts w:hint="default" w:cs="Times New Roman"/>
                      <w:snapToGrid/>
                      <w:color w:val="auto"/>
                      <w:spacing w:val="0"/>
                      <w:kern w:val="0"/>
                      <w:position w:val="0"/>
                      <w:sz w:val="21"/>
                      <w:szCs w:val="21"/>
                      <w:lang w:val="en-US" w:eastAsia="zh-CN"/>
                    </w:rPr>
                  </w:pPr>
                  <w:r>
                    <w:rPr>
                      <w:rFonts w:hint="eastAsia" w:cs="Times New Roman"/>
                      <w:snapToGrid/>
                      <w:color w:val="auto"/>
                      <w:spacing w:val="0"/>
                      <w:kern w:val="0"/>
                      <w:position w:val="0"/>
                      <w:sz w:val="21"/>
                      <w:szCs w:val="21"/>
                      <w:lang w:val="en-US" w:eastAsia="zh-CN"/>
                    </w:rPr>
                    <w:t>0.1</w:t>
                  </w:r>
                </w:p>
              </w:tc>
              <w:tc>
                <w:tcPr>
                  <w:tcW w:w="939" w:type="dxa"/>
                  <w:shd w:val="clear" w:color="auto" w:fill="auto"/>
                  <w:vAlign w:val="center"/>
                </w:tcPr>
                <w:p w14:paraId="5A0E2396">
                  <w:pPr>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1262" w:type="dxa"/>
                  <w:shd w:val="clear" w:color="auto" w:fill="auto"/>
                  <w:vAlign w:val="center"/>
                </w:tcPr>
                <w:p w14:paraId="3E493D6E">
                  <w:pPr>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0.2</w:t>
                  </w:r>
                </w:p>
              </w:tc>
              <w:tc>
                <w:tcPr>
                  <w:tcW w:w="1044" w:type="dxa"/>
                  <w:shd w:val="clear" w:color="auto" w:fill="auto"/>
                  <w:vAlign w:val="center"/>
                </w:tcPr>
                <w:p w14:paraId="606DC58E">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highlight w:val="none"/>
                      <w:lang w:val="en-US" w:eastAsia="zh-CN" w:bidi="ar-SA"/>
                    </w:rPr>
                    <w:t>+0.1</w:t>
                  </w:r>
                </w:p>
              </w:tc>
            </w:tr>
            <w:tr w14:paraId="1652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5" w:type="dxa"/>
                  <w:vMerge w:val="continue"/>
                  <w:shd w:val="clear" w:color="auto" w:fill="auto"/>
                  <w:vAlign w:val="center"/>
                </w:tcPr>
                <w:p w14:paraId="0B8E8198">
                  <w:pPr>
                    <w:pStyle w:val="27"/>
                    <w:keepNext w:val="0"/>
                    <w:keepLines w:val="0"/>
                    <w:pageBreakBefore w:val="0"/>
                    <w:numPr>
                      <w:ilvl w:val="1"/>
                      <w:numId w:val="0"/>
                    </w:numPr>
                    <w:kinsoku/>
                    <w:wordWrap/>
                    <w:overflowPunct/>
                    <w:topLinePunct w:val="0"/>
                    <w:bidi w:val="0"/>
                    <w:snapToGrid w:val="0"/>
                    <w:spacing w:line="240" w:lineRule="auto"/>
                    <w:ind w:left="0" w:firstLine="0" w:firstLineChars="0"/>
                    <w:jc w:val="center"/>
                    <w:rPr>
                      <w:rFonts w:hint="default" w:ascii="Times New Roman" w:hAnsi="Times New Roman" w:eastAsia="宋体" w:cs="Times New Roman"/>
                      <w:color w:val="auto"/>
                      <w:sz w:val="21"/>
                      <w:szCs w:val="21"/>
                      <w:highlight w:val="none"/>
                    </w:rPr>
                  </w:pPr>
                </w:p>
              </w:tc>
              <w:tc>
                <w:tcPr>
                  <w:tcW w:w="1238" w:type="dxa"/>
                  <w:shd w:val="clear" w:color="auto" w:fill="auto"/>
                  <w:vAlign w:val="center"/>
                </w:tcPr>
                <w:p w14:paraId="495C3273">
                  <w:pPr>
                    <w:keepNext w:val="0"/>
                    <w:keepLines w:val="0"/>
                    <w:pageBreakBefore w:val="0"/>
                    <w:widowControl w:val="0"/>
                    <w:kinsoku/>
                    <w:wordWrap/>
                    <w:overflowPunct/>
                    <w:topLinePunct w:val="0"/>
                    <w:autoSpaceDE/>
                    <w:autoSpaceDN/>
                    <w:bidi w:val="0"/>
                    <w:spacing w:beforeAutospacing="0" w:afterAutospacing="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Cs/>
                      <w:color w:val="auto"/>
                      <w:kern w:val="2"/>
                      <w:sz w:val="21"/>
                      <w:szCs w:val="21"/>
                      <w:lang w:val="en-US" w:eastAsia="zh-CN" w:bidi="ar-SA"/>
                    </w:rPr>
                    <w:t>废弃含油抹布、劳保用品</w:t>
                  </w:r>
                </w:p>
              </w:tc>
              <w:tc>
                <w:tcPr>
                  <w:tcW w:w="946" w:type="dxa"/>
                  <w:shd w:val="clear" w:color="auto" w:fill="auto"/>
                  <w:vAlign w:val="center"/>
                </w:tcPr>
                <w:p w14:paraId="68560EDA">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color w:val="auto"/>
                      <w:kern w:val="2"/>
                      <w:sz w:val="21"/>
                      <w:szCs w:val="21"/>
                      <w:vertAlign w:val="baseline"/>
                      <w:lang w:val="en-US" w:eastAsia="zh-CN" w:bidi="ar-SA"/>
                    </w:rPr>
                  </w:pPr>
                  <w:r>
                    <w:rPr>
                      <w:rFonts w:hint="eastAsia" w:ascii="Times New Roman" w:hAnsi="Times New Roman" w:cs="Times New Roman"/>
                      <w:b w:val="0"/>
                      <w:bCs/>
                      <w:color w:val="auto"/>
                      <w:kern w:val="2"/>
                      <w:sz w:val="21"/>
                      <w:szCs w:val="21"/>
                      <w:vertAlign w:val="baseline"/>
                      <w:lang w:val="en-US" w:eastAsia="zh-CN" w:bidi="ar-SA"/>
                    </w:rPr>
                    <w:t>0.05</w:t>
                  </w:r>
                </w:p>
              </w:tc>
              <w:tc>
                <w:tcPr>
                  <w:tcW w:w="1085" w:type="dxa"/>
                  <w:shd w:val="clear" w:color="auto" w:fill="auto"/>
                  <w:vAlign w:val="center"/>
                </w:tcPr>
                <w:p w14:paraId="27732FA4">
                  <w:pPr>
                    <w:keepNext w:val="0"/>
                    <w:keepLines w:val="0"/>
                    <w:pageBreakBefore w:val="0"/>
                    <w:widowControl w:val="0"/>
                    <w:kinsoku/>
                    <w:wordWrap/>
                    <w:overflowPunct/>
                    <w:topLinePunct w:val="0"/>
                    <w:autoSpaceDE/>
                    <w:autoSpaceDN/>
                    <w:bidi w:val="0"/>
                    <w:spacing w:beforeAutospacing="0" w:afterAutospacing="0" w:line="240" w:lineRule="auto"/>
                    <w:ind w:firstLine="0" w:firstLineChars="0"/>
                    <w:jc w:val="center"/>
                    <w:textAlignment w:val="auto"/>
                    <w:rPr>
                      <w:rFonts w:hint="eastAsia" w:ascii="Times New Roman" w:hAnsi="Times New Roman" w:eastAsia="宋体" w:cs="Times New Roman"/>
                      <w:snapToGrid/>
                      <w:color w:val="auto"/>
                      <w:spacing w:val="0"/>
                      <w:kern w:val="0"/>
                      <w:position w:val="0"/>
                      <w:sz w:val="21"/>
                      <w:szCs w:val="21"/>
                      <w:lang w:val="en-US" w:eastAsia="zh-CN" w:bidi="ar-SA"/>
                    </w:rPr>
                  </w:pPr>
                  <w:r>
                    <w:rPr>
                      <w:rFonts w:hint="eastAsia" w:cs="Times New Roman"/>
                      <w:color w:val="auto"/>
                      <w:kern w:val="0"/>
                      <w:sz w:val="21"/>
                      <w:szCs w:val="21"/>
                      <w:lang w:val="en-US" w:eastAsia="zh-CN"/>
                    </w:rPr>
                    <w:t>0.05</w:t>
                  </w:r>
                </w:p>
              </w:tc>
              <w:tc>
                <w:tcPr>
                  <w:tcW w:w="939" w:type="dxa"/>
                  <w:shd w:val="clear" w:color="auto" w:fill="auto"/>
                  <w:vAlign w:val="center"/>
                </w:tcPr>
                <w:p w14:paraId="3DBF693D">
                  <w:pPr>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b w:val="0"/>
                      <w:bCs/>
                      <w:color w:val="auto"/>
                      <w:kern w:val="2"/>
                      <w:sz w:val="21"/>
                      <w:szCs w:val="21"/>
                      <w:vertAlign w:val="baseline"/>
                      <w:lang w:val="en-US" w:eastAsia="zh-CN" w:bidi="ar-SA"/>
                    </w:rPr>
                    <w:t>0</w:t>
                  </w:r>
                </w:p>
              </w:tc>
              <w:tc>
                <w:tcPr>
                  <w:tcW w:w="1262" w:type="dxa"/>
                  <w:shd w:val="clear" w:color="auto" w:fill="auto"/>
                  <w:vAlign w:val="center"/>
                </w:tcPr>
                <w:p w14:paraId="494F665B">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0.1</w:t>
                  </w:r>
                </w:p>
              </w:tc>
              <w:tc>
                <w:tcPr>
                  <w:tcW w:w="1044" w:type="dxa"/>
                  <w:shd w:val="clear" w:color="auto" w:fill="auto"/>
                  <w:vAlign w:val="center"/>
                </w:tcPr>
                <w:p w14:paraId="00518A30">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napToGrid/>
                      <w:color w:val="auto"/>
                      <w:spacing w:val="0"/>
                      <w:kern w:val="0"/>
                      <w:position w:val="0"/>
                      <w:sz w:val="21"/>
                      <w:szCs w:val="21"/>
                      <w:highlight w:val="none"/>
                      <w:lang w:val="en-US" w:eastAsia="zh-CN" w:bidi="ar-SA"/>
                    </w:rPr>
                  </w:pPr>
                  <w:r>
                    <w:rPr>
                      <w:rFonts w:hint="eastAsia" w:cs="Times New Roman"/>
                      <w:snapToGrid/>
                      <w:color w:val="auto"/>
                      <w:spacing w:val="0"/>
                      <w:kern w:val="0"/>
                      <w:position w:val="0"/>
                      <w:sz w:val="21"/>
                      <w:szCs w:val="21"/>
                      <w:lang w:val="en-US" w:eastAsia="zh-CN"/>
                    </w:rPr>
                    <w:t>+0.05</w:t>
                  </w:r>
                </w:p>
              </w:tc>
            </w:tr>
          </w:tbl>
          <w:p w14:paraId="5ADF1FF6">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snapToGrid/>
                <w:color w:val="auto"/>
                <w:spacing w:val="0"/>
                <w:kern w:val="0"/>
                <w:position w:val="0"/>
                <w:sz w:val="24"/>
                <w:szCs w:val="24"/>
                <w:lang w:val="en-US" w:eastAsia="zh-CN" w:bidi="ar"/>
              </w:rPr>
            </w:pPr>
          </w:p>
          <w:p w14:paraId="27B4BD74">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snapToGrid/>
                <w:color w:val="auto"/>
                <w:spacing w:val="0"/>
                <w:kern w:val="0"/>
                <w:position w:val="0"/>
                <w:sz w:val="24"/>
                <w:szCs w:val="24"/>
                <w:lang w:val="en-US" w:eastAsia="zh-CN" w:bidi="ar"/>
              </w:rPr>
            </w:pPr>
          </w:p>
          <w:p w14:paraId="5650D220">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snapToGrid/>
                <w:color w:val="auto"/>
                <w:spacing w:val="0"/>
                <w:kern w:val="0"/>
                <w:position w:val="0"/>
                <w:sz w:val="24"/>
                <w:szCs w:val="24"/>
                <w:lang w:val="en-US" w:eastAsia="zh-CN" w:bidi="ar"/>
              </w:rPr>
            </w:pPr>
          </w:p>
          <w:p w14:paraId="2E4AC324">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snapToGrid/>
                <w:color w:val="auto"/>
                <w:spacing w:val="0"/>
                <w:kern w:val="0"/>
                <w:position w:val="0"/>
                <w:sz w:val="24"/>
                <w:szCs w:val="24"/>
                <w:lang w:val="en-US" w:eastAsia="zh-CN" w:bidi="ar"/>
              </w:rPr>
            </w:pPr>
          </w:p>
          <w:p w14:paraId="0F2F06DB">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default" w:ascii="宋体" w:hAnsi="宋体" w:eastAsia="宋体" w:cs="宋体"/>
                <w:snapToGrid/>
                <w:color w:val="auto"/>
                <w:spacing w:val="0"/>
                <w:kern w:val="0"/>
                <w:position w:val="0"/>
                <w:sz w:val="24"/>
                <w:szCs w:val="24"/>
                <w:lang w:val="en-US" w:eastAsia="zh-CN" w:bidi="ar-SA"/>
              </w:rPr>
            </w:pPr>
          </w:p>
        </w:tc>
      </w:tr>
    </w:tbl>
    <w:p w14:paraId="306DA2E8">
      <w:pPr>
        <w:pStyle w:val="2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0"/>
        <w:rPr>
          <w:rFonts w:hint="default" w:ascii="Times New Roman" w:hAnsi="Times New Roman" w:eastAsia="宋体" w:cs="Times New Roman"/>
          <w:b/>
          <w:bCs/>
          <w:snapToGrid/>
          <w:color w:val="auto"/>
          <w:spacing w:val="0"/>
          <w:kern w:val="0"/>
          <w:position w:val="0"/>
          <w:sz w:val="30"/>
          <w:szCs w:val="30"/>
        </w:rPr>
      </w:pPr>
      <w:r>
        <w:rPr>
          <w:rFonts w:hint="default" w:ascii="Times New Roman" w:hAnsi="Times New Roman" w:eastAsia="宋体" w:cs="Times New Roman"/>
          <w:snapToGrid/>
          <w:color w:val="auto"/>
          <w:spacing w:val="0"/>
          <w:kern w:val="0"/>
          <w:position w:val="0"/>
        </w:rPr>
        <w:br w:type="page"/>
      </w:r>
      <w:r>
        <w:rPr>
          <w:rFonts w:hint="default" w:ascii="Times New Roman" w:hAnsi="Times New Roman" w:eastAsia="宋体" w:cs="Times New Roman"/>
          <w:b/>
          <w:bCs/>
          <w:snapToGrid/>
          <w:color w:val="auto"/>
          <w:spacing w:val="0"/>
          <w:kern w:val="0"/>
          <w:position w:val="0"/>
          <w:sz w:val="30"/>
          <w:szCs w:val="30"/>
        </w:rPr>
        <w:t>六、结论</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1C5216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03" w:hRule="atLeast"/>
          <w:jc w:val="center"/>
        </w:trPr>
        <w:tc>
          <w:tcPr>
            <w:tcW w:w="8865" w:type="dxa"/>
            <w:tcBorders>
              <w:tl2br w:val="nil"/>
              <w:tr2bl w:val="nil"/>
            </w:tcBorders>
            <w:noWrap w:val="0"/>
            <w:vAlign w:val="center"/>
          </w:tcPr>
          <w:p w14:paraId="7E55E227">
            <w:pPr>
              <w:bidi w:val="0"/>
              <w:spacing w:line="360" w:lineRule="auto"/>
              <w:ind w:firstLine="480" w:firstLineChars="200"/>
              <w:rPr>
                <w:rFonts w:hint="eastAsia" w:ascii="Times New Roman" w:hAnsi="Times New Roman" w:eastAsia="宋体" w:cs="Times New Roman"/>
                <w:snapToGrid/>
                <w:color w:val="auto"/>
                <w:spacing w:val="0"/>
                <w:kern w:val="0"/>
                <w:position w:val="0"/>
                <w:lang w:val="en-US" w:eastAsia="zh-CN"/>
              </w:rPr>
            </w:pPr>
            <w:r>
              <w:rPr>
                <w:rFonts w:hint="eastAsia" w:cs="Times New Roman"/>
                <w:snapToGrid/>
                <w:color w:val="auto"/>
                <w:spacing w:val="0"/>
                <w:kern w:val="0"/>
                <w:position w:val="0"/>
                <w:sz w:val="24"/>
                <w:szCs w:val="24"/>
                <w:lang w:eastAsia="zh-CN"/>
              </w:rPr>
              <w:t>灵璧县威科钓具有限公司钨合金渔坠生产扩建项目</w:t>
            </w:r>
            <w:r>
              <w:rPr>
                <w:rFonts w:hint="default" w:ascii="Times New Roman" w:hAnsi="Times New Roman" w:eastAsia="宋体" w:cs="Times New Roman"/>
                <w:color w:val="auto"/>
                <w:sz w:val="24"/>
                <w:szCs w:val="24"/>
                <w:lang w:eastAsia="zh-CN"/>
              </w:rPr>
              <w:t>的建设符合</w:t>
            </w:r>
            <w:r>
              <w:rPr>
                <w:rFonts w:hint="eastAsia" w:cs="Times New Roman"/>
                <w:color w:val="auto"/>
                <w:sz w:val="24"/>
                <w:szCs w:val="24"/>
                <w:lang w:val="en-US" w:eastAsia="zh-CN"/>
              </w:rPr>
              <w:t>相关</w:t>
            </w:r>
            <w:r>
              <w:rPr>
                <w:rFonts w:hint="default" w:ascii="Times New Roman" w:hAnsi="Times New Roman" w:eastAsia="宋体" w:cs="Times New Roman"/>
                <w:color w:val="auto"/>
                <w:sz w:val="24"/>
                <w:szCs w:val="24"/>
                <w:lang w:eastAsia="zh-CN"/>
              </w:rPr>
              <w:t>要求</w:t>
            </w:r>
            <w:r>
              <w:rPr>
                <w:rFonts w:hint="eastAsia" w:cs="Times New Roman"/>
                <w:color w:val="auto"/>
                <w:sz w:val="24"/>
                <w:szCs w:val="24"/>
                <w:lang w:eastAsia="zh-CN"/>
              </w:rPr>
              <w:t>，</w:t>
            </w:r>
            <w:r>
              <w:rPr>
                <w:rFonts w:hint="default" w:ascii="Times New Roman" w:hAnsi="Times New Roman" w:eastAsia="宋体" w:cs="Times New Roman"/>
                <w:color w:val="auto"/>
                <w:sz w:val="24"/>
                <w:szCs w:val="24"/>
                <w:lang w:eastAsia="zh-CN"/>
              </w:rPr>
              <w:t>只要工程在运行期严格执行有关环保法规规定，切实落实报告提出的各项污染防治措施</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在</w:t>
            </w:r>
            <w:r>
              <w:rPr>
                <w:rFonts w:hint="eastAsia" w:ascii="Times New Roman" w:hAnsi="Times New Roman" w:eastAsia="宋体"/>
                <w:color w:val="auto"/>
                <w:sz w:val="24"/>
                <w:szCs w:val="24"/>
                <w:lang w:eastAsia="zh-CN"/>
              </w:rPr>
              <w:t>确保污染物达标排放</w:t>
            </w:r>
            <w:r>
              <w:rPr>
                <w:color w:val="auto"/>
                <w:sz w:val="24"/>
              </w:rPr>
              <w:t>的前提下，本项目的建设对周围环境的不利影响较小</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8"/>
              </w:rPr>
              <w:t>因而从环境保护的角度而言，该项目是可行的。</w:t>
            </w:r>
          </w:p>
        </w:tc>
      </w:tr>
    </w:tbl>
    <w:p w14:paraId="493A055B">
      <w:pPr>
        <w:rPr>
          <w:rFonts w:hint="default" w:ascii="Times New Roman" w:hAnsi="Times New Roman" w:eastAsia="宋体" w:cs="Times New Roman"/>
          <w:snapToGrid/>
          <w:color w:val="auto"/>
          <w:spacing w:val="0"/>
          <w:kern w:val="0"/>
          <w:position w:val="0"/>
        </w:rPr>
        <w:sectPr>
          <w:pgSz w:w="11906" w:h="16838"/>
          <w:pgMar w:top="1440" w:right="1803" w:bottom="1440" w:left="1803" w:header="851" w:footer="851" w:gutter="0"/>
          <w:pgBorders>
            <w:top w:val="none" w:sz="0" w:space="0"/>
            <w:left w:val="none" w:sz="0" w:space="0"/>
            <w:bottom w:val="none" w:sz="0" w:space="0"/>
            <w:right w:val="none" w:sz="0" w:space="0"/>
          </w:pgBorders>
          <w:pgNumType w:fmt="decimal"/>
          <w:cols w:space="720" w:num="1"/>
          <w:docGrid w:linePitch="312" w:charSpace="0"/>
        </w:sectPr>
      </w:pPr>
    </w:p>
    <w:p w14:paraId="68C175A1">
      <w:pPr>
        <w:pStyle w:val="20"/>
        <w:adjustRightInd w:val="0"/>
        <w:snapToGrid w:val="0"/>
        <w:spacing w:before="0" w:beforeAutospacing="0" w:after="0" w:afterAutospacing="0" w:line="360" w:lineRule="auto"/>
        <w:outlineLvl w:val="0"/>
        <w:rPr>
          <w:rFonts w:hint="default" w:ascii="Times New Roman" w:hAnsi="Times New Roman" w:eastAsia="宋体" w:cs="Times New Roman"/>
          <w:b/>
          <w:bCs/>
          <w:snapToGrid/>
          <w:color w:val="auto"/>
          <w:spacing w:val="0"/>
          <w:kern w:val="0"/>
          <w:position w:val="0"/>
          <w:sz w:val="32"/>
          <w:szCs w:val="32"/>
        </w:rPr>
      </w:pPr>
      <w:r>
        <w:rPr>
          <w:rFonts w:hint="default" w:ascii="Times New Roman" w:hAnsi="Times New Roman" w:eastAsia="宋体" w:cs="Times New Roman"/>
          <w:b/>
          <w:bCs/>
          <w:snapToGrid/>
          <w:color w:val="auto"/>
          <w:spacing w:val="0"/>
          <w:kern w:val="0"/>
          <w:position w:val="0"/>
          <w:sz w:val="32"/>
          <w:szCs w:val="32"/>
        </w:rPr>
        <w:t>附表</w:t>
      </w:r>
    </w:p>
    <w:p w14:paraId="280ABE0C">
      <w:pPr>
        <w:pStyle w:val="20"/>
        <w:adjustRightInd w:val="0"/>
        <w:snapToGrid w:val="0"/>
        <w:spacing w:before="0" w:beforeAutospacing="0" w:after="0" w:afterAutospacing="0" w:line="360" w:lineRule="auto"/>
        <w:jc w:val="center"/>
        <w:outlineLvl w:val="0"/>
        <w:rPr>
          <w:rFonts w:hint="default" w:ascii="Times New Roman" w:hAnsi="Times New Roman" w:eastAsia="宋体" w:cs="Times New Roman"/>
          <w:b/>
          <w:bCs/>
          <w:snapToGrid/>
          <w:color w:val="auto"/>
          <w:spacing w:val="0"/>
          <w:kern w:val="0"/>
          <w:position w:val="0"/>
          <w:sz w:val="38"/>
          <w:szCs w:val="38"/>
        </w:rPr>
      </w:pPr>
      <w:r>
        <w:rPr>
          <w:rFonts w:hint="default" w:ascii="Times New Roman" w:hAnsi="Times New Roman" w:eastAsia="宋体" w:cs="Times New Roman"/>
          <w:b/>
          <w:bCs/>
          <w:snapToGrid/>
          <w:color w:val="auto"/>
          <w:spacing w:val="0"/>
          <w:kern w:val="0"/>
          <w:position w:val="0"/>
          <w:sz w:val="38"/>
          <w:szCs w:val="38"/>
        </w:rPr>
        <w:t>建设项目污染物排放量汇总表</w:t>
      </w:r>
    </w:p>
    <w:tbl>
      <w:tblPr>
        <w:tblStyle w:val="22"/>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316"/>
        <w:gridCol w:w="1695"/>
        <w:gridCol w:w="1275"/>
        <w:gridCol w:w="1725"/>
        <w:gridCol w:w="1530"/>
        <w:gridCol w:w="1520"/>
        <w:gridCol w:w="1752"/>
        <w:gridCol w:w="1387"/>
      </w:tblGrid>
      <w:tr w14:paraId="69CCB7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88" w:type="dxa"/>
            <w:tcBorders>
              <w:tl2br w:val="single" w:color="auto" w:sz="4" w:space="0"/>
            </w:tcBorders>
            <w:noWrap w:val="0"/>
            <w:tcMar>
              <w:left w:w="28" w:type="dxa"/>
              <w:right w:w="28" w:type="dxa"/>
            </w:tcMar>
            <w:vAlign w:val="center"/>
          </w:tcPr>
          <w:p w14:paraId="4F2701E9">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t>项目</w:t>
            </w:r>
          </w:p>
          <w:p w14:paraId="2E836D1D">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t>分类</w:t>
            </w:r>
          </w:p>
        </w:tc>
        <w:tc>
          <w:tcPr>
            <w:tcW w:w="1316" w:type="dxa"/>
            <w:noWrap w:val="0"/>
            <w:tcMar>
              <w:left w:w="28" w:type="dxa"/>
              <w:right w:w="28" w:type="dxa"/>
            </w:tcMar>
            <w:vAlign w:val="center"/>
          </w:tcPr>
          <w:p w14:paraId="37D57539">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t>污染物名称</w:t>
            </w:r>
          </w:p>
        </w:tc>
        <w:tc>
          <w:tcPr>
            <w:tcW w:w="1695" w:type="dxa"/>
            <w:noWrap w:val="0"/>
            <w:tcMar>
              <w:left w:w="28" w:type="dxa"/>
              <w:right w:w="28" w:type="dxa"/>
            </w:tcMar>
            <w:vAlign w:val="center"/>
          </w:tcPr>
          <w:p w14:paraId="7759B3F1">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t>现有工程排放量（固体废物产生量）</w:t>
            </w:r>
            <w:r>
              <w:rPr>
                <w:rFonts w:hint="default" w:ascii="Times New Roman" w:hAnsi="Times New Roman" w:eastAsia="宋体" w:cs="Times New Roman"/>
                <w:snapToGrid/>
                <w:color w:val="auto"/>
                <w:spacing w:val="0"/>
                <w:kern w:val="0"/>
                <w:position w:val="0"/>
                <w:sz w:val="24"/>
                <w:szCs w:val="24"/>
              </w:rPr>
              <w:fldChar w:fldCharType="begin"/>
            </w:r>
            <w:r>
              <w:rPr>
                <w:rFonts w:hint="default" w:ascii="Times New Roman" w:hAnsi="Times New Roman" w:eastAsia="宋体" w:cs="Times New Roman"/>
                <w:snapToGrid/>
                <w:color w:val="auto"/>
                <w:spacing w:val="0"/>
                <w:kern w:val="0"/>
                <w:position w:val="0"/>
                <w:sz w:val="24"/>
                <w:szCs w:val="24"/>
              </w:rPr>
              <w:instrText xml:space="preserve"> = 1 \* GB3 \* MERGEFORMAT </w:instrText>
            </w:r>
            <w:r>
              <w:rPr>
                <w:rFonts w:hint="default" w:ascii="Times New Roman" w:hAnsi="Times New Roman" w:eastAsia="宋体" w:cs="Times New Roman"/>
                <w:snapToGrid/>
                <w:color w:val="auto"/>
                <w:spacing w:val="0"/>
                <w:kern w:val="0"/>
                <w:position w:val="0"/>
                <w:sz w:val="24"/>
                <w:szCs w:val="24"/>
              </w:rPr>
              <w:fldChar w:fldCharType="separate"/>
            </w:r>
            <w:r>
              <w:rPr>
                <w:rFonts w:hint="default" w:ascii="Times New Roman" w:hAnsi="Times New Roman" w:eastAsia="宋体" w:cs="Times New Roman"/>
                <w:snapToGrid/>
                <w:color w:val="auto"/>
                <w:spacing w:val="0"/>
                <w:kern w:val="0"/>
                <w:position w:val="0"/>
                <w:sz w:val="24"/>
                <w:szCs w:val="24"/>
              </w:rPr>
              <w:t>①</w:t>
            </w:r>
            <w:r>
              <w:rPr>
                <w:rFonts w:hint="default" w:ascii="Times New Roman" w:hAnsi="Times New Roman" w:eastAsia="宋体" w:cs="Times New Roman"/>
                <w:snapToGrid/>
                <w:color w:val="auto"/>
                <w:spacing w:val="0"/>
                <w:kern w:val="0"/>
                <w:position w:val="0"/>
                <w:sz w:val="24"/>
                <w:szCs w:val="24"/>
              </w:rPr>
              <w:fldChar w:fldCharType="end"/>
            </w:r>
          </w:p>
        </w:tc>
        <w:tc>
          <w:tcPr>
            <w:tcW w:w="1275" w:type="dxa"/>
            <w:noWrap w:val="0"/>
            <w:tcMar>
              <w:left w:w="28" w:type="dxa"/>
              <w:right w:w="28" w:type="dxa"/>
            </w:tcMar>
            <w:vAlign w:val="center"/>
          </w:tcPr>
          <w:p w14:paraId="7352F86C">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t>现有工程</w:t>
            </w:r>
          </w:p>
          <w:p w14:paraId="000E6EA7">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t>许可排放量</w:t>
            </w:r>
          </w:p>
          <w:p w14:paraId="23710388">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fldChar w:fldCharType="begin"/>
            </w:r>
            <w:r>
              <w:rPr>
                <w:rFonts w:hint="default" w:ascii="Times New Roman" w:hAnsi="Times New Roman" w:eastAsia="宋体" w:cs="Times New Roman"/>
                <w:snapToGrid/>
                <w:color w:val="auto"/>
                <w:spacing w:val="0"/>
                <w:kern w:val="0"/>
                <w:position w:val="0"/>
                <w:sz w:val="24"/>
                <w:szCs w:val="24"/>
              </w:rPr>
              <w:instrText xml:space="preserve"> = 2 \* GB3 \* MERGEFORMAT </w:instrText>
            </w:r>
            <w:r>
              <w:rPr>
                <w:rFonts w:hint="default" w:ascii="Times New Roman" w:hAnsi="Times New Roman" w:eastAsia="宋体" w:cs="Times New Roman"/>
                <w:snapToGrid/>
                <w:color w:val="auto"/>
                <w:spacing w:val="0"/>
                <w:kern w:val="0"/>
                <w:position w:val="0"/>
                <w:sz w:val="24"/>
                <w:szCs w:val="24"/>
              </w:rPr>
              <w:fldChar w:fldCharType="separate"/>
            </w:r>
            <w:r>
              <w:rPr>
                <w:rFonts w:hint="default" w:ascii="Times New Roman" w:hAnsi="Times New Roman" w:eastAsia="宋体" w:cs="Times New Roman"/>
                <w:snapToGrid/>
                <w:color w:val="auto"/>
                <w:spacing w:val="0"/>
                <w:kern w:val="0"/>
                <w:position w:val="0"/>
                <w:sz w:val="24"/>
                <w:szCs w:val="24"/>
              </w:rPr>
              <w:t>②</w:t>
            </w:r>
            <w:r>
              <w:rPr>
                <w:rFonts w:hint="default" w:ascii="Times New Roman" w:hAnsi="Times New Roman" w:eastAsia="宋体" w:cs="Times New Roman"/>
                <w:snapToGrid/>
                <w:color w:val="auto"/>
                <w:spacing w:val="0"/>
                <w:kern w:val="0"/>
                <w:position w:val="0"/>
                <w:sz w:val="24"/>
                <w:szCs w:val="24"/>
              </w:rPr>
              <w:fldChar w:fldCharType="end"/>
            </w:r>
          </w:p>
        </w:tc>
        <w:tc>
          <w:tcPr>
            <w:tcW w:w="1725" w:type="dxa"/>
            <w:noWrap w:val="0"/>
            <w:tcMar>
              <w:left w:w="28" w:type="dxa"/>
              <w:right w:w="28" w:type="dxa"/>
            </w:tcMar>
            <w:vAlign w:val="center"/>
          </w:tcPr>
          <w:p w14:paraId="76BCDCFF">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t>在建工程排放量（固体废物产生量）</w:t>
            </w:r>
            <w:r>
              <w:rPr>
                <w:rFonts w:hint="default" w:ascii="Times New Roman" w:hAnsi="Times New Roman" w:eastAsia="宋体" w:cs="Times New Roman"/>
                <w:snapToGrid/>
                <w:color w:val="auto"/>
                <w:spacing w:val="0"/>
                <w:kern w:val="0"/>
                <w:position w:val="0"/>
                <w:sz w:val="24"/>
                <w:szCs w:val="24"/>
              </w:rPr>
              <w:fldChar w:fldCharType="begin"/>
            </w:r>
            <w:r>
              <w:rPr>
                <w:rFonts w:hint="default" w:ascii="Times New Roman" w:hAnsi="Times New Roman" w:eastAsia="宋体" w:cs="Times New Roman"/>
                <w:snapToGrid/>
                <w:color w:val="auto"/>
                <w:spacing w:val="0"/>
                <w:kern w:val="0"/>
                <w:position w:val="0"/>
                <w:sz w:val="24"/>
                <w:szCs w:val="24"/>
              </w:rPr>
              <w:instrText xml:space="preserve"> = 3 \* GB3 \* MERGEFORMAT </w:instrText>
            </w:r>
            <w:r>
              <w:rPr>
                <w:rFonts w:hint="default" w:ascii="Times New Roman" w:hAnsi="Times New Roman" w:eastAsia="宋体" w:cs="Times New Roman"/>
                <w:snapToGrid/>
                <w:color w:val="auto"/>
                <w:spacing w:val="0"/>
                <w:kern w:val="0"/>
                <w:position w:val="0"/>
                <w:sz w:val="24"/>
                <w:szCs w:val="24"/>
              </w:rPr>
              <w:fldChar w:fldCharType="separate"/>
            </w:r>
            <w:r>
              <w:rPr>
                <w:rFonts w:hint="default" w:ascii="Times New Roman" w:hAnsi="Times New Roman" w:eastAsia="宋体" w:cs="Times New Roman"/>
                <w:snapToGrid/>
                <w:color w:val="auto"/>
                <w:spacing w:val="0"/>
                <w:kern w:val="0"/>
                <w:position w:val="0"/>
                <w:sz w:val="24"/>
                <w:szCs w:val="24"/>
              </w:rPr>
              <w:t>③</w:t>
            </w:r>
            <w:r>
              <w:rPr>
                <w:rFonts w:hint="default" w:ascii="Times New Roman" w:hAnsi="Times New Roman" w:eastAsia="宋体" w:cs="Times New Roman"/>
                <w:snapToGrid/>
                <w:color w:val="auto"/>
                <w:spacing w:val="0"/>
                <w:kern w:val="0"/>
                <w:position w:val="0"/>
                <w:sz w:val="24"/>
                <w:szCs w:val="24"/>
              </w:rPr>
              <w:fldChar w:fldCharType="end"/>
            </w:r>
          </w:p>
        </w:tc>
        <w:tc>
          <w:tcPr>
            <w:tcW w:w="1530" w:type="dxa"/>
            <w:noWrap w:val="0"/>
            <w:tcMar>
              <w:left w:w="28" w:type="dxa"/>
              <w:right w:w="28" w:type="dxa"/>
            </w:tcMar>
            <w:vAlign w:val="center"/>
          </w:tcPr>
          <w:p w14:paraId="56456ED1">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t>本项目排放量（固体废物产生量）</w:t>
            </w:r>
            <w:r>
              <w:rPr>
                <w:rFonts w:hint="default" w:ascii="Times New Roman" w:hAnsi="Times New Roman" w:eastAsia="宋体" w:cs="Times New Roman"/>
                <w:snapToGrid/>
                <w:color w:val="auto"/>
                <w:spacing w:val="0"/>
                <w:kern w:val="0"/>
                <w:position w:val="0"/>
                <w:sz w:val="24"/>
                <w:szCs w:val="24"/>
              </w:rPr>
              <w:fldChar w:fldCharType="begin"/>
            </w:r>
            <w:r>
              <w:rPr>
                <w:rFonts w:hint="default" w:ascii="Times New Roman" w:hAnsi="Times New Roman" w:eastAsia="宋体" w:cs="Times New Roman"/>
                <w:snapToGrid/>
                <w:color w:val="auto"/>
                <w:spacing w:val="0"/>
                <w:kern w:val="0"/>
                <w:position w:val="0"/>
                <w:sz w:val="24"/>
                <w:szCs w:val="24"/>
              </w:rPr>
              <w:instrText xml:space="preserve"> = 4 \* GB3 \* MERGEFORMAT </w:instrText>
            </w:r>
            <w:r>
              <w:rPr>
                <w:rFonts w:hint="default" w:ascii="Times New Roman" w:hAnsi="Times New Roman" w:eastAsia="宋体" w:cs="Times New Roman"/>
                <w:snapToGrid/>
                <w:color w:val="auto"/>
                <w:spacing w:val="0"/>
                <w:kern w:val="0"/>
                <w:position w:val="0"/>
                <w:sz w:val="24"/>
                <w:szCs w:val="24"/>
              </w:rPr>
              <w:fldChar w:fldCharType="separate"/>
            </w:r>
            <w:r>
              <w:rPr>
                <w:rFonts w:hint="default" w:ascii="Times New Roman" w:hAnsi="Times New Roman" w:eastAsia="宋体" w:cs="Times New Roman"/>
                <w:snapToGrid/>
                <w:color w:val="auto"/>
                <w:spacing w:val="0"/>
                <w:kern w:val="0"/>
                <w:position w:val="0"/>
                <w:sz w:val="24"/>
                <w:szCs w:val="24"/>
              </w:rPr>
              <w:t>④</w:t>
            </w:r>
            <w:r>
              <w:rPr>
                <w:rFonts w:hint="default" w:ascii="Times New Roman" w:hAnsi="Times New Roman" w:eastAsia="宋体" w:cs="Times New Roman"/>
                <w:snapToGrid/>
                <w:color w:val="auto"/>
                <w:spacing w:val="0"/>
                <w:kern w:val="0"/>
                <w:position w:val="0"/>
                <w:sz w:val="24"/>
                <w:szCs w:val="24"/>
              </w:rPr>
              <w:fldChar w:fldCharType="end"/>
            </w:r>
          </w:p>
        </w:tc>
        <w:tc>
          <w:tcPr>
            <w:tcW w:w="1520" w:type="dxa"/>
            <w:noWrap w:val="0"/>
            <w:tcMar>
              <w:left w:w="28" w:type="dxa"/>
              <w:right w:w="28" w:type="dxa"/>
            </w:tcMar>
            <w:vAlign w:val="center"/>
          </w:tcPr>
          <w:p w14:paraId="2413496F">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t>以新带老削减量（新建项目不填）</w:t>
            </w:r>
            <w:r>
              <w:rPr>
                <w:rFonts w:hint="default" w:ascii="Times New Roman" w:hAnsi="Times New Roman" w:eastAsia="宋体" w:cs="Times New Roman"/>
                <w:snapToGrid/>
                <w:color w:val="auto"/>
                <w:spacing w:val="0"/>
                <w:kern w:val="0"/>
                <w:position w:val="0"/>
                <w:sz w:val="24"/>
                <w:szCs w:val="24"/>
              </w:rPr>
              <w:fldChar w:fldCharType="begin"/>
            </w:r>
            <w:r>
              <w:rPr>
                <w:rFonts w:hint="default" w:ascii="Times New Roman" w:hAnsi="Times New Roman" w:eastAsia="宋体" w:cs="Times New Roman"/>
                <w:snapToGrid/>
                <w:color w:val="auto"/>
                <w:spacing w:val="0"/>
                <w:kern w:val="0"/>
                <w:position w:val="0"/>
                <w:sz w:val="24"/>
                <w:szCs w:val="24"/>
              </w:rPr>
              <w:instrText xml:space="preserve"> = 5 \* GB3 \* MERGEFORMAT </w:instrText>
            </w:r>
            <w:r>
              <w:rPr>
                <w:rFonts w:hint="default" w:ascii="Times New Roman" w:hAnsi="Times New Roman" w:eastAsia="宋体" w:cs="Times New Roman"/>
                <w:snapToGrid/>
                <w:color w:val="auto"/>
                <w:spacing w:val="0"/>
                <w:kern w:val="0"/>
                <w:position w:val="0"/>
                <w:sz w:val="24"/>
                <w:szCs w:val="24"/>
              </w:rPr>
              <w:fldChar w:fldCharType="separate"/>
            </w:r>
            <w:r>
              <w:rPr>
                <w:rFonts w:hint="default" w:ascii="Times New Roman" w:hAnsi="Times New Roman" w:eastAsia="宋体" w:cs="Times New Roman"/>
                <w:snapToGrid/>
                <w:color w:val="auto"/>
                <w:spacing w:val="0"/>
                <w:kern w:val="0"/>
                <w:position w:val="0"/>
                <w:sz w:val="24"/>
                <w:szCs w:val="24"/>
              </w:rPr>
              <w:t>⑤</w:t>
            </w:r>
            <w:r>
              <w:rPr>
                <w:rFonts w:hint="default" w:ascii="Times New Roman" w:hAnsi="Times New Roman" w:eastAsia="宋体" w:cs="Times New Roman"/>
                <w:snapToGrid/>
                <w:color w:val="auto"/>
                <w:spacing w:val="0"/>
                <w:kern w:val="0"/>
                <w:position w:val="0"/>
                <w:sz w:val="24"/>
                <w:szCs w:val="24"/>
              </w:rPr>
              <w:fldChar w:fldCharType="end"/>
            </w:r>
          </w:p>
        </w:tc>
        <w:tc>
          <w:tcPr>
            <w:tcW w:w="1752" w:type="dxa"/>
            <w:noWrap w:val="0"/>
            <w:tcMar>
              <w:left w:w="28" w:type="dxa"/>
              <w:right w:w="28" w:type="dxa"/>
            </w:tcMar>
            <w:vAlign w:val="center"/>
          </w:tcPr>
          <w:p w14:paraId="6F7D39F0">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t>本项目建成后全厂排放量（固体废物产生量）</w:t>
            </w:r>
            <w:r>
              <w:rPr>
                <w:rFonts w:hint="default" w:ascii="Times New Roman" w:hAnsi="Times New Roman" w:eastAsia="宋体" w:cs="Times New Roman"/>
                <w:snapToGrid/>
                <w:color w:val="auto"/>
                <w:spacing w:val="0"/>
                <w:kern w:val="0"/>
                <w:position w:val="0"/>
                <w:sz w:val="24"/>
                <w:szCs w:val="24"/>
              </w:rPr>
              <w:fldChar w:fldCharType="begin"/>
            </w:r>
            <w:r>
              <w:rPr>
                <w:rFonts w:hint="default" w:ascii="Times New Roman" w:hAnsi="Times New Roman" w:eastAsia="宋体" w:cs="Times New Roman"/>
                <w:snapToGrid/>
                <w:color w:val="auto"/>
                <w:spacing w:val="0"/>
                <w:kern w:val="0"/>
                <w:position w:val="0"/>
                <w:sz w:val="24"/>
                <w:szCs w:val="24"/>
              </w:rPr>
              <w:instrText xml:space="preserve"> = 6 \* GB3 \* MERGEFORMAT </w:instrText>
            </w:r>
            <w:r>
              <w:rPr>
                <w:rFonts w:hint="default" w:ascii="Times New Roman" w:hAnsi="Times New Roman" w:eastAsia="宋体" w:cs="Times New Roman"/>
                <w:snapToGrid/>
                <w:color w:val="auto"/>
                <w:spacing w:val="0"/>
                <w:kern w:val="0"/>
                <w:position w:val="0"/>
                <w:sz w:val="24"/>
                <w:szCs w:val="24"/>
              </w:rPr>
              <w:fldChar w:fldCharType="separate"/>
            </w:r>
            <w:r>
              <w:rPr>
                <w:rFonts w:hint="default" w:ascii="Times New Roman" w:hAnsi="Times New Roman" w:eastAsia="宋体" w:cs="Times New Roman"/>
                <w:snapToGrid/>
                <w:color w:val="auto"/>
                <w:spacing w:val="0"/>
                <w:kern w:val="0"/>
                <w:position w:val="0"/>
                <w:sz w:val="24"/>
                <w:szCs w:val="24"/>
              </w:rPr>
              <w:t>⑥</w:t>
            </w:r>
            <w:r>
              <w:rPr>
                <w:rFonts w:hint="default" w:ascii="Times New Roman" w:hAnsi="Times New Roman" w:eastAsia="宋体" w:cs="Times New Roman"/>
                <w:snapToGrid/>
                <w:color w:val="auto"/>
                <w:spacing w:val="0"/>
                <w:kern w:val="0"/>
                <w:position w:val="0"/>
                <w:sz w:val="24"/>
                <w:szCs w:val="24"/>
              </w:rPr>
              <w:fldChar w:fldCharType="end"/>
            </w:r>
          </w:p>
        </w:tc>
        <w:tc>
          <w:tcPr>
            <w:tcW w:w="1387" w:type="dxa"/>
            <w:noWrap w:val="0"/>
            <w:tcMar>
              <w:left w:w="28" w:type="dxa"/>
              <w:right w:w="28" w:type="dxa"/>
            </w:tcMar>
            <w:vAlign w:val="center"/>
          </w:tcPr>
          <w:p w14:paraId="73BEE1AC">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t>变化量</w:t>
            </w:r>
          </w:p>
          <w:p w14:paraId="237891A6">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fldChar w:fldCharType="begin"/>
            </w:r>
            <w:r>
              <w:rPr>
                <w:rFonts w:hint="default" w:ascii="Times New Roman" w:hAnsi="Times New Roman" w:eastAsia="宋体" w:cs="Times New Roman"/>
                <w:snapToGrid/>
                <w:color w:val="auto"/>
                <w:spacing w:val="0"/>
                <w:kern w:val="0"/>
                <w:position w:val="0"/>
                <w:sz w:val="24"/>
                <w:szCs w:val="24"/>
              </w:rPr>
              <w:instrText xml:space="preserve"> = 7 \* GB3 \* MERGEFORMAT </w:instrText>
            </w:r>
            <w:r>
              <w:rPr>
                <w:rFonts w:hint="default" w:ascii="Times New Roman" w:hAnsi="Times New Roman" w:eastAsia="宋体" w:cs="Times New Roman"/>
                <w:snapToGrid/>
                <w:color w:val="auto"/>
                <w:spacing w:val="0"/>
                <w:kern w:val="0"/>
                <w:position w:val="0"/>
                <w:sz w:val="24"/>
                <w:szCs w:val="24"/>
              </w:rPr>
              <w:fldChar w:fldCharType="separate"/>
            </w:r>
            <w:r>
              <w:rPr>
                <w:rFonts w:hint="default" w:ascii="Times New Roman" w:hAnsi="Times New Roman" w:eastAsia="宋体" w:cs="Times New Roman"/>
                <w:snapToGrid/>
                <w:color w:val="auto"/>
                <w:spacing w:val="0"/>
                <w:kern w:val="0"/>
                <w:position w:val="0"/>
                <w:sz w:val="24"/>
                <w:szCs w:val="24"/>
              </w:rPr>
              <w:t>⑦</w:t>
            </w:r>
            <w:r>
              <w:rPr>
                <w:rFonts w:hint="default" w:ascii="Times New Roman" w:hAnsi="Times New Roman" w:eastAsia="宋体" w:cs="Times New Roman"/>
                <w:snapToGrid/>
                <w:color w:val="auto"/>
                <w:spacing w:val="0"/>
                <w:kern w:val="0"/>
                <w:position w:val="0"/>
                <w:sz w:val="24"/>
                <w:szCs w:val="24"/>
              </w:rPr>
              <w:fldChar w:fldCharType="end"/>
            </w:r>
          </w:p>
        </w:tc>
      </w:tr>
      <w:tr w14:paraId="252CB8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88" w:type="dxa"/>
            <w:vMerge w:val="restart"/>
            <w:noWrap w:val="0"/>
            <w:vAlign w:val="center"/>
          </w:tcPr>
          <w:p w14:paraId="1349253D">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t>废气</w:t>
            </w:r>
          </w:p>
        </w:tc>
        <w:tc>
          <w:tcPr>
            <w:tcW w:w="1316" w:type="dxa"/>
            <w:shd w:val="clear" w:color="auto" w:fill="auto"/>
            <w:noWrap w:val="0"/>
            <w:vAlign w:val="center"/>
          </w:tcPr>
          <w:p w14:paraId="4216A700">
            <w:pPr>
              <w:pStyle w:val="38"/>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sz w:val="24"/>
                <w:szCs w:val="24"/>
                <w:highlight w:val="none"/>
                <w:lang w:eastAsia="zh-CN"/>
              </w:rPr>
              <w:t>颗粒物</w:t>
            </w:r>
          </w:p>
        </w:tc>
        <w:tc>
          <w:tcPr>
            <w:tcW w:w="1695" w:type="dxa"/>
            <w:shd w:val="clear" w:color="auto" w:fill="auto"/>
            <w:noWrap w:val="0"/>
            <w:vAlign w:val="center"/>
          </w:tcPr>
          <w:p w14:paraId="59C4F3CC">
            <w:pPr>
              <w:pStyle w:val="38"/>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cs="Times New Roman"/>
                <w:color w:val="auto"/>
                <w:sz w:val="24"/>
                <w:szCs w:val="24"/>
                <w:highlight w:val="none"/>
                <w:lang w:val="en-US" w:eastAsia="zh-CN"/>
              </w:rPr>
              <w:t>0.041</w:t>
            </w:r>
            <w:r>
              <w:rPr>
                <w:rFonts w:hint="eastAsia" w:ascii="Times New Roman" w:hAnsi="Times New Roman" w:cs="Times New Roman"/>
                <w:color w:val="auto"/>
                <w:sz w:val="24"/>
                <w:szCs w:val="24"/>
                <w:highlight w:val="none"/>
                <w:lang w:val="en-US" w:eastAsia="zh-CN"/>
              </w:rPr>
              <w:t>t/a</w:t>
            </w:r>
          </w:p>
        </w:tc>
        <w:tc>
          <w:tcPr>
            <w:tcW w:w="1275" w:type="dxa"/>
            <w:noWrap w:val="0"/>
            <w:vAlign w:val="center"/>
          </w:tcPr>
          <w:p w14:paraId="70E8EA41">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Times New Roman" w:hAnsi="Times New Roman" w:eastAsia="宋体" w:cs="Times New Roman"/>
                <w:snapToGrid/>
                <w:color w:val="auto"/>
                <w:spacing w:val="0"/>
                <w:kern w:val="0"/>
                <w:position w:val="0"/>
                <w:sz w:val="24"/>
                <w:szCs w:val="24"/>
                <w:lang w:val="en-US" w:eastAsia="zh-CN" w:bidi="ar-SA"/>
              </w:rPr>
            </w:pPr>
            <w:r>
              <w:rPr>
                <w:rFonts w:hint="eastAsia" w:ascii="Times New Roman" w:hAnsi="Times New Roman" w:eastAsia="宋体" w:cs="Times New Roman"/>
                <w:snapToGrid/>
                <w:color w:val="auto"/>
                <w:spacing w:val="0"/>
                <w:kern w:val="0"/>
                <w:position w:val="0"/>
                <w:sz w:val="24"/>
                <w:szCs w:val="24"/>
                <w:lang w:val="en-US" w:eastAsia="zh-CN"/>
              </w:rPr>
              <w:t>/</w:t>
            </w:r>
          </w:p>
        </w:tc>
        <w:tc>
          <w:tcPr>
            <w:tcW w:w="1725" w:type="dxa"/>
            <w:noWrap w:val="0"/>
            <w:vAlign w:val="center"/>
          </w:tcPr>
          <w:p w14:paraId="28CA372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lang w:val="en-US" w:eastAsia="zh-CN" w:bidi="ar-SA"/>
              </w:rPr>
            </w:pPr>
            <w:r>
              <w:rPr>
                <w:rFonts w:hint="eastAsia" w:ascii="Times New Roman" w:hAnsi="Times New Roman" w:eastAsia="宋体" w:cs="Times New Roman"/>
                <w:snapToGrid/>
                <w:color w:val="auto"/>
                <w:spacing w:val="0"/>
                <w:kern w:val="0"/>
                <w:position w:val="0"/>
                <w:sz w:val="24"/>
                <w:szCs w:val="24"/>
                <w:lang w:val="en-US" w:eastAsia="zh-CN"/>
              </w:rPr>
              <w:t>/</w:t>
            </w:r>
          </w:p>
        </w:tc>
        <w:tc>
          <w:tcPr>
            <w:tcW w:w="1530" w:type="dxa"/>
            <w:shd w:val="clear" w:color="auto" w:fill="auto"/>
            <w:noWrap w:val="0"/>
            <w:vAlign w:val="center"/>
          </w:tcPr>
          <w:p w14:paraId="2DE181A5">
            <w:pPr>
              <w:pStyle w:val="38"/>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cs="Times New Roman"/>
                <w:color w:val="auto"/>
                <w:kern w:val="2"/>
                <w:sz w:val="24"/>
                <w:szCs w:val="24"/>
                <w:highlight w:val="none"/>
                <w:lang w:val="en-US" w:eastAsia="zh-CN"/>
              </w:rPr>
              <w:t>0.0293</w:t>
            </w:r>
            <w:r>
              <w:rPr>
                <w:rFonts w:hint="eastAsia" w:ascii="Times New Roman" w:hAnsi="Times New Roman" w:cs="Times New Roman"/>
                <w:color w:val="auto"/>
                <w:sz w:val="24"/>
                <w:szCs w:val="24"/>
                <w:highlight w:val="none"/>
                <w:lang w:val="en-US" w:eastAsia="zh-CN"/>
              </w:rPr>
              <w:t>t/a</w:t>
            </w:r>
          </w:p>
        </w:tc>
        <w:tc>
          <w:tcPr>
            <w:tcW w:w="1520" w:type="dxa"/>
            <w:shd w:val="clear" w:color="auto" w:fill="auto"/>
            <w:noWrap w:val="0"/>
            <w:vAlign w:val="center"/>
          </w:tcPr>
          <w:p w14:paraId="58A9EF9F">
            <w:pPr>
              <w:pStyle w:val="38"/>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cs="Times New Roman"/>
                <w:color w:val="auto"/>
                <w:kern w:val="0"/>
                <w:sz w:val="24"/>
                <w:szCs w:val="24"/>
                <w:highlight w:val="none"/>
                <w:lang w:val="en-US" w:eastAsia="zh-CN" w:bidi="ar-SA"/>
              </w:rPr>
              <w:t>0.0103</w:t>
            </w:r>
            <w:r>
              <w:rPr>
                <w:rFonts w:hint="eastAsia" w:ascii="Times New Roman" w:hAnsi="Times New Roman" w:cs="Times New Roman"/>
                <w:color w:val="auto"/>
                <w:sz w:val="24"/>
                <w:szCs w:val="24"/>
                <w:highlight w:val="none"/>
                <w:lang w:val="en-US" w:eastAsia="zh-CN"/>
              </w:rPr>
              <w:t>t/a</w:t>
            </w:r>
          </w:p>
        </w:tc>
        <w:tc>
          <w:tcPr>
            <w:tcW w:w="1752" w:type="dxa"/>
            <w:shd w:val="clear" w:color="auto" w:fill="auto"/>
            <w:noWrap w:val="0"/>
            <w:vAlign w:val="center"/>
          </w:tcPr>
          <w:p w14:paraId="72513FFE">
            <w:pPr>
              <w:pStyle w:val="38"/>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cs="Times New Roman"/>
                <w:color w:val="auto"/>
                <w:sz w:val="24"/>
                <w:szCs w:val="24"/>
                <w:highlight w:val="none"/>
                <w:lang w:val="en-US" w:eastAsia="zh-CN"/>
              </w:rPr>
              <w:t>0.06</w:t>
            </w:r>
            <w:r>
              <w:rPr>
                <w:rFonts w:hint="eastAsia" w:ascii="Times New Roman" w:hAnsi="Times New Roman" w:cs="Times New Roman"/>
                <w:color w:val="auto"/>
                <w:sz w:val="24"/>
                <w:szCs w:val="24"/>
                <w:highlight w:val="none"/>
                <w:lang w:val="en-US" w:eastAsia="zh-CN"/>
              </w:rPr>
              <w:t>t/a</w:t>
            </w:r>
          </w:p>
        </w:tc>
        <w:tc>
          <w:tcPr>
            <w:tcW w:w="1387" w:type="dxa"/>
            <w:shd w:val="clear" w:color="auto" w:fill="auto"/>
            <w:noWrap w:val="0"/>
            <w:vAlign w:val="center"/>
          </w:tcPr>
          <w:p w14:paraId="0A4953A5">
            <w:pPr>
              <w:pStyle w:val="38"/>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cs="Times New Roman"/>
                <w:color w:val="auto"/>
                <w:sz w:val="24"/>
                <w:szCs w:val="24"/>
                <w:highlight w:val="none"/>
                <w:lang w:val="en-US" w:eastAsia="zh-CN"/>
              </w:rPr>
              <w:t>+0.019</w:t>
            </w:r>
            <w:r>
              <w:rPr>
                <w:rFonts w:hint="eastAsia" w:ascii="Times New Roman" w:hAnsi="Times New Roman" w:cs="Times New Roman"/>
                <w:color w:val="auto"/>
                <w:sz w:val="24"/>
                <w:szCs w:val="24"/>
                <w:highlight w:val="none"/>
                <w:lang w:val="en-US" w:eastAsia="zh-CN"/>
              </w:rPr>
              <w:t>t/a</w:t>
            </w:r>
          </w:p>
        </w:tc>
      </w:tr>
      <w:tr w14:paraId="575CA7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88" w:type="dxa"/>
            <w:vMerge w:val="continue"/>
            <w:noWrap w:val="0"/>
            <w:vAlign w:val="center"/>
          </w:tcPr>
          <w:p w14:paraId="7EA21202">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rPr>
            </w:pPr>
          </w:p>
        </w:tc>
        <w:tc>
          <w:tcPr>
            <w:tcW w:w="1316" w:type="dxa"/>
            <w:shd w:val="clear" w:color="auto" w:fill="auto"/>
            <w:noWrap w:val="0"/>
            <w:vAlign w:val="center"/>
          </w:tcPr>
          <w:p w14:paraId="7A4009B4">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挥发性有机物</w:t>
            </w:r>
          </w:p>
        </w:tc>
        <w:tc>
          <w:tcPr>
            <w:tcW w:w="1695" w:type="dxa"/>
            <w:shd w:val="clear" w:color="auto" w:fill="auto"/>
            <w:noWrap w:val="0"/>
            <w:vAlign w:val="center"/>
          </w:tcPr>
          <w:p w14:paraId="2AFF3D51">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lang w:val="en-US" w:eastAsia="zh-CN"/>
              </w:rPr>
              <w:t>0.</w:t>
            </w:r>
            <w:r>
              <w:rPr>
                <w:rFonts w:hint="eastAsia" w:cs="Times New Roman"/>
                <w:color w:val="auto"/>
                <w:sz w:val="24"/>
                <w:szCs w:val="24"/>
                <w:highlight w:val="none"/>
                <w:lang w:val="en-US" w:eastAsia="zh-CN"/>
              </w:rPr>
              <w:t>132</w:t>
            </w:r>
            <w:r>
              <w:rPr>
                <w:rFonts w:hint="eastAsia" w:ascii="Times New Roman" w:hAnsi="Times New Roman" w:cs="Times New Roman"/>
                <w:color w:val="auto"/>
                <w:sz w:val="24"/>
                <w:szCs w:val="24"/>
                <w:highlight w:val="none"/>
                <w:lang w:val="en-US" w:eastAsia="zh-CN"/>
              </w:rPr>
              <w:t>t/a</w:t>
            </w:r>
          </w:p>
        </w:tc>
        <w:tc>
          <w:tcPr>
            <w:tcW w:w="1275" w:type="dxa"/>
            <w:noWrap w:val="0"/>
            <w:vAlign w:val="center"/>
          </w:tcPr>
          <w:p w14:paraId="5A1239BE">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lang w:val="en-US" w:eastAsia="zh-CN"/>
              </w:rPr>
            </w:pPr>
            <w:r>
              <w:rPr>
                <w:rFonts w:hint="eastAsia" w:ascii="Times New Roman" w:cs="Times New Roman"/>
                <w:snapToGrid/>
                <w:color w:val="auto"/>
                <w:spacing w:val="0"/>
                <w:kern w:val="0"/>
                <w:position w:val="0"/>
                <w:sz w:val="24"/>
                <w:szCs w:val="24"/>
                <w:lang w:val="en-US" w:eastAsia="zh-CN"/>
              </w:rPr>
              <w:t>/</w:t>
            </w:r>
          </w:p>
        </w:tc>
        <w:tc>
          <w:tcPr>
            <w:tcW w:w="1725" w:type="dxa"/>
            <w:noWrap w:val="0"/>
            <w:vAlign w:val="center"/>
          </w:tcPr>
          <w:p w14:paraId="349DF4E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cs="Times New Roman"/>
                <w:snapToGrid/>
                <w:color w:val="auto"/>
                <w:spacing w:val="0"/>
                <w:kern w:val="0"/>
                <w:position w:val="0"/>
                <w:sz w:val="24"/>
                <w:szCs w:val="24"/>
                <w:lang w:val="en-US" w:eastAsia="zh-CN"/>
              </w:rPr>
            </w:pPr>
            <w:r>
              <w:rPr>
                <w:rFonts w:hint="eastAsia" w:ascii="Times New Roman" w:hAnsi="Times New Roman" w:eastAsia="宋体" w:cs="Times New Roman"/>
                <w:snapToGrid/>
                <w:color w:val="auto"/>
                <w:spacing w:val="0"/>
                <w:kern w:val="0"/>
                <w:position w:val="0"/>
                <w:sz w:val="24"/>
                <w:szCs w:val="24"/>
                <w:lang w:val="en-US" w:eastAsia="zh-CN"/>
              </w:rPr>
              <w:t>/</w:t>
            </w:r>
          </w:p>
        </w:tc>
        <w:tc>
          <w:tcPr>
            <w:tcW w:w="1530" w:type="dxa"/>
            <w:shd w:val="clear" w:color="auto" w:fill="auto"/>
            <w:noWrap w:val="0"/>
            <w:vAlign w:val="center"/>
          </w:tcPr>
          <w:p w14:paraId="5994681A">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rPr>
              <w:t>0.0891</w:t>
            </w:r>
            <w:r>
              <w:rPr>
                <w:rFonts w:hint="eastAsia" w:ascii="Times New Roman" w:hAnsi="Times New Roman" w:cs="Times New Roman"/>
                <w:color w:val="auto"/>
                <w:sz w:val="24"/>
                <w:szCs w:val="24"/>
                <w:highlight w:val="none"/>
                <w:lang w:val="en-US" w:eastAsia="zh-CN"/>
              </w:rPr>
              <w:t>t/a</w:t>
            </w:r>
          </w:p>
        </w:tc>
        <w:tc>
          <w:tcPr>
            <w:tcW w:w="1520" w:type="dxa"/>
            <w:shd w:val="clear" w:color="auto" w:fill="auto"/>
            <w:noWrap w:val="0"/>
            <w:vAlign w:val="center"/>
          </w:tcPr>
          <w:p w14:paraId="3A8819A1">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0.0431</w:t>
            </w:r>
            <w:r>
              <w:rPr>
                <w:rFonts w:hint="eastAsia" w:ascii="Times New Roman" w:hAnsi="Times New Roman" w:cs="Times New Roman"/>
                <w:color w:val="auto"/>
                <w:sz w:val="24"/>
                <w:szCs w:val="24"/>
                <w:highlight w:val="none"/>
                <w:lang w:val="en-US" w:eastAsia="zh-CN"/>
              </w:rPr>
              <w:t>t/a</w:t>
            </w:r>
          </w:p>
        </w:tc>
        <w:tc>
          <w:tcPr>
            <w:tcW w:w="1752" w:type="dxa"/>
            <w:shd w:val="clear" w:color="auto" w:fill="auto"/>
            <w:noWrap w:val="0"/>
            <w:vAlign w:val="center"/>
          </w:tcPr>
          <w:p w14:paraId="5CB13E51">
            <w:pPr>
              <w:pStyle w:val="38"/>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cs="Times New Roman"/>
                <w:color w:val="auto"/>
                <w:sz w:val="24"/>
                <w:szCs w:val="24"/>
                <w:highlight w:val="none"/>
                <w:lang w:val="en-US" w:eastAsia="zh-CN"/>
              </w:rPr>
              <w:t>0.178</w:t>
            </w:r>
            <w:r>
              <w:rPr>
                <w:rFonts w:hint="eastAsia" w:ascii="Times New Roman" w:hAnsi="Times New Roman" w:cs="Times New Roman"/>
                <w:color w:val="auto"/>
                <w:sz w:val="24"/>
                <w:szCs w:val="24"/>
                <w:highlight w:val="none"/>
                <w:lang w:val="en-US" w:eastAsia="zh-CN"/>
              </w:rPr>
              <w:t>t/a</w:t>
            </w:r>
          </w:p>
        </w:tc>
        <w:tc>
          <w:tcPr>
            <w:tcW w:w="1387" w:type="dxa"/>
            <w:shd w:val="clear" w:color="auto" w:fill="auto"/>
            <w:noWrap w:val="0"/>
            <w:vAlign w:val="center"/>
          </w:tcPr>
          <w:p w14:paraId="1AD7D723">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+0.046</w:t>
            </w:r>
            <w:r>
              <w:rPr>
                <w:rFonts w:hint="eastAsia" w:ascii="Times New Roman" w:hAnsi="Times New Roman" w:cs="Times New Roman"/>
                <w:color w:val="auto"/>
                <w:sz w:val="24"/>
                <w:szCs w:val="24"/>
                <w:highlight w:val="none"/>
                <w:lang w:val="en-US" w:eastAsia="zh-CN"/>
              </w:rPr>
              <w:t>t/a</w:t>
            </w:r>
          </w:p>
        </w:tc>
      </w:tr>
      <w:tr w14:paraId="70F0FE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vMerge w:val="restart"/>
            <w:noWrap w:val="0"/>
            <w:vAlign w:val="center"/>
          </w:tcPr>
          <w:p w14:paraId="0D9302A7">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t>废水</w:t>
            </w:r>
          </w:p>
        </w:tc>
        <w:tc>
          <w:tcPr>
            <w:tcW w:w="1316" w:type="dxa"/>
            <w:shd w:val="clear" w:color="auto" w:fill="auto"/>
            <w:noWrap w:val="0"/>
            <w:vAlign w:val="center"/>
          </w:tcPr>
          <w:p w14:paraId="2D369161">
            <w:pPr>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COD</w:t>
            </w:r>
          </w:p>
        </w:tc>
        <w:tc>
          <w:tcPr>
            <w:tcW w:w="1695" w:type="dxa"/>
            <w:shd w:val="clear" w:color="auto" w:fill="auto"/>
            <w:noWrap w:val="0"/>
            <w:vAlign w:val="center"/>
          </w:tcPr>
          <w:p w14:paraId="1472C297">
            <w:pPr>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c>
          <w:tcPr>
            <w:tcW w:w="1275" w:type="dxa"/>
            <w:noWrap w:val="0"/>
            <w:vAlign w:val="center"/>
          </w:tcPr>
          <w:p w14:paraId="1E697C3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rPr>
            </w:pPr>
            <w:r>
              <w:rPr>
                <w:rFonts w:hint="eastAsia" w:ascii="Times New Roman" w:cs="Times New Roman"/>
                <w:snapToGrid/>
                <w:color w:val="auto"/>
                <w:spacing w:val="0"/>
                <w:kern w:val="0"/>
                <w:position w:val="0"/>
                <w:sz w:val="24"/>
                <w:szCs w:val="24"/>
                <w:lang w:val="en-US" w:eastAsia="zh-CN"/>
              </w:rPr>
              <w:t>/</w:t>
            </w:r>
          </w:p>
        </w:tc>
        <w:tc>
          <w:tcPr>
            <w:tcW w:w="1725" w:type="dxa"/>
            <w:noWrap w:val="0"/>
            <w:vAlign w:val="center"/>
          </w:tcPr>
          <w:p w14:paraId="56E5500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lang w:val="en-US" w:eastAsia="zh-CN" w:bidi="ar-SA"/>
              </w:rPr>
            </w:pPr>
            <w:r>
              <w:rPr>
                <w:rFonts w:hint="eastAsia" w:ascii="Times New Roman" w:cs="Times New Roman"/>
                <w:snapToGrid/>
                <w:color w:val="auto"/>
                <w:spacing w:val="0"/>
                <w:kern w:val="0"/>
                <w:position w:val="0"/>
                <w:sz w:val="24"/>
                <w:szCs w:val="24"/>
                <w:lang w:val="en-US" w:eastAsia="zh-CN"/>
              </w:rPr>
              <w:t>/</w:t>
            </w:r>
          </w:p>
        </w:tc>
        <w:tc>
          <w:tcPr>
            <w:tcW w:w="1530" w:type="dxa"/>
            <w:shd w:val="clear" w:color="auto" w:fill="auto"/>
            <w:noWrap w:val="0"/>
            <w:vAlign w:val="center"/>
          </w:tcPr>
          <w:p w14:paraId="601D6AE4">
            <w:pPr>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c>
          <w:tcPr>
            <w:tcW w:w="1520" w:type="dxa"/>
            <w:shd w:val="clear" w:color="auto" w:fill="auto"/>
            <w:noWrap w:val="0"/>
            <w:vAlign w:val="center"/>
          </w:tcPr>
          <w:p w14:paraId="44487872">
            <w:pPr>
              <w:keepNext w:val="0"/>
              <w:keepLines w:val="0"/>
              <w:pageBreakBefore w:val="0"/>
              <w:widowControl/>
              <w:kinsoku/>
              <w:wordWrap/>
              <w:overflowPunct/>
              <w:topLinePunct w:val="0"/>
              <w:bidi w:val="0"/>
              <w:adjustRightInd w:val="0"/>
              <w:snapToGrid w:val="0"/>
              <w:spacing w:line="240" w:lineRule="auto"/>
              <w:ind w:left="0" w:leftChars="0" w:firstLine="0" w:firstLineChars="0"/>
              <w:jc w:val="center"/>
              <w:textAlignment w:val="center"/>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c>
          <w:tcPr>
            <w:tcW w:w="1752" w:type="dxa"/>
            <w:shd w:val="clear" w:color="auto" w:fill="auto"/>
            <w:noWrap w:val="0"/>
            <w:vAlign w:val="center"/>
          </w:tcPr>
          <w:p w14:paraId="5723272D">
            <w:pPr>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c>
          <w:tcPr>
            <w:tcW w:w="1387" w:type="dxa"/>
            <w:shd w:val="clear" w:color="auto" w:fill="auto"/>
            <w:noWrap w:val="0"/>
            <w:vAlign w:val="center"/>
          </w:tcPr>
          <w:p w14:paraId="6BEE16C6">
            <w:pPr>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r>
      <w:tr w14:paraId="0891BE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8" w:type="dxa"/>
            <w:vMerge w:val="continue"/>
            <w:noWrap w:val="0"/>
            <w:vAlign w:val="center"/>
          </w:tcPr>
          <w:p w14:paraId="2525041F">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rPr>
            </w:pPr>
          </w:p>
        </w:tc>
        <w:tc>
          <w:tcPr>
            <w:tcW w:w="1316" w:type="dxa"/>
            <w:shd w:val="clear" w:color="auto" w:fill="auto"/>
            <w:noWrap w:val="0"/>
            <w:vAlign w:val="center"/>
          </w:tcPr>
          <w:p w14:paraId="5A410352">
            <w:pPr>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NH</w:t>
            </w:r>
            <w:r>
              <w:rPr>
                <w:rFonts w:hint="default" w:ascii="Times New Roman" w:hAnsi="Times New Roman" w:eastAsia="宋体" w:cs="Times New Roman"/>
                <w:color w:val="auto"/>
                <w:kern w:val="0"/>
                <w:sz w:val="24"/>
                <w:szCs w:val="24"/>
                <w:highlight w:val="none"/>
                <w:vertAlign w:val="subscript"/>
              </w:rPr>
              <w:t>3</w:t>
            </w:r>
            <w:r>
              <w:rPr>
                <w:rFonts w:hint="default" w:ascii="Times New Roman" w:hAnsi="Times New Roman" w:eastAsia="宋体" w:cs="Times New Roman"/>
                <w:color w:val="auto"/>
                <w:kern w:val="0"/>
                <w:sz w:val="24"/>
                <w:szCs w:val="24"/>
                <w:highlight w:val="none"/>
              </w:rPr>
              <w:t>-N</w:t>
            </w:r>
          </w:p>
        </w:tc>
        <w:tc>
          <w:tcPr>
            <w:tcW w:w="1695" w:type="dxa"/>
            <w:shd w:val="clear" w:color="auto" w:fill="auto"/>
            <w:noWrap w:val="0"/>
            <w:vAlign w:val="center"/>
          </w:tcPr>
          <w:p w14:paraId="6A9AD65F">
            <w:pPr>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c>
          <w:tcPr>
            <w:tcW w:w="1275" w:type="dxa"/>
            <w:noWrap w:val="0"/>
            <w:vAlign w:val="center"/>
          </w:tcPr>
          <w:p w14:paraId="4B4B642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rPr>
            </w:pPr>
            <w:r>
              <w:rPr>
                <w:rFonts w:hint="eastAsia" w:ascii="Times New Roman" w:cs="Times New Roman"/>
                <w:snapToGrid/>
                <w:color w:val="auto"/>
                <w:spacing w:val="0"/>
                <w:kern w:val="0"/>
                <w:position w:val="0"/>
                <w:sz w:val="24"/>
                <w:szCs w:val="24"/>
                <w:lang w:val="en-US" w:eastAsia="zh-CN"/>
              </w:rPr>
              <w:t>/</w:t>
            </w:r>
          </w:p>
        </w:tc>
        <w:tc>
          <w:tcPr>
            <w:tcW w:w="1725" w:type="dxa"/>
            <w:noWrap w:val="0"/>
            <w:vAlign w:val="center"/>
          </w:tcPr>
          <w:p w14:paraId="22360DB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lang w:val="en-US" w:eastAsia="zh-CN" w:bidi="ar-SA"/>
              </w:rPr>
            </w:pPr>
            <w:r>
              <w:rPr>
                <w:rFonts w:hint="eastAsia" w:ascii="Times New Roman" w:cs="Times New Roman"/>
                <w:snapToGrid/>
                <w:color w:val="auto"/>
                <w:spacing w:val="0"/>
                <w:kern w:val="0"/>
                <w:position w:val="0"/>
                <w:sz w:val="24"/>
                <w:szCs w:val="24"/>
                <w:lang w:val="en-US" w:eastAsia="zh-CN"/>
              </w:rPr>
              <w:t>/</w:t>
            </w:r>
          </w:p>
        </w:tc>
        <w:tc>
          <w:tcPr>
            <w:tcW w:w="1530" w:type="dxa"/>
            <w:shd w:val="clear" w:color="auto" w:fill="auto"/>
            <w:noWrap w:val="0"/>
            <w:vAlign w:val="center"/>
          </w:tcPr>
          <w:p w14:paraId="078BCAED">
            <w:pPr>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c>
          <w:tcPr>
            <w:tcW w:w="1520" w:type="dxa"/>
            <w:shd w:val="clear" w:color="auto" w:fill="auto"/>
            <w:noWrap w:val="0"/>
            <w:vAlign w:val="center"/>
          </w:tcPr>
          <w:p w14:paraId="4E1F5622">
            <w:pPr>
              <w:keepNext w:val="0"/>
              <w:keepLines w:val="0"/>
              <w:pageBreakBefore w:val="0"/>
              <w:widowControl/>
              <w:kinsoku/>
              <w:wordWrap/>
              <w:overflowPunct/>
              <w:topLinePunct w:val="0"/>
              <w:bidi w:val="0"/>
              <w:adjustRightInd w:val="0"/>
              <w:snapToGrid w:val="0"/>
              <w:spacing w:line="240" w:lineRule="auto"/>
              <w:ind w:left="0" w:leftChars="0" w:firstLine="0" w:firstLineChars="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c>
          <w:tcPr>
            <w:tcW w:w="1752" w:type="dxa"/>
            <w:shd w:val="clear" w:color="auto" w:fill="auto"/>
            <w:noWrap w:val="0"/>
            <w:vAlign w:val="center"/>
          </w:tcPr>
          <w:p w14:paraId="20D8C457">
            <w:pPr>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c>
          <w:tcPr>
            <w:tcW w:w="1387" w:type="dxa"/>
            <w:shd w:val="clear" w:color="auto" w:fill="auto"/>
            <w:noWrap w:val="0"/>
            <w:vAlign w:val="center"/>
          </w:tcPr>
          <w:p w14:paraId="0C047D83">
            <w:pPr>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r>
      <w:tr w14:paraId="6D7E2E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88" w:type="dxa"/>
            <w:vMerge w:val="restart"/>
            <w:noWrap w:val="0"/>
            <w:vAlign w:val="center"/>
          </w:tcPr>
          <w:p w14:paraId="43B557DF">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t>一般工业</w:t>
            </w:r>
          </w:p>
          <w:p w14:paraId="5F0CFCC7">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t>固体废物</w:t>
            </w:r>
          </w:p>
        </w:tc>
        <w:tc>
          <w:tcPr>
            <w:tcW w:w="1316" w:type="dxa"/>
            <w:shd w:val="clear" w:color="auto" w:fill="auto"/>
            <w:noWrap w:val="0"/>
            <w:vAlign w:val="center"/>
          </w:tcPr>
          <w:p w14:paraId="442CBA0F">
            <w:pPr>
              <w:keepNext w:val="0"/>
              <w:keepLines w:val="0"/>
              <w:pageBreakBefore w:val="0"/>
              <w:widowControl/>
              <w:suppressLineNumbers w:val="0"/>
              <w:kinsoku/>
              <w:wordWrap/>
              <w:overflowPunct/>
              <w:autoSpaceDE/>
              <w:autoSpaceDN/>
              <w:bidi w:val="0"/>
              <w:jc w:val="center"/>
              <w:textAlignment w:val="auto"/>
              <w:rPr>
                <w:rFonts w:hint="default" w:ascii="Times New Roman" w:hAnsi="Times New Roman" w:eastAsia="宋体" w:cs="Times New Roman"/>
                <w:b w:val="0"/>
                <w:bCs w:val="0"/>
                <w:color w:val="auto"/>
                <w:kern w:val="2"/>
                <w:sz w:val="24"/>
                <w:szCs w:val="24"/>
                <w:highlight w:val="none"/>
                <w:vertAlign w:val="baseline"/>
                <w:lang w:val="en-US" w:eastAsia="zh-CN" w:bidi="ar-SA"/>
              </w:rPr>
            </w:pPr>
            <w:r>
              <w:rPr>
                <w:rFonts w:hint="default" w:ascii="Times New Roman" w:hAnsi="Times New Roman" w:eastAsia="宋体" w:cs="Times New Roman"/>
                <w:b w:val="0"/>
                <w:bCs w:val="0"/>
                <w:color w:val="auto"/>
                <w:sz w:val="24"/>
                <w:szCs w:val="24"/>
                <w:highlight w:val="none"/>
                <w:vertAlign w:val="baseline"/>
                <w:lang w:val="en-US" w:eastAsia="zh-CN"/>
              </w:rPr>
              <w:t>生活垃圾</w:t>
            </w:r>
          </w:p>
        </w:tc>
        <w:tc>
          <w:tcPr>
            <w:tcW w:w="1695" w:type="dxa"/>
            <w:shd w:val="clear" w:color="auto" w:fill="auto"/>
            <w:noWrap w:val="0"/>
            <w:vAlign w:val="center"/>
          </w:tcPr>
          <w:p w14:paraId="34322313">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4"/>
                <w:szCs w:val="24"/>
                <w:highlight w:val="none"/>
                <w:lang w:val="en-US" w:eastAsia="zh-CN" w:bidi="en-US"/>
              </w:rPr>
            </w:pPr>
            <w:r>
              <w:rPr>
                <w:rFonts w:hint="eastAsia" w:ascii="Times New Roman" w:hAnsi="Times New Roman" w:cs="Times New Roman"/>
                <w:b w:val="0"/>
                <w:bCs/>
                <w:color w:val="auto"/>
                <w:kern w:val="2"/>
                <w:sz w:val="24"/>
                <w:szCs w:val="24"/>
                <w:vertAlign w:val="baseline"/>
                <w:lang w:val="en-US" w:eastAsia="zh-CN" w:bidi="ar-SA"/>
              </w:rPr>
              <w:t>12.75</w:t>
            </w:r>
            <w:r>
              <w:rPr>
                <w:rFonts w:hint="eastAsia" w:ascii="Times New Roman" w:hAnsi="Times New Roman" w:cs="Times New Roman"/>
                <w:color w:val="auto"/>
                <w:sz w:val="24"/>
                <w:szCs w:val="24"/>
                <w:highlight w:val="none"/>
                <w:lang w:val="en-US" w:eastAsia="zh-CN"/>
              </w:rPr>
              <w:t>t/a</w:t>
            </w:r>
          </w:p>
        </w:tc>
        <w:tc>
          <w:tcPr>
            <w:tcW w:w="1275" w:type="dxa"/>
            <w:noWrap w:val="0"/>
            <w:vAlign w:val="center"/>
          </w:tcPr>
          <w:p w14:paraId="5CD6424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rPr>
            </w:pPr>
            <w:r>
              <w:rPr>
                <w:rFonts w:hint="eastAsia" w:ascii="Times New Roman" w:hAnsi="Times New Roman" w:eastAsia="宋体" w:cs="Times New Roman"/>
                <w:snapToGrid/>
                <w:color w:val="auto"/>
                <w:spacing w:val="0"/>
                <w:kern w:val="0"/>
                <w:position w:val="0"/>
                <w:sz w:val="24"/>
                <w:szCs w:val="24"/>
                <w:lang w:val="en-US" w:eastAsia="zh-CN"/>
              </w:rPr>
              <w:t>/</w:t>
            </w:r>
          </w:p>
        </w:tc>
        <w:tc>
          <w:tcPr>
            <w:tcW w:w="1725" w:type="dxa"/>
            <w:noWrap w:val="0"/>
            <w:vAlign w:val="center"/>
          </w:tcPr>
          <w:p w14:paraId="01FA36E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lang w:val="en-US" w:eastAsia="zh-CN" w:bidi="ar-SA"/>
              </w:rPr>
            </w:pPr>
            <w:r>
              <w:rPr>
                <w:rFonts w:hint="eastAsia" w:ascii="Times New Roman" w:hAnsi="Times New Roman" w:eastAsia="宋体" w:cs="Times New Roman"/>
                <w:snapToGrid/>
                <w:color w:val="auto"/>
                <w:spacing w:val="0"/>
                <w:kern w:val="0"/>
                <w:position w:val="0"/>
                <w:sz w:val="24"/>
                <w:szCs w:val="24"/>
                <w:lang w:val="en-US" w:eastAsia="zh-CN"/>
              </w:rPr>
              <w:t>/</w:t>
            </w:r>
          </w:p>
        </w:tc>
        <w:tc>
          <w:tcPr>
            <w:tcW w:w="1530" w:type="dxa"/>
            <w:shd w:val="clear" w:color="auto" w:fill="auto"/>
            <w:noWrap w:val="0"/>
            <w:vAlign w:val="center"/>
          </w:tcPr>
          <w:p w14:paraId="014F2AF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snapToGrid/>
                <w:color w:val="auto"/>
                <w:spacing w:val="0"/>
                <w:kern w:val="0"/>
                <w:position w:val="0"/>
                <w:sz w:val="24"/>
                <w:szCs w:val="24"/>
                <w:vertAlign w:val="baseline"/>
                <w:lang w:val="en-US" w:eastAsia="zh-CN" w:bidi="ar-SA"/>
              </w:rPr>
            </w:pPr>
            <w:r>
              <w:rPr>
                <w:rFonts w:hint="eastAsia" w:cs="Times New Roman"/>
                <w:snapToGrid/>
                <w:color w:val="auto"/>
                <w:spacing w:val="0"/>
                <w:kern w:val="0"/>
                <w:position w:val="0"/>
                <w:sz w:val="24"/>
                <w:szCs w:val="24"/>
                <w:lang w:val="en-US" w:eastAsia="zh-CN"/>
              </w:rPr>
              <w:t>4.5</w:t>
            </w:r>
            <w:r>
              <w:rPr>
                <w:rFonts w:hint="eastAsia" w:ascii="Times New Roman" w:hAnsi="Times New Roman" w:cs="Times New Roman"/>
                <w:color w:val="auto"/>
                <w:sz w:val="24"/>
                <w:szCs w:val="24"/>
                <w:highlight w:val="none"/>
                <w:lang w:val="en-US" w:eastAsia="zh-CN"/>
              </w:rPr>
              <w:t>t/a</w:t>
            </w:r>
          </w:p>
        </w:tc>
        <w:tc>
          <w:tcPr>
            <w:tcW w:w="1520" w:type="dxa"/>
            <w:shd w:val="clear" w:color="auto" w:fill="auto"/>
            <w:noWrap w:val="0"/>
            <w:vAlign w:val="center"/>
          </w:tcPr>
          <w:p w14:paraId="16AC3D29">
            <w:pPr>
              <w:keepNext w:val="0"/>
              <w:keepLines w:val="0"/>
              <w:pageBreakBefore w:val="0"/>
              <w:kinsoku/>
              <w:wordWrap/>
              <w:overflowPunct/>
              <w:topLinePunct w:val="0"/>
              <w:bidi w:val="0"/>
              <w:spacing w:beforeLines="0" w:afterLines="0" w:line="240" w:lineRule="auto"/>
              <w:ind w:left="0" w:leftChars="0" w:firstLine="0" w:firstLineChars="0"/>
              <w:jc w:val="center"/>
              <w:rPr>
                <w:rFonts w:hint="eastAsia" w:ascii="Times New Roman" w:hAnsi="Times New Roman" w:eastAsia="宋体" w:cs="Times New Roman"/>
                <w:snapToGrid w:val="0"/>
                <w:color w:val="auto"/>
                <w:kern w:val="21"/>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0</w:t>
            </w:r>
          </w:p>
        </w:tc>
        <w:tc>
          <w:tcPr>
            <w:tcW w:w="1752" w:type="dxa"/>
            <w:shd w:val="clear" w:color="auto" w:fill="auto"/>
            <w:noWrap w:val="0"/>
            <w:vAlign w:val="center"/>
          </w:tcPr>
          <w:p w14:paraId="72048A9D">
            <w:pPr>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Times New Roman"/>
                <w:snapToGrid w:val="0"/>
                <w:color w:val="auto"/>
                <w:kern w:val="21"/>
                <w:sz w:val="24"/>
                <w:szCs w:val="24"/>
                <w:highlight w:val="none"/>
                <w:lang w:val="en-US" w:eastAsia="zh-CN" w:bidi="ar-SA"/>
              </w:rPr>
            </w:pPr>
            <w:r>
              <w:rPr>
                <w:rFonts w:hint="eastAsia" w:cs="Times New Roman"/>
                <w:snapToGrid w:val="0"/>
                <w:color w:val="auto"/>
                <w:kern w:val="21"/>
                <w:sz w:val="24"/>
                <w:szCs w:val="24"/>
                <w:highlight w:val="none"/>
                <w:lang w:val="en-US" w:eastAsia="zh-CN"/>
              </w:rPr>
              <w:t>17.25</w:t>
            </w:r>
            <w:r>
              <w:rPr>
                <w:rFonts w:hint="eastAsia" w:ascii="Times New Roman" w:hAnsi="Times New Roman" w:cs="Times New Roman"/>
                <w:color w:val="auto"/>
                <w:sz w:val="24"/>
                <w:szCs w:val="24"/>
                <w:highlight w:val="none"/>
                <w:lang w:val="en-US" w:eastAsia="zh-CN"/>
              </w:rPr>
              <w:t>t/a</w:t>
            </w:r>
          </w:p>
        </w:tc>
        <w:tc>
          <w:tcPr>
            <w:tcW w:w="1387" w:type="dxa"/>
            <w:shd w:val="clear" w:color="auto" w:fill="auto"/>
            <w:noWrap w:val="0"/>
            <w:vAlign w:val="center"/>
          </w:tcPr>
          <w:p w14:paraId="2E4AC0DA">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snapToGrid/>
                <w:color w:val="auto"/>
                <w:spacing w:val="0"/>
                <w:kern w:val="0"/>
                <w:position w:val="0"/>
                <w:sz w:val="24"/>
                <w:szCs w:val="24"/>
                <w:highlight w:val="none"/>
                <w:vertAlign w:val="baseline"/>
                <w:lang w:val="en-US" w:eastAsia="zh-CN" w:bidi="ar-SA"/>
              </w:rPr>
            </w:pPr>
            <w:r>
              <w:rPr>
                <w:rFonts w:hint="eastAsia" w:ascii="Times New Roman" w:hAnsi="Times New Roman" w:eastAsia="宋体" w:cs="Times New Roman"/>
                <w:b w:val="0"/>
                <w:bCs w:val="0"/>
                <w:snapToGrid/>
                <w:color w:val="auto"/>
                <w:spacing w:val="0"/>
                <w:kern w:val="0"/>
                <w:position w:val="0"/>
                <w:sz w:val="24"/>
                <w:szCs w:val="24"/>
                <w:highlight w:val="none"/>
                <w:vertAlign w:val="baseline"/>
                <w:lang w:val="en-US" w:eastAsia="zh-CN" w:bidi="ar-SA"/>
              </w:rPr>
              <w:t>+4.5</w:t>
            </w:r>
            <w:r>
              <w:rPr>
                <w:rFonts w:hint="eastAsia" w:ascii="Times New Roman" w:hAnsi="Times New Roman" w:cs="Times New Roman"/>
                <w:color w:val="auto"/>
                <w:sz w:val="24"/>
                <w:szCs w:val="24"/>
                <w:highlight w:val="none"/>
                <w:lang w:val="en-US" w:eastAsia="zh-CN"/>
              </w:rPr>
              <w:t>t/a</w:t>
            </w:r>
          </w:p>
        </w:tc>
      </w:tr>
      <w:tr w14:paraId="62BE1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88" w:type="dxa"/>
            <w:vMerge w:val="continue"/>
            <w:noWrap w:val="0"/>
            <w:vAlign w:val="center"/>
          </w:tcPr>
          <w:p w14:paraId="3B6FA26B">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rPr>
            </w:pPr>
          </w:p>
        </w:tc>
        <w:tc>
          <w:tcPr>
            <w:tcW w:w="1316" w:type="dxa"/>
            <w:shd w:val="clear" w:color="auto" w:fill="auto"/>
            <w:noWrap w:val="0"/>
            <w:vAlign w:val="center"/>
          </w:tcPr>
          <w:p w14:paraId="0384CA16">
            <w:pPr>
              <w:keepNext w:val="0"/>
              <w:keepLines w:val="0"/>
              <w:pageBreakBefore w:val="0"/>
              <w:widowControl/>
              <w:suppressLineNumbers w:val="0"/>
              <w:kinsoku/>
              <w:wordWrap/>
              <w:overflowPunct/>
              <w:autoSpaceDE/>
              <w:autoSpaceDN/>
              <w:bidi w:val="0"/>
              <w:jc w:val="center"/>
              <w:textAlignment w:val="auto"/>
              <w:rPr>
                <w:rFonts w:hint="default" w:ascii="Times New Roman" w:hAnsi="Times New Roman" w:eastAsia="宋体" w:cs="Times New Roman"/>
                <w:b w:val="0"/>
                <w:bCs w:val="0"/>
                <w:color w:val="auto"/>
                <w:kern w:val="2"/>
                <w:sz w:val="24"/>
                <w:szCs w:val="24"/>
                <w:highlight w:val="none"/>
                <w:vertAlign w:val="baseline"/>
                <w:lang w:val="en-US" w:eastAsia="zh-CN" w:bidi="ar-SA"/>
              </w:rPr>
            </w:pPr>
            <w:r>
              <w:rPr>
                <w:rFonts w:hint="eastAsia" w:cs="Times New Roman"/>
                <w:b w:val="0"/>
                <w:bCs w:val="0"/>
                <w:color w:val="auto"/>
                <w:sz w:val="24"/>
                <w:szCs w:val="24"/>
                <w:highlight w:val="none"/>
                <w:vertAlign w:val="baseline"/>
                <w:lang w:val="en-US" w:eastAsia="zh-CN"/>
              </w:rPr>
              <w:t>废包装袋</w:t>
            </w:r>
          </w:p>
        </w:tc>
        <w:tc>
          <w:tcPr>
            <w:tcW w:w="1695" w:type="dxa"/>
            <w:shd w:val="clear" w:color="auto" w:fill="auto"/>
            <w:noWrap w:val="0"/>
            <w:vAlign w:val="center"/>
          </w:tcPr>
          <w:p w14:paraId="0F693CA0">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2"/>
                <w:sz w:val="24"/>
                <w:szCs w:val="24"/>
                <w:vertAlign w:val="baseline"/>
                <w:lang w:val="en-US" w:eastAsia="zh-CN" w:bidi="ar-SA"/>
              </w:rPr>
            </w:pPr>
            <w:r>
              <w:rPr>
                <w:rFonts w:hint="eastAsia" w:ascii="Times New Roman" w:hAnsi="Times New Roman" w:cs="Times New Roman"/>
                <w:b w:val="0"/>
                <w:bCs/>
                <w:color w:val="auto"/>
                <w:kern w:val="2"/>
                <w:sz w:val="24"/>
                <w:szCs w:val="24"/>
                <w:vertAlign w:val="baseline"/>
                <w:lang w:val="en-US" w:eastAsia="zh-CN" w:bidi="ar-SA"/>
              </w:rPr>
              <w:t>0.02</w:t>
            </w:r>
            <w:r>
              <w:rPr>
                <w:rFonts w:hint="eastAsia" w:ascii="Times New Roman" w:hAnsi="Times New Roman" w:cs="Times New Roman"/>
                <w:color w:val="auto"/>
                <w:sz w:val="24"/>
                <w:szCs w:val="24"/>
                <w:highlight w:val="none"/>
                <w:lang w:val="en-US" w:eastAsia="zh-CN"/>
              </w:rPr>
              <w:t>t/a</w:t>
            </w:r>
          </w:p>
        </w:tc>
        <w:tc>
          <w:tcPr>
            <w:tcW w:w="1275" w:type="dxa"/>
            <w:noWrap w:val="0"/>
            <w:vAlign w:val="center"/>
          </w:tcPr>
          <w:p w14:paraId="0FE7680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snapToGrid/>
                <w:color w:val="auto"/>
                <w:spacing w:val="0"/>
                <w:kern w:val="0"/>
                <w:position w:val="0"/>
                <w:sz w:val="24"/>
                <w:szCs w:val="24"/>
                <w:lang w:val="en-US" w:eastAsia="zh-CN" w:bidi="ar-SA"/>
              </w:rPr>
            </w:pPr>
            <w:r>
              <w:rPr>
                <w:rFonts w:hint="eastAsia" w:ascii="Times New Roman" w:hAnsi="Times New Roman" w:eastAsia="宋体" w:cs="Times New Roman"/>
                <w:snapToGrid/>
                <w:color w:val="auto"/>
                <w:spacing w:val="0"/>
                <w:kern w:val="0"/>
                <w:position w:val="0"/>
                <w:sz w:val="24"/>
                <w:szCs w:val="24"/>
                <w:lang w:val="en-US" w:eastAsia="zh-CN"/>
              </w:rPr>
              <w:t>/</w:t>
            </w:r>
          </w:p>
        </w:tc>
        <w:tc>
          <w:tcPr>
            <w:tcW w:w="1725" w:type="dxa"/>
            <w:noWrap w:val="0"/>
            <w:vAlign w:val="center"/>
          </w:tcPr>
          <w:p w14:paraId="6D9F082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lang w:val="en-US" w:eastAsia="zh-CN" w:bidi="ar-SA"/>
              </w:rPr>
            </w:pPr>
            <w:r>
              <w:rPr>
                <w:rFonts w:hint="eastAsia" w:ascii="Times New Roman" w:hAnsi="Times New Roman" w:eastAsia="宋体" w:cs="Times New Roman"/>
                <w:snapToGrid/>
                <w:color w:val="auto"/>
                <w:spacing w:val="0"/>
                <w:kern w:val="0"/>
                <w:position w:val="0"/>
                <w:sz w:val="24"/>
                <w:szCs w:val="24"/>
                <w:lang w:val="en-US" w:eastAsia="zh-CN"/>
              </w:rPr>
              <w:t>/</w:t>
            </w:r>
          </w:p>
        </w:tc>
        <w:tc>
          <w:tcPr>
            <w:tcW w:w="1530" w:type="dxa"/>
            <w:shd w:val="clear" w:color="auto" w:fill="auto"/>
            <w:noWrap w:val="0"/>
            <w:vAlign w:val="center"/>
          </w:tcPr>
          <w:p w14:paraId="39B933C9">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snapToGrid/>
                <w:color w:val="auto"/>
                <w:spacing w:val="0"/>
                <w:kern w:val="0"/>
                <w:position w:val="0"/>
                <w:sz w:val="24"/>
                <w:szCs w:val="24"/>
                <w:lang w:val="en-US" w:eastAsia="zh-CN" w:bidi="ar-SA"/>
              </w:rPr>
            </w:pPr>
            <w:r>
              <w:rPr>
                <w:rFonts w:hint="eastAsia" w:cs="Times New Roman"/>
                <w:snapToGrid/>
                <w:color w:val="auto"/>
                <w:spacing w:val="0"/>
                <w:kern w:val="0"/>
                <w:position w:val="0"/>
                <w:sz w:val="24"/>
                <w:szCs w:val="24"/>
                <w:lang w:val="en-US" w:eastAsia="zh-CN"/>
              </w:rPr>
              <w:t>0.02</w:t>
            </w:r>
            <w:r>
              <w:rPr>
                <w:rFonts w:hint="eastAsia" w:ascii="Times New Roman" w:hAnsi="Times New Roman" w:cs="Times New Roman"/>
                <w:color w:val="auto"/>
                <w:sz w:val="24"/>
                <w:szCs w:val="24"/>
                <w:highlight w:val="none"/>
                <w:lang w:val="en-US" w:eastAsia="zh-CN"/>
              </w:rPr>
              <w:t>t/a</w:t>
            </w:r>
          </w:p>
        </w:tc>
        <w:tc>
          <w:tcPr>
            <w:tcW w:w="1520" w:type="dxa"/>
            <w:shd w:val="clear" w:color="auto" w:fill="auto"/>
            <w:noWrap w:val="0"/>
            <w:vAlign w:val="center"/>
          </w:tcPr>
          <w:p w14:paraId="6DA794D0">
            <w:pPr>
              <w:keepNext w:val="0"/>
              <w:keepLines w:val="0"/>
              <w:pageBreakBefore w:val="0"/>
              <w:kinsoku/>
              <w:wordWrap/>
              <w:overflowPunct/>
              <w:topLinePunct w:val="0"/>
              <w:bidi w:val="0"/>
              <w:spacing w:beforeLines="0" w:afterLines="0" w:line="240" w:lineRule="auto"/>
              <w:ind w:left="0" w:leftChars="0" w:firstLine="0" w:firstLineChars="0"/>
              <w:jc w:val="center"/>
              <w:rPr>
                <w:rFonts w:hint="eastAsia" w:ascii="Times New Roman" w:hAnsi="Times New Roman" w:eastAsia="宋体" w:cs="Times New Roman"/>
                <w:snapToGrid w:val="0"/>
                <w:color w:val="auto"/>
                <w:kern w:val="21"/>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0</w:t>
            </w:r>
          </w:p>
        </w:tc>
        <w:tc>
          <w:tcPr>
            <w:tcW w:w="1752" w:type="dxa"/>
            <w:shd w:val="clear" w:color="auto" w:fill="auto"/>
            <w:noWrap w:val="0"/>
            <w:vAlign w:val="center"/>
          </w:tcPr>
          <w:p w14:paraId="5147AE7A">
            <w:pPr>
              <w:keepNext w:val="0"/>
              <w:keepLines w:val="0"/>
              <w:pageBreakBefore w:val="0"/>
              <w:kinsoku/>
              <w:wordWrap/>
              <w:overflowPunct/>
              <w:topLinePunct w:val="0"/>
              <w:bidi w:val="0"/>
              <w:spacing w:line="240" w:lineRule="auto"/>
              <w:ind w:left="0" w:leftChars="0" w:firstLine="0" w:firstLineChars="0"/>
              <w:jc w:val="center"/>
              <w:rPr>
                <w:rFonts w:hint="eastAsia" w:ascii="Times New Roman" w:hAnsi="Times New Roman" w:eastAsia="宋体" w:cs="Times New Roman"/>
                <w:color w:val="auto"/>
                <w:kern w:val="0"/>
                <w:sz w:val="24"/>
                <w:szCs w:val="24"/>
                <w:highlight w:val="none"/>
                <w:lang w:val="en-US" w:eastAsia="zh-CN" w:bidi="ar-SA"/>
              </w:rPr>
            </w:pPr>
            <w:r>
              <w:rPr>
                <w:rFonts w:hint="eastAsia" w:cs="Times New Roman"/>
                <w:color w:val="auto"/>
                <w:kern w:val="0"/>
                <w:sz w:val="24"/>
                <w:szCs w:val="24"/>
                <w:highlight w:val="none"/>
                <w:lang w:val="en-US" w:eastAsia="zh-CN"/>
              </w:rPr>
              <w:t>0.04</w:t>
            </w:r>
            <w:r>
              <w:rPr>
                <w:rFonts w:hint="eastAsia" w:ascii="Times New Roman" w:hAnsi="Times New Roman" w:cs="Times New Roman"/>
                <w:color w:val="auto"/>
                <w:sz w:val="24"/>
                <w:szCs w:val="24"/>
                <w:highlight w:val="none"/>
                <w:lang w:val="en-US" w:eastAsia="zh-CN"/>
              </w:rPr>
              <w:t>t/a</w:t>
            </w:r>
          </w:p>
        </w:tc>
        <w:tc>
          <w:tcPr>
            <w:tcW w:w="1387" w:type="dxa"/>
            <w:shd w:val="clear" w:color="auto" w:fill="auto"/>
            <w:noWrap w:val="0"/>
            <w:vAlign w:val="center"/>
          </w:tcPr>
          <w:p w14:paraId="02F9B7FA">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highlight w:val="none"/>
                <w:vertAlign w:val="baseline"/>
                <w:lang w:val="en-US" w:eastAsia="zh-CN" w:bidi="ar-SA"/>
              </w:rPr>
            </w:pPr>
            <w:r>
              <w:rPr>
                <w:rFonts w:hint="eastAsia" w:ascii="Times New Roman" w:hAnsi="Times New Roman" w:eastAsia="宋体" w:cs="Times New Roman"/>
                <w:b w:val="0"/>
                <w:bCs w:val="0"/>
                <w:color w:val="auto"/>
                <w:kern w:val="2"/>
                <w:sz w:val="24"/>
                <w:szCs w:val="24"/>
                <w:highlight w:val="none"/>
                <w:vertAlign w:val="baseline"/>
                <w:lang w:val="en-US" w:eastAsia="zh-CN" w:bidi="ar-SA"/>
              </w:rPr>
              <w:t>+</w:t>
            </w:r>
            <w:r>
              <w:rPr>
                <w:rFonts w:hint="eastAsia" w:cs="Times New Roman"/>
                <w:b w:val="0"/>
                <w:bCs w:val="0"/>
                <w:color w:val="auto"/>
                <w:kern w:val="2"/>
                <w:sz w:val="24"/>
                <w:szCs w:val="24"/>
                <w:highlight w:val="none"/>
                <w:vertAlign w:val="baseline"/>
                <w:lang w:val="en-US" w:eastAsia="zh-CN" w:bidi="ar-SA"/>
              </w:rPr>
              <w:t>0.02</w:t>
            </w:r>
            <w:r>
              <w:rPr>
                <w:rFonts w:hint="eastAsia" w:ascii="Times New Roman" w:hAnsi="Times New Roman" w:cs="Times New Roman"/>
                <w:color w:val="auto"/>
                <w:sz w:val="24"/>
                <w:szCs w:val="24"/>
                <w:highlight w:val="none"/>
                <w:lang w:val="en-US" w:eastAsia="zh-CN"/>
              </w:rPr>
              <w:t>t/a</w:t>
            </w:r>
          </w:p>
        </w:tc>
      </w:tr>
      <w:tr w14:paraId="5578A7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88" w:type="dxa"/>
            <w:vMerge w:val="continue"/>
            <w:noWrap w:val="0"/>
            <w:vAlign w:val="center"/>
          </w:tcPr>
          <w:p w14:paraId="4F4421F0">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rPr>
            </w:pPr>
          </w:p>
        </w:tc>
        <w:tc>
          <w:tcPr>
            <w:tcW w:w="1316" w:type="dxa"/>
            <w:shd w:val="clear" w:color="auto" w:fill="auto"/>
            <w:noWrap w:val="0"/>
            <w:vAlign w:val="center"/>
          </w:tcPr>
          <w:p w14:paraId="5088FAA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4"/>
                <w:szCs w:val="24"/>
                <w:lang w:val="en-US" w:eastAsia="zh-CN" w:bidi="ar-SA"/>
              </w:rPr>
            </w:pPr>
            <w:r>
              <w:rPr>
                <w:rFonts w:hint="eastAsia" w:cs="Times New Roman"/>
                <w:b w:val="0"/>
                <w:bCs w:val="0"/>
                <w:color w:val="auto"/>
                <w:sz w:val="24"/>
                <w:szCs w:val="24"/>
                <w:highlight w:val="none"/>
                <w:vertAlign w:val="baseline"/>
                <w:lang w:val="en-US" w:eastAsia="zh-CN"/>
              </w:rPr>
              <w:t>回收粘结剂</w:t>
            </w:r>
          </w:p>
        </w:tc>
        <w:tc>
          <w:tcPr>
            <w:tcW w:w="1695" w:type="dxa"/>
            <w:shd w:val="clear" w:color="auto" w:fill="auto"/>
            <w:noWrap w:val="0"/>
            <w:vAlign w:val="center"/>
          </w:tcPr>
          <w:p w14:paraId="14BBD4D5">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2"/>
                <w:sz w:val="24"/>
                <w:szCs w:val="24"/>
                <w:vertAlign w:val="baseline"/>
                <w:lang w:val="en-US" w:eastAsia="zh-CN" w:bidi="ar-SA"/>
              </w:rPr>
            </w:pPr>
            <w:r>
              <w:rPr>
                <w:rFonts w:hint="eastAsia" w:ascii="Times New Roman" w:hAnsi="Times New Roman" w:cs="Times New Roman"/>
                <w:b w:val="0"/>
                <w:bCs/>
                <w:color w:val="auto"/>
                <w:kern w:val="2"/>
                <w:sz w:val="24"/>
                <w:szCs w:val="24"/>
                <w:vertAlign w:val="baseline"/>
                <w:lang w:val="en-US" w:eastAsia="zh-CN" w:bidi="ar-SA"/>
              </w:rPr>
              <w:t>0.06</w:t>
            </w:r>
            <w:r>
              <w:rPr>
                <w:rFonts w:hint="eastAsia" w:ascii="Times New Roman" w:hAnsi="Times New Roman" w:cs="Times New Roman"/>
                <w:color w:val="auto"/>
                <w:sz w:val="24"/>
                <w:szCs w:val="24"/>
                <w:highlight w:val="none"/>
                <w:lang w:val="en-US" w:eastAsia="zh-CN"/>
              </w:rPr>
              <w:t>t/a</w:t>
            </w:r>
          </w:p>
        </w:tc>
        <w:tc>
          <w:tcPr>
            <w:tcW w:w="1275" w:type="dxa"/>
            <w:noWrap w:val="0"/>
            <w:vAlign w:val="center"/>
          </w:tcPr>
          <w:p w14:paraId="4A54CD7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lang w:val="en-US" w:eastAsia="zh-CN" w:bidi="ar-SA"/>
              </w:rPr>
            </w:pPr>
            <w:r>
              <w:rPr>
                <w:rFonts w:hint="eastAsia" w:ascii="Times New Roman" w:hAnsi="Times New Roman" w:eastAsia="宋体" w:cs="Times New Roman"/>
                <w:snapToGrid/>
                <w:color w:val="auto"/>
                <w:spacing w:val="0"/>
                <w:kern w:val="0"/>
                <w:position w:val="0"/>
                <w:sz w:val="24"/>
                <w:szCs w:val="24"/>
                <w:lang w:val="en-US" w:eastAsia="zh-CN"/>
              </w:rPr>
              <w:t>/</w:t>
            </w:r>
          </w:p>
        </w:tc>
        <w:tc>
          <w:tcPr>
            <w:tcW w:w="1725" w:type="dxa"/>
            <w:noWrap w:val="0"/>
            <w:vAlign w:val="center"/>
          </w:tcPr>
          <w:p w14:paraId="49AA325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lang w:val="en-US" w:eastAsia="zh-CN" w:bidi="ar-SA"/>
              </w:rPr>
            </w:pPr>
            <w:r>
              <w:rPr>
                <w:rFonts w:hint="eastAsia" w:ascii="Times New Roman" w:hAnsi="Times New Roman" w:eastAsia="宋体" w:cs="Times New Roman"/>
                <w:snapToGrid/>
                <w:color w:val="auto"/>
                <w:spacing w:val="0"/>
                <w:kern w:val="0"/>
                <w:position w:val="0"/>
                <w:sz w:val="24"/>
                <w:szCs w:val="24"/>
                <w:lang w:val="en-US" w:eastAsia="zh-CN"/>
              </w:rPr>
              <w:t>/</w:t>
            </w:r>
          </w:p>
        </w:tc>
        <w:tc>
          <w:tcPr>
            <w:tcW w:w="1530" w:type="dxa"/>
            <w:shd w:val="clear" w:color="auto" w:fill="auto"/>
            <w:noWrap w:val="0"/>
            <w:vAlign w:val="center"/>
          </w:tcPr>
          <w:p w14:paraId="19DE9450">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b w:val="0"/>
                <w:bCs w:val="0"/>
                <w:color w:val="auto"/>
                <w:kern w:val="2"/>
                <w:sz w:val="24"/>
                <w:szCs w:val="24"/>
                <w:highlight w:val="none"/>
                <w:vertAlign w:val="baseline"/>
                <w:lang w:val="en-US" w:eastAsia="zh-CN" w:bidi="ar-SA"/>
              </w:rPr>
            </w:pPr>
            <w:r>
              <w:rPr>
                <w:rFonts w:hint="eastAsia" w:cs="Times New Roman"/>
                <w:b w:val="0"/>
                <w:bCs w:val="0"/>
                <w:color w:val="auto"/>
                <w:kern w:val="2"/>
                <w:sz w:val="24"/>
                <w:szCs w:val="24"/>
                <w:highlight w:val="none"/>
                <w:vertAlign w:val="baseline"/>
                <w:lang w:val="en-US" w:eastAsia="zh-CN" w:bidi="ar-SA"/>
              </w:rPr>
              <w:t>0.06</w:t>
            </w:r>
            <w:r>
              <w:rPr>
                <w:rFonts w:hint="eastAsia" w:ascii="Times New Roman" w:hAnsi="Times New Roman" w:cs="Times New Roman"/>
                <w:color w:val="auto"/>
                <w:sz w:val="24"/>
                <w:szCs w:val="24"/>
                <w:highlight w:val="none"/>
                <w:lang w:val="en-US" w:eastAsia="zh-CN"/>
              </w:rPr>
              <w:t>t/a</w:t>
            </w:r>
          </w:p>
        </w:tc>
        <w:tc>
          <w:tcPr>
            <w:tcW w:w="1520" w:type="dxa"/>
            <w:shd w:val="clear" w:color="auto" w:fill="auto"/>
            <w:noWrap w:val="0"/>
            <w:vAlign w:val="center"/>
          </w:tcPr>
          <w:p w14:paraId="7FC51353">
            <w:pPr>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snapToGrid w:val="0"/>
                <w:color w:val="auto"/>
                <w:kern w:val="21"/>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0</w:t>
            </w:r>
          </w:p>
        </w:tc>
        <w:tc>
          <w:tcPr>
            <w:tcW w:w="1752" w:type="dxa"/>
            <w:shd w:val="clear" w:color="auto" w:fill="auto"/>
            <w:noWrap w:val="0"/>
            <w:vAlign w:val="center"/>
          </w:tcPr>
          <w:p w14:paraId="14841CF6">
            <w:pPr>
              <w:keepNext w:val="0"/>
              <w:keepLines w:val="0"/>
              <w:pageBreakBefore w:val="0"/>
              <w:kinsoku/>
              <w:wordWrap/>
              <w:overflowPunct/>
              <w:topLinePunct w:val="0"/>
              <w:bidi w:val="0"/>
              <w:spacing w:line="240" w:lineRule="auto"/>
              <w:ind w:left="0" w:leftChars="0" w:firstLine="0" w:firstLineChars="0"/>
              <w:jc w:val="center"/>
              <w:rPr>
                <w:rFonts w:hint="eastAsia" w:ascii="Times New Roman" w:hAnsi="Times New Roman" w:eastAsia="宋体" w:cs="Times New Roman"/>
                <w:color w:val="auto"/>
                <w:kern w:val="0"/>
                <w:sz w:val="24"/>
                <w:szCs w:val="24"/>
                <w:highlight w:val="none"/>
                <w:lang w:val="en-US" w:eastAsia="zh-CN" w:bidi="ar-SA"/>
              </w:rPr>
            </w:pPr>
            <w:r>
              <w:rPr>
                <w:rFonts w:hint="eastAsia" w:cs="Times New Roman"/>
                <w:color w:val="auto"/>
                <w:kern w:val="0"/>
                <w:sz w:val="24"/>
                <w:szCs w:val="24"/>
                <w:highlight w:val="none"/>
                <w:lang w:val="en-US" w:eastAsia="zh-CN"/>
              </w:rPr>
              <w:t>0.12</w:t>
            </w:r>
            <w:r>
              <w:rPr>
                <w:rFonts w:hint="eastAsia" w:ascii="Times New Roman" w:hAnsi="Times New Roman" w:cs="Times New Roman"/>
                <w:color w:val="auto"/>
                <w:sz w:val="24"/>
                <w:szCs w:val="24"/>
                <w:highlight w:val="none"/>
                <w:lang w:val="en-US" w:eastAsia="zh-CN"/>
              </w:rPr>
              <w:t>t/a</w:t>
            </w:r>
          </w:p>
        </w:tc>
        <w:tc>
          <w:tcPr>
            <w:tcW w:w="1387" w:type="dxa"/>
            <w:shd w:val="clear" w:color="auto" w:fill="auto"/>
            <w:noWrap w:val="0"/>
            <w:vAlign w:val="center"/>
          </w:tcPr>
          <w:p w14:paraId="181B3CFC">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Times New Roman" w:hAnsi="Times New Roman" w:eastAsia="宋体" w:cs="Times New Roman"/>
                <w:b w:val="0"/>
                <w:bCs w:val="0"/>
                <w:color w:val="auto"/>
                <w:kern w:val="2"/>
                <w:sz w:val="24"/>
                <w:szCs w:val="24"/>
                <w:highlight w:val="none"/>
                <w:vertAlign w:val="baseline"/>
                <w:lang w:val="en-US" w:eastAsia="zh-CN" w:bidi="ar-SA"/>
              </w:rPr>
            </w:pPr>
            <w:r>
              <w:rPr>
                <w:rFonts w:hint="eastAsia" w:ascii="Times New Roman" w:hAnsi="Times New Roman" w:eastAsia="宋体" w:cs="Times New Roman"/>
                <w:b w:val="0"/>
                <w:bCs w:val="0"/>
                <w:color w:val="auto"/>
                <w:kern w:val="2"/>
                <w:sz w:val="24"/>
                <w:szCs w:val="24"/>
                <w:highlight w:val="none"/>
                <w:vertAlign w:val="baseline"/>
                <w:lang w:val="en-US" w:eastAsia="zh-CN" w:bidi="ar-SA"/>
              </w:rPr>
              <w:t>+0.</w:t>
            </w:r>
            <w:r>
              <w:rPr>
                <w:rFonts w:hint="eastAsia" w:cs="Times New Roman"/>
                <w:b w:val="0"/>
                <w:bCs w:val="0"/>
                <w:color w:val="auto"/>
                <w:kern w:val="2"/>
                <w:sz w:val="24"/>
                <w:szCs w:val="24"/>
                <w:highlight w:val="none"/>
                <w:vertAlign w:val="baseline"/>
                <w:lang w:val="en-US" w:eastAsia="zh-CN" w:bidi="ar-SA"/>
              </w:rPr>
              <w:t>06</w:t>
            </w:r>
            <w:r>
              <w:rPr>
                <w:rFonts w:hint="eastAsia" w:ascii="Times New Roman" w:hAnsi="Times New Roman" w:cs="Times New Roman"/>
                <w:color w:val="auto"/>
                <w:sz w:val="24"/>
                <w:szCs w:val="24"/>
                <w:highlight w:val="none"/>
                <w:lang w:val="en-US" w:eastAsia="zh-CN"/>
              </w:rPr>
              <w:t>t/a</w:t>
            </w:r>
          </w:p>
        </w:tc>
      </w:tr>
      <w:tr w14:paraId="2BF8B2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88" w:type="dxa"/>
            <w:vMerge w:val="continue"/>
            <w:noWrap w:val="0"/>
            <w:vAlign w:val="center"/>
          </w:tcPr>
          <w:p w14:paraId="4AA0D056">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rPr>
            </w:pPr>
          </w:p>
        </w:tc>
        <w:tc>
          <w:tcPr>
            <w:tcW w:w="1316" w:type="dxa"/>
            <w:shd w:val="clear" w:color="auto" w:fill="auto"/>
            <w:noWrap w:val="0"/>
            <w:vAlign w:val="center"/>
          </w:tcPr>
          <w:p w14:paraId="3C6AD426">
            <w:pPr>
              <w:keepNext w:val="0"/>
              <w:keepLines w:val="0"/>
              <w:pageBreakBefore w:val="0"/>
              <w:widowControl/>
              <w:suppressLineNumbers w:val="0"/>
              <w:kinsoku/>
              <w:wordWrap/>
              <w:overflowPunct/>
              <w:autoSpaceDE/>
              <w:autoSpaceDN/>
              <w:bidi w:val="0"/>
              <w:jc w:val="center"/>
              <w:textAlignment w:val="auto"/>
              <w:rPr>
                <w:rFonts w:hint="eastAsia" w:ascii="Times New Roman" w:hAnsi="Times New Roman" w:eastAsia="宋体" w:cs="Times New Roman"/>
                <w:b w:val="0"/>
                <w:bCs w:val="0"/>
                <w:color w:val="auto"/>
                <w:kern w:val="2"/>
                <w:sz w:val="24"/>
                <w:szCs w:val="24"/>
                <w:highlight w:val="none"/>
                <w:vertAlign w:val="baseline"/>
                <w:lang w:val="en-US" w:eastAsia="zh-CN" w:bidi="ar-SA"/>
              </w:rPr>
            </w:pPr>
            <w:r>
              <w:rPr>
                <w:rFonts w:hint="eastAsia" w:cs="Times New Roman"/>
                <w:b w:val="0"/>
                <w:bCs w:val="0"/>
                <w:color w:val="auto"/>
                <w:sz w:val="24"/>
                <w:szCs w:val="24"/>
                <w:highlight w:val="none"/>
                <w:vertAlign w:val="baseline"/>
                <w:lang w:val="en-US" w:eastAsia="zh-CN"/>
              </w:rPr>
              <w:t>边角料</w:t>
            </w:r>
          </w:p>
        </w:tc>
        <w:tc>
          <w:tcPr>
            <w:tcW w:w="1695" w:type="dxa"/>
            <w:shd w:val="clear" w:color="auto" w:fill="auto"/>
            <w:noWrap w:val="0"/>
            <w:vAlign w:val="center"/>
          </w:tcPr>
          <w:p w14:paraId="2643CC41">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2"/>
                <w:sz w:val="24"/>
                <w:szCs w:val="24"/>
                <w:vertAlign w:val="baseline"/>
                <w:lang w:val="en-US" w:eastAsia="zh-CN" w:bidi="ar-SA"/>
              </w:rPr>
            </w:pPr>
            <w:r>
              <w:rPr>
                <w:rFonts w:hint="eastAsia" w:ascii="Times New Roman" w:hAnsi="Times New Roman" w:cs="Times New Roman"/>
                <w:b w:val="0"/>
                <w:bCs/>
                <w:color w:val="auto"/>
                <w:kern w:val="2"/>
                <w:sz w:val="24"/>
                <w:szCs w:val="24"/>
                <w:vertAlign w:val="baseline"/>
                <w:lang w:val="en-US" w:eastAsia="zh-CN" w:bidi="ar-SA"/>
              </w:rPr>
              <w:t>0.1</w:t>
            </w:r>
            <w:r>
              <w:rPr>
                <w:rFonts w:hint="eastAsia" w:ascii="Times New Roman" w:hAnsi="Times New Roman" w:cs="Times New Roman"/>
                <w:color w:val="auto"/>
                <w:sz w:val="24"/>
                <w:szCs w:val="24"/>
                <w:highlight w:val="none"/>
                <w:lang w:val="en-US" w:eastAsia="zh-CN"/>
              </w:rPr>
              <w:t>t/a</w:t>
            </w:r>
          </w:p>
        </w:tc>
        <w:tc>
          <w:tcPr>
            <w:tcW w:w="1275" w:type="dxa"/>
            <w:noWrap w:val="0"/>
            <w:vAlign w:val="center"/>
          </w:tcPr>
          <w:p w14:paraId="3EF957F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snapToGrid/>
                <w:color w:val="auto"/>
                <w:spacing w:val="0"/>
                <w:kern w:val="0"/>
                <w:position w:val="0"/>
                <w:sz w:val="24"/>
                <w:szCs w:val="24"/>
                <w:lang w:val="en-US" w:eastAsia="zh-CN"/>
              </w:rPr>
            </w:pPr>
            <w:r>
              <w:rPr>
                <w:rFonts w:hint="eastAsia" w:cs="Times New Roman"/>
                <w:snapToGrid/>
                <w:color w:val="auto"/>
                <w:spacing w:val="0"/>
                <w:kern w:val="0"/>
                <w:position w:val="0"/>
                <w:sz w:val="24"/>
                <w:szCs w:val="24"/>
                <w:lang w:val="en-US" w:eastAsia="zh-CN"/>
              </w:rPr>
              <w:t>/</w:t>
            </w:r>
          </w:p>
        </w:tc>
        <w:tc>
          <w:tcPr>
            <w:tcW w:w="1725" w:type="dxa"/>
            <w:noWrap w:val="0"/>
            <w:vAlign w:val="center"/>
          </w:tcPr>
          <w:p w14:paraId="5417AB0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snapToGrid/>
                <w:color w:val="auto"/>
                <w:spacing w:val="0"/>
                <w:kern w:val="0"/>
                <w:position w:val="0"/>
                <w:sz w:val="24"/>
                <w:szCs w:val="24"/>
                <w:lang w:val="en-US" w:eastAsia="zh-CN"/>
              </w:rPr>
            </w:pPr>
            <w:r>
              <w:rPr>
                <w:rFonts w:hint="eastAsia" w:ascii="Times New Roman" w:hAnsi="Times New Roman" w:eastAsia="宋体" w:cs="Times New Roman"/>
                <w:snapToGrid/>
                <w:color w:val="auto"/>
                <w:spacing w:val="0"/>
                <w:kern w:val="0"/>
                <w:position w:val="0"/>
                <w:sz w:val="24"/>
                <w:szCs w:val="24"/>
                <w:lang w:val="en-US" w:eastAsia="zh-CN"/>
              </w:rPr>
              <w:t>/</w:t>
            </w:r>
          </w:p>
        </w:tc>
        <w:tc>
          <w:tcPr>
            <w:tcW w:w="1530" w:type="dxa"/>
            <w:shd w:val="clear" w:color="auto" w:fill="auto"/>
            <w:noWrap w:val="0"/>
            <w:vAlign w:val="center"/>
          </w:tcPr>
          <w:p w14:paraId="3E93A602">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b w:val="0"/>
                <w:bCs w:val="0"/>
                <w:color w:val="auto"/>
                <w:kern w:val="2"/>
                <w:sz w:val="24"/>
                <w:szCs w:val="24"/>
                <w:highlight w:val="none"/>
                <w:vertAlign w:val="baseline"/>
                <w:lang w:val="en-US" w:eastAsia="zh-CN" w:bidi="ar-SA"/>
              </w:rPr>
            </w:pPr>
            <w:r>
              <w:rPr>
                <w:rFonts w:hint="eastAsia" w:cs="Times New Roman"/>
                <w:b w:val="0"/>
                <w:bCs w:val="0"/>
                <w:color w:val="auto"/>
                <w:kern w:val="2"/>
                <w:sz w:val="24"/>
                <w:szCs w:val="24"/>
                <w:highlight w:val="none"/>
                <w:vertAlign w:val="baseline"/>
                <w:lang w:val="en-US" w:eastAsia="zh-CN" w:bidi="ar-SA"/>
              </w:rPr>
              <w:t>0.1</w:t>
            </w:r>
            <w:r>
              <w:rPr>
                <w:rFonts w:hint="eastAsia" w:ascii="Times New Roman" w:hAnsi="Times New Roman" w:cs="Times New Roman"/>
                <w:color w:val="auto"/>
                <w:sz w:val="24"/>
                <w:szCs w:val="24"/>
                <w:highlight w:val="none"/>
                <w:lang w:val="en-US" w:eastAsia="zh-CN"/>
              </w:rPr>
              <w:t>t/a</w:t>
            </w:r>
          </w:p>
        </w:tc>
        <w:tc>
          <w:tcPr>
            <w:tcW w:w="1520" w:type="dxa"/>
            <w:shd w:val="clear" w:color="auto" w:fill="auto"/>
            <w:noWrap w:val="0"/>
            <w:vAlign w:val="center"/>
          </w:tcPr>
          <w:p w14:paraId="0C7C3695">
            <w:pPr>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snapToGrid w:val="0"/>
                <w:color w:val="auto"/>
                <w:kern w:val="21"/>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0</w:t>
            </w:r>
          </w:p>
        </w:tc>
        <w:tc>
          <w:tcPr>
            <w:tcW w:w="1752" w:type="dxa"/>
            <w:shd w:val="clear" w:color="auto" w:fill="auto"/>
            <w:noWrap w:val="0"/>
            <w:vAlign w:val="center"/>
          </w:tcPr>
          <w:p w14:paraId="4C2E853A">
            <w:pPr>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Times New Roman"/>
                <w:color w:val="auto"/>
                <w:kern w:val="0"/>
                <w:sz w:val="24"/>
                <w:szCs w:val="24"/>
                <w:highlight w:val="none"/>
                <w:lang w:val="en-US" w:eastAsia="zh-CN" w:bidi="ar-SA"/>
              </w:rPr>
            </w:pPr>
            <w:r>
              <w:rPr>
                <w:rFonts w:hint="eastAsia" w:cs="Times New Roman"/>
                <w:color w:val="auto"/>
                <w:kern w:val="0"/>
                <w:sz w:val="24"/>
                <w:szCs w:val="24"/>
                <w:highlight w:val="none"/>
                <w:lang w:val="en-US" w:eastAsia="zh-CN"/>
              </w:rPr>
              <w:t>0.2</w:t>
            </w:r>
            <w:r>
              <w:rPr>
                <w:rFonts w:hint="eastAsia" w:ascii="Times New Roman" w:hAnsi="Times New Roman" w:cs="Times New Roman"/>
                <w:color w:val="auto"/>
                <w:sz w:val="24"/>
                <w:szCs w:val="24"/>
                <w:highlight w:val="none"/>
                <w:lang w:val="en-US" w:eastAsia="zh-CN"/>
              </w:rPr>
              <w:t>t/a</w:t>
            </w:r>
          </w:p>
        </w:tc>
        <w:tc>
          <w:tcPr>
            <w:tcW w:w="1387" w:type="dxa"/>
            <w:shd w:val="clear" w:color="auto" w:fill="auto"/>
            <w:noWrap w:val="0"/>
            <w:vAlign w:val="center"/>
          </w:tcPr>
          <w:p w14:paraId="6ECE41C9">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Times New Roman" w:hAnsi="Times New Roman" w:eastAsia="宋体" w:cs="Times New Roman"/>
                <w:snapToGrid/>
                <w:color w:val="auto"/>
                <w:spacing w:val="0"/>
                <w:kern w:val="0"/>
                <w:position w:val="0"/>
                <w:sz w:val="24"/>
                <w:szCs w:val="24"/>
                <w:highlight w:val="none"/>
                <w:lang w:val="en-US" w:eastAsia="zh-CN" w:bidi="ar-SA"/>
              </w:rPr>
            </w:pPr>
            <w:r>
              <w:rPr>
                <w:rFonts w:hint="eastAsia" w:ascii="Times New Roman" w:hAnsi="Times New Roman" w:eastAsia="宋体" w:cs="Times New Roman"/>
                <w:snapToGrid/>
                <w:color w:val="auto"/>
                <w:spacing w:val="0"/>
                <w:kern w:val="0"/>
                <w:position w:val="0"/>
                <w:sz w:val="24"/>
                <w:szCs w:val="24"/>
                <w:highlight w:val="none"/>
                <w:lang w:val="en-US" w:eastAsia="zh-CN" w:bidi="ar-SA"/>
              </w:rPr>
              <w:t>+0.</w:t>
            </w:r>
            <w:r>
              <w:rPr>
                <w:rFonts w:hint="eastAsia" w:cs="Times New Roman"/>
                <w:snapToGrid/>
                <w:color w:val="auto"/>
                <w:spacing w:val="0"/>
                <w:kern w:val="0"/>
                <w:position w:val="0"/>
                <w:sz w:val="24"/>
                <w:szCs w:val="24"/>
                <w:highlight w:val="none"/>
                <w:lang w:val="en-US" w:eastAsia="zh-CN" w:bidi="ar-SA"/>
              </w:rPr>
              <w:t>1</w:t>
            </w:r>
            <w:r>
              <w:rPr>
                <w:rFonts w:hint="eastAsia" w:ascii="Times New Roman" w:hAnsi="Times New Roman" w:cs="Times New Roman"/>
                <w:color w:val="auto"/>
                <w:sz w:val="24"/>
                <w:szCs w:val="24"/>
                <w:highlight w:val="none"/>
                <w:lang w:val="en-US" w:eastAsia="zh-CN"/>
              </w:rPr>
              <w:t>t/a</w:t>
            </w:r>
          </w:p>
        </w:tc>
      </w:tr>
      <w:tr w14:paraId="074A12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88" w:type="dxa"/>
            <w:vMerge w:val="continue"/>
            <w:noWrap w:val="0"/>
            <w:vAlign w:val="center"/>
          </w:tcPr>
          <w:p w14:paraId="5B3F5A2A">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rPr>
            </w:pPr>
          </w:p>
        </w:tc>
        <w:tc>
          <w:tcPr>
            <w:tcW w:w="1316" w:type="dxa"/>
            <w:shd w:val="clear" w:color="auto" w:fill="auto"/>
            <w:noWrap w:val="0"/>
            <w:vAlign w:val="center"/>
          </w:tcPr>
          <w:p w14:paraId="27949650">
            <w:pPr>
              <w:pStyle w:val="47"/>
              <w:keepNext w:val="0"/>
              <w:keepLines w:val="0"/>
              <w:pageBreakBefore w:val="0"/>
              <w:kinsoku/>
              <w:wordWrap/>
              <w:overflowPunct/>
              <w:autoSpaceDE/>
              <w:autoSpaceDN/>
              <w:bidi w:val="0"/>
              <w:spacing w:line="240" w:lineRule="auto"/>
              <w:ind w:left="0" w:leftChars="0"/>
              <w:jc w:val="center"/>
              <w:textAlignment w:val="auto"/>
              <w:rPr>
                <w:rFonts w:hint="default" w:ascii="Times New Roman" w:hAnsi="Times New Roman" w:eastAsia="宋体" w:cs="Times New Roman"/>
                <w:b w:val="0"/>
                <w:bCs w:val="0"/>
                <w:color w:val="auto"/>
                <w:kern w:val="2"/>
                <w:sz w:val="24"/>
                <w:szCs w:val="24"/>
                <w:highlight w:val="none"/>
                <w:vertAlign w:val="baseline"/>
                <w:lang w:val="en-US" w:eastAsia="zh-CN" w:bidi="ar-SA"/>
              </w:rPr>
            </w:pPr>
            <w:r>
              <w:rPr>
                <w:rFonts w:hint="default" w:ascii="Times New Roman" w:hAnsi="Times New Roman" w:eastAsia="宋体" w:cs="Times New Roman"/>
                <w:color w:val="auto"/>
                <w:spacing w:val="8"/>
                <w:sz w:val="24"/>
                <w:szCs w:val="24"/>
                <w:highlight w:val="none"/>
              </w:rPr>
              <w:t>废包装材料</w:t>
            </w:r>
          </w:p>
        </w:tc>
        <w:tc>
          <w:tcPr>
            <w:tcW w:w="1695" w:type="dxa"/>
            <w:shd w:val="clear" w:color="auto" w:fill="auto"/>
            <w:noWrap w:val="0"/>
            <w:vAlign w:val="center"/>
          </w:tcPr>
          <w:p w14:paraId="35D16618">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4"/>
                <w:szCs w:val="24"/>
                <w:highlight w:val="none"/>
                <w:lang w:val="en-US" w:eastAsia="zh-CN" w:bidi="en-US"/>
              </w:rPr>
            </w:pPr>
            <w:r>
              <w:rPr>
                <w:rFonts w:hint="eastAsia" w:ascii="Times New Roman" w:hAnsi="Times New Roman" w:cs="Times New Roman"/>
                <w:b w:val="0"/>
                <w:bCs/>
                <w:color w:val="auto"/>
                <w:kern w:val="2"/>
                <w:sz w:val="24"/>
                <w:szCs w:val="24"/>
                <w:vertAlign w:val="baseline"/>
                <w:lang w:val="en-US" w:eastAsia="zh-CN" w:bidi="ar-SA"/>
              </w:rPr>
              <w:t>0.01</w:t>
            </w:r>
            <w:r>
              <w:rPr>
                <w:rFonts w:hint="eastAsia" w:ascii="Times New Roman" w:hAnsi="Times New Roman" w:cs="Times New Roman"/>
                <w:color w:val="auto"/>
                <w:sz w:val="24"/>
                <w:szCs w:val="24"/>
                <w:highlight w:val="none"/>
                <w:lang w:val="en-US" w:eastAsia="zh-CN"/>
              </w:rPr>
              <w:t>t/a</w:t>
            </w:r>
          </w:p>
        </w:tc>
        <w:tc>
          <w:tcPr>
            <w:tcW w:w="1275" w:type="dxa"/>
            <w:noWrap w:val="0"/>
            <w:vAlign w:val="center"/>
          </w:tcPr>
          <w:p w14:paraId="3115C49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snapToGrid/>
                <w:color w:val="auto"/>
                <w:spacing w:val="0"/>
                <w:kern w:val="0"/>
                <w:position w:val="0"/>
                <w:sz w:val="24"/>
                <w:szCs w:val="24"/>
                <w:lang w:val="en-US" w:eastAsia="zh-CN" w:bidi="ar-SA"/>
              </w:rPr>
            </w:pPr>
            <w:r>
              <w:rPr>
                <w:rFonts w:hint="eastAsia" w:ascii="Times New Roman" w:hAnsi="Times New Roman" w:eastAsia="宋体" w:cs="Times New Roman"/>
                <w:snapToGrid/>
                <w:color w:val="auto"/>
                <w:spacing w:val="0"/>
                <w:kern w:val="0"/>
                <w:position w:val="0"/>
                <w:sz w:val="24"/>
                <w:szCs w:val="24"/>
                <w:lang w:val="en-US" w:eastAsia="zh-CN"/>
              </w:rPr>
              <w:t>/</w:t>
            </w:r>
          </w:p>
        </w:tc>
        <w:tc>
          <w:tcPr>
            <w:tcW w:w="1725" w:type="dxa"/>
            <w:noWrap w:val="0"/>
            <w:vAlign w:val="center"/>
          </w:tcPr>
          <w:p w14:paraId="76AB4FB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lang w:val="en-US" w:eastAsia="zh-CN" w:bidi="ar-SA"/>
              </w:rPr>
            </w:pPr>
            <w:r>
              <w:rPr>
                <w:rFonts w:hint="eastAsia" w:ascii="Times New Roman" w:hAnsi="Times New Roman" w:eastAsia="宋体" w:cs="Times New Roman"/>
                <w:snapToGrid/>
                <w:color w:val="auto"/>
                <w:spacing w:val="0"/>
                <w:kern w:val="0"/>
                <w:position w:val="0"/>
                <w:sz w:val="24"/>
                <w:szCs w:val="24"/>
                <w:lang w:val="en-US" w:eastAsia="zh-CN"/>
              </w:rPr>
              <w:t>/</w:t>
            </w:r>
          </w:p>
        </w:tc>
        <w:tc>
          <w:tcPr>
            <w:tcW w:w="1530" w:type="dxa"/>
            <w:shd w:val="clear" w:color="auto" w:fill="auto"/>
            <w:noWrap w:val="0"/>
            <w:vAlign w:val="center"/>
          </w:tcPr>
          <w:p w14:paraId="665561DE">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auto"/>
                <w:kern w:val="2"/>
                <w:sz w:val="24"/>
                <w:szCs w:val="24"/>
                <w:highlight w:val="none"/>
                <w:vertAlign w:val="baseline"/>
                <w:lang w:val="en-US" w:eastAsia="zh-CN" w:bidi="ar-SA"/>
              </w:rPr>
            </w:pPr>
            <w:r>
              <w:rPr>
                <w:rFonts w:hint="eastAsia" w:cs="Times New Roman"/>
                <w:b w:val="0"/>
                <w:bCs w:val="0"/>
                <w:color w:val="auto"/>
                <w:kern w:val="2"/>
                <w:sz w:val="24"/>
                <w:szCs w:val="24"/>
                <w:highlight w:val="none"/>
                <w:vertAlign w:val="baseline"/>
                <w:lang w:val="en-US" w:eastAsia="zh-CN" w:bidi="ar-SA"/>
              </w:rPr>
              <w:t>0.01</w:t>
            </w:r>
            <w:r>
              <w:rPr>
                <w:rFonts w:hint="eastAsia" w:ascii="Times New Roman" w:hAnsi="Times New Roman" w:cs="Times New Roman"/>
                <w:color w:val="auto"/>
                <w:sz w:val="24"/>
                <w:szCs w:val="24"/>
                <w:highlight w:val="none"/>
                <w:lang w:val="en-US" w:eastAsia="zh-CN"/>
              </w:rPr>
              <w:t>t/a</w:t>
            </w:r>
          </w:p>
        </w:tc>
        <w:tc>
          <w:tcPr>
            <w:tcW w:w="1520" w:type="dxa"/>
            <w:shd w:val="clear" w:color="auto" w:fill="auto"/>
            <w:noWrap w:val="0"/>
            <w:vAlign w:val="center"/>
          </w:tcPr>
          <w:p w14:paraId="584C3EE8">
            <w:pPr>
              <w:keepNext w:val="0"/>
              <w:keepLines w:val="0"/>
              <w:pageBreakBefore w:val="0"/>
              <w:kinsoku/>
              <w:wordWrap/>
              <w:overflowPunct/>
              <w:topLinePunct w:val="0"/>
              <w:bidi w:val="0"/>
              <w:spacing w:beforeLines="0" w:afterLines="0" w:line="240" w:lineRule="auto"/>
              <w:ind w:left="0" w:leftChars="0" w:firstLine="0" w:firstLine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rPr>
              <w:t>0</w:t>
            </w:r>
          </w:p>
        </w:tc>
        <w:tc>
          <w:tcPr>
            <w:tcW w:w="1752" w:type="dxa"/>
            <w:shd w:val="clear" w:color="auto" w:fill="auto"/>
            <w:noWrap w:val="0"/>
            <w:vAlign w:val="center"/>
          </w:tcPr>
          <w:p w14:paraId="3242993E">
            <w:pPr>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Times New Roman"/>
                <w:color w:val="auto"/>
                <w:kern w:val="0"/>
                <w:sz w:val="24"/>
                <w:szCs w:val="24"/>
                <w:highlight w:val="none"/>
                <w:lang w:val="en-US" w:eastAsia="zh-CN" w:bidi="ar-SA"/>
              </w:rPr>
            </w:pPr>
            <w:r>
              <w:rPr>
                <w:rFonts w:hint="eastAsia" w:cs="Times New Roman"/>
                <w:color w:val="auto"/>
                <w:kern w:val="0"/>
                <w:sz w:val="24"/>
                <w:szCs w:val="24"/>
                <w:highlight w:val="none"/>
                <w:lang w:val="en-US" w:eastAsia="zh-CN"/>
              </w:rPr>
              <w:t>0.02</w:t>
            </w:r>
            <w:r>
              <w:rPr>
                <w:rFonts w:hint="eastAsia" w:ascii="Times New Roman" w:hAnsi="Times New Roman" w:cs="Times New Roman"/>
                <w:color w:val="auto"/>
                <w:sz w:val="24"/>
                <w:szCs w:val="24"/>
                <w:highlight w:val="none"/>
                <w:lang w:val="en-US" w:eastAsia="zh-CN"/>
              </w:rPr>
              <w:t>t/a</w:t>
            </w:r>
          </w:p>
        </w:tc>
        <w:tc>
          <w:tcPr>
            <w:tcW w:w="1387" w:type="dxa"/>
            <w:shd w:val="clear" w:color="auto" w:fill="auto"/>
            <w:noWrap w:val="0"/>
            <w:vAlign w:val="center"/>
          </w:tcPr>
          <w:p w14:paraId="293E79D5">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highlight w:val="none"/>
                <w:lang w:val="en-US" w:eastAsia="zh-CN" w:bidi="ar-SA"/>
              </w:rPr>
            </w:pPr>
            <w:r>
              <w:rPr>
                <w:rFonts w:hint="eastAsia" w:cs="Times New Roman"/>
                <w:snapToGrid/>
                <w:color w:val="auto"/>
                <w:spacing w:val="0"/>
                <w:kern w:val="0"/>
                <w:position w:val="0"/>
                <w:sz w:val="24"/>
                <w:szCs w:val="24"/>
                <w:highlight w:val="none"/>
                <w:lang w:val="en-US" w:eastAsia="zh-CN" w:bidi="ar-SA"/>
              </w:rPr>
              <w:t>+0.01</w:t>
            </w:r>
            <w:r>
              <w:rPr>
                <w:rFonts w:hint="eastAsia" w:ascii="Times New Roman" w:hAnsi="Times New Roman" w:cs="Times New Roman"/>
                <w:color w:val="auto"/>
                <w:sz w:val="24"/>
                <w:szCs w:val="24"/>
                <w:highlight w:val="none"/>
                <w:lang w:val="en-US" w:eastAsia="zh-CN"/>
              </w:rPr>
              <w:t>t/a</w:t>
            </w:r>
          </w:p>
        </w:tc>
      </w:tr>
      <w:tr w14:paraId="222540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88" w:type="dxa"/>
            <w:vMerge w:val="continue"/>
            <w:noWrap w:val="0"/>
            <w:vAlign w:val="center"/>
          </w:tcPr>
          <w:p w14:paraId="3E9AB9D4">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rPr>
            </w:pPr>
          </w:p>
        </w:tc>
        <w:tc>
          <w:tcPr>
            <w:tcW w:w="1316" w:type="dxa"/>
            <w:shd w:val="clear" w:color="auto" w:fill="auto"/>
            <w:noWrap w:val="0"/>
            <w:vAlign w:val="center"/>
          </w:tcPr>
          <w:p w14:paraId="69578BF6">
            <w:pPr>
              <w:pStyle w:val="47"/>
              <w:keepNext w:val="0"/>
              <w:keepLines w:val="0"/>
              <w:pageBreakBefore w:val="0"/>
              <w:kinsoku/>
              <w:wordWrap/>
              <w:overflowPunct/>
              <w:autoSpaceDE/>
              <w:autoSpaceDN/>
              <w:bidi w:val="0"/>
              <w:spacing w:line="240" w:lineRule="auto"/>
              <w:ind w:left="0" w:leftChars="0"/>
              <w:jc w:val="center"/>
              <w:textAlignment w:val="auto"/>
              <w:rPr>
                <w:rFonts w:hint="default" w:ascii="Times New Roman" w:hAnsi="Times New Roman" w:eastAsia="宋体" w:cs="Times New Roman"/>
                <w:b w:val="0"/>
                <w:bCs w:val="0"/>
                <w:color w:val="auto"/>
                <w:kern w:val="2"/>
                <w:sz w:val="24"/>
                <w:szCs w:val="24"/>
                <w:highlight w:val="none"/>
                <w:vertAlign w:val="baseline"/>
                <w:lang w:val="en-US" w:eastAsia="zh-CN" w:bidi="ar-SA"/>
              </w:rPr>
            </w:pPr>
            <w:r>
              <w:rPr>
                <w:rFonts w:hint="default" w:ascii="Times New Roman" w:hAnsi="Times New Roman" w:eastAsia="宋体" w:cs="Times New Roman"/>
                <w:b w:val="0"/>
                <w:bCs w:val="0"/>
                <w:color w:val="auto"/>
                <w:sz w:val="24"/>
                <w:szCs w:val="24"/>
                <w:highlight w:val="none"/>
                <w:vertAlign w:val="baseline"/>
                <w:lang w:val="en-US" w:eastAsia="zh-CN"/>
              </w:rPr>
              <w:t>除尘器收集</w:t>
            </w:r>
            <w:r>
              <w:rPr>
                <w:rFonts w:hint="eastAsia" w:ascii="Times New Roman" w:hAnsi="Times New Roman" w:cs="Times New Roman"/>
                <w:b w:val="0"/>
                <w:bCs w:val="0"/>
                <w:color w:val="auto"/>
                <w:sz w:val="24"/>
                <w:szCs w:val="24"/>
                <w:highlight w:val="none"/>
                <w:vertAlign w:val="baseline"/>
                <w:lang w:val="en-US" w:eastAsia="zh-CN"/>
              </w:rPr>
              <w:t>颗粒物</w:t>
            </w:r>
          </w:p>
        </w:tc>
        <w:tc>
          <w:tcPr>
            <w:tcW w:w="1695" w:type="dxa"/>
            <w:shd w:val="clear" w:color="auto" w:fill="auto"/>
            <w:noWrap w:val="0"/>
            <w:vAlign w:val="center"/>
          </w:tcPr>
          <w:p w14:paraId="52A495FA">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4"/>
                <w:szCs w:val="24"/>
                <w:highlight w:val="none"/>
                <w:lang w:val="en-US" w:eastAsia="zh-CN" w:bidi="en-US"/>
              </w:rPr>
            </w:pPr>
            <w:r>
              <w:rPr>
                <w:rFonts w:hint="eastAsia" w:ascii="Times New Roman" w:hAnsi="Times New Roman" w:cs="Times New Roman"/>
                <w:b w:val="0"/>
                <w:bCs/>
                <w:color w:val="auto"/>
                <w:kern w:val="2"/>
                <w:sz w:val="24"/>
                <w:szCs w:val="24"/>
                <w:vertAlign w:val="baseline"/>
                <w:lang w:val="en-US" w:eastAsia="zh-CN" w:bidi="ar-SA"/>
              </w:rPr>
              <w:t>0.562</w:t>
            </w:r>
            <w:r>
              <w:rPr>
                <w:rFonts w:hint="eastAsia" w:ascii="Times New Roman" w:hAnsi="Times New Roman" w:cs="Times New Roman"/>
                <w:color w:val="auto"/>
                <w:sz w:val="24"/>
                <w:szCs w:val="24"/>
                <w:highlight w:val="none"/>
                <w:lang w:val="en-US" w:eastAsia="zh-CN"/>
              </w:rPr>
              <w:t>t/a</w:t>
            </w:r>
          </w:p>
        </w:tc>
        <w:tc>
          <w:tcPr>
            <w:tcW w:w="1275" w:type="dxa"/>
            <w:noWrap w:val="0"/>
            <w:vAlign w:val="center"/>
          </w:tcPr>
          <w:p w14:paraId="2A8A4A2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snapToGrid/>
                <w:color w:val="auto"/>
                <w:spacing w:val="0"/>
                <w:kern w:val="0"/>
                <w:position w:val="0"/>
                <w:sz w:val="24"/>
                <w:szCs w:val="24"/>
                <w:lang w:val="en-US" w:eastAsia="zh-CN"/>
              </w:rPr>
            </w:pPr>
            <w:r>
              <w:rPr>
                <w:rFonts w:hint="eastAsia" w:ascii="Times New Roman" w:hAnsi="Times New Roman" w:eastAsia="宋体" w:cs="Times New Roman"/>
                <w:snapToGrid/>
                <w:color w:val="auto"/>
                <w:spacing w:val="0"/>
                <w:kern w:val="0"/>
                <w:position w:val="0"/>
                <w:sz w:val="24"/>
                <w:szCs w:val="24"/>
                <w:lang w:val="en-US" w:eastAsia="zh-CN"/>
              </w:rPr>
              <w:t>/</w:t>
            </w:r>
          </w:p>
        </w:tc>
        <w:tc>
          <w:tcPr>
            <w:tcW w:w="1725" w:type="dxa"/>
            <w:noWrap w:val="0"/>
            <w:vAlign w:val="center"/>
          </w:tcPr>
          <w:p w14:paraId="1528DC4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snapToGrid/>
                <w:color w:val="auto"/>
                <w:spacing w:val="0"/>
                <w:kern w:val="0"/>
                <w:position w:val="0"/>
                <w:sz w:val="24"/>
                <w:szCs w:val="24"/>
                <w:lang w:val="en-US" w:eastAsia="zh-CN"/>
              </w:rPr>
            </w:pPr>
            <w:r>
              <w:rPr>
                <w:rFonts w:hint="eastAsia" w:ascii="Times New Roman" w:hAnsi="Times New Roman" w:eastAsia="宋体" w:cs="Times New Roman"/>
                <w:snapToGrid/>
                <w:color w:val="auto"/>
                <w:spacing w:val="0"/>
                <w:kern w:val="0"/>
                <w:position w:val="0"/>
                <w:sz w:val="24"/>
                <w:szCs w:val="24"/>
                <w:lang w:val="en-US" w:eastAsia="zh-CN"/>
              </w:rPr>
              <w:t>/</w:t>
            </w:r>
          </w:p>
        </w:tc>
        <w:tc>
          <w:tcPr>
            <w:tcW w:w="1530" w:type="dxa"/>
            <w:shd w:val="clear" w:color="auto" w:fill="auto"/>
            <w:noWrap w:val="0"/>
            <w:vAlign w:val="center"/>
          </w:tcPr>
          <w:p w14:paraId="4EA3EBBD">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napToGrid/>
                <w:color w:val="auto"/>
                <w:spacing w:val="0"/>
                <w:kern w:val="0"/>
                <w:position w:val="0"/>
                <w:sz w:val="24"/>
                <w:szCs w:val="24"/>
                <w:lang w:val="en-US" w:eastAsia="zh-CN" w:bidi="ar-SA"/>
              </w:rPr>
            </w:pPr>
            <w:r>
              <w:rPr>
                <w:rFonts w:hint="eastAsia" w:ascii="Times New Roman" w:hAnsi="Times New Roman" w:cs="Times New Roman"/>
                <w:color w:val="auto"/>
                <w:sz w:val="24"/>
                <w:szCs w:val="24"/>
                <w:highlight w:val="none"/>
                <w:lang w:val="en-US" w:eastAsia="zh-CN"/>
              </w:rPr>
              <w:t>0.5617t/a</w:t>
            </w:r>
          </w:p>
        </w:tc>
        <w:tc>
          <w:tcPr>
            <w:tcW w:w="1520" w:type="dxa"/>
            <w:shd w:val="clear" w:color="auto" w:fill="auto"/>
            <w:noWrap w:val="0"/>
            <w:vAlign w:val="center"/>
          </w:tcPr>
          <w:p w14:paraId="61EC09BF">
            <w:pPr>
              <w:keepNext w:val="0"/>
              <w:keepLines w:val="0"/>
              <w:pageBreakBefore w:val="0"/>
              <w:kinsoku/>
              <w:wordWrap/>
              <w:overflowPunct/>
              <w:topLinePunct w:val="0"/>
              <w:bidi w:val="0"/>
              <w:spacing w:beforeLines="0" w:afterLines="0" w:line="240" w:lineRule="auto"/>
              <w:ind w:left="0" w:leftChars="0" w:firstLine="0" w:firstLineChars="0"/>
              <w:jc w:val="center"/>
              <w:rPr>
                <w:rFonts w:hint="eastAsia" w:ascii="Times New Roman" w:hAnsi="Times New Roman" w:eastAsia="宋体" w:cs="Times New Roman"/>
                <w:snapToGrid w:val="0"/>
                <w:color w:val="auto"/>
                <w:kern w:val="21"/>
                <w:sz w:val="24"/>
                <w:szCs w:val="24"/>
                <w:highlight w:val="none"/>
                <w:lang w:val="en-US" w:eastAsia="zh-CN" w:bidi="ar-SA"/>
              </w:rPr>
            </w:pPr>
            <w:r>
              <w:rPr>
                <w:rFonts w:hint="eastAsia" w:cs="Times New Roman"/>
                <w:snapToGrid w:val="0"/>
                <w:color w:val="auto"/>
                <w:kern w:val="21"/>
                <w:sz w:val="24"/>
                <w:szCs w:val="24"/>
                <w:highlight w:val="none"/>
                <w:lang w:val="en-US" w:eastAsia="zh-CN" w:bidi="ar-SA"/>
              </w:rPr>
              <w:t>0.0003</w:t>
            </w:r>
            <w:r>
              <w:rPr>
                <w:rFonts w:hint="eastAsia" w:ascii="Times New Roman" w:hAnsi="Times New Roman" w:cs="Times New Roman"/>
                <w:color w:val="auto"/>
                <w:sz w:val="24"/>
                <w:szCs w:val="24"/>
                <w:highlight w:val="none"/>
                <w:lang w:val="en-US" w:eastAsia="zh-CN"/>
              </w:rPr>
              <w:t>t/a</w:t>
            </w:r>
          </w:p>
        </w:tc>
        <w:tc>
          <w:tcPr>
            <w:tcW w:w="1752" w:type="dxa"/>
            <w:shd w:val="clear" w:color="auto" w:fill="auto"/>
            <w:noWrap w:val="0"/>
            <w:vAlign w:val="center"/>
          </w:tcPr>
          <w:p w14:paraId="7154A90E">
            <w:pPr>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Times New Roman"/>
                <w:color w:val="auto"/>
                <w:kern w:val="0"/>
                <w:sz w:val="24"/>
                <w:szCs w:val="24"/>
                <w:highlight w:val="none"/>
                <w:lang w:val="en-US" w:eastAsia="zh-CN" w:bidi="ar-SA"/>
              </w:rPr>
            </w:pPr>
            <w:r>
              <w:rPr>
                <w:rFonts w:hint="eastAsia" w:cs="Times New Roman"/>
                <w:color w:val="auto"/>
                <w:kern w:val="0"/>
                <w:sz w:val="24"/>
                <w:szCs w:val="24"/>
                <w:highlight w:val="none"/>
                <w:lang w:val="en-US" w:eastAsia="zh-CN" w:bidi="ar-SA"/>
              </w:rPr>
              <w:t>1.1234</w:t>
            </w:r>
            <w:r>
              <w:rPr>
                <w:rFonts w:hint="eastAsia" w:ascii="Times New Roman" w:hAnsi="Times New Roman" w:cs="Times New Roman"/>
                <w:color w:val="auto"/>
                <w:sz w:val="24"/>
                <w:szCs w:val="24"/>
                <w:highlight w:val="none"/>
                <w:lang w:val="en-US" w:eastAsia="zh-CN"/>
              </w:rPr>
              <w:t>t/a</w:t>
            </w:r>
          </w:p>
        </w:tc>
        <w:tc>
          <w:tcPr>
            <w:tcW w:w="1387" w:type="dxa"/>
            <w:shd w:val="clear" w:color="auto" w:fill="auto"/>
            <w:noWrap w:val="0"/>
            <w:vAlign w:val="center"/>
          </w:tcPr>
          <w:p w14:paraId="20BED8EA">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highlight w:val="none"/>
                <w:lang w:val="en-US" w:eastAsia="zh-CN" w:bidi="ar-SA"/>
              </w:rPr>
            </w:pPr>
            <w:r>
              <w:rPr>
                <w:rFonts w:hint="eastAsia" w:ascii="Times New Roman" w:hAnsi="Times New Roman" w:eastAsia="宋体" w:cs="Times New Roman"/>
                <w:snapToGrid/>
                <w:color w:val="auto"/>
                <w:spacing w:val="0"/>
                <w:kern w:val="0"/>
                <w:position w:val="0"/>
                <w:sz w:val="24"/>
                <w:szCs w:val="24"/>
                <w:highlight w:val="none"/>
                <w:lang w:val="en-US" w:eastAsia="zh-CN" w:bidi="ar-SA"/>
              </w:rPr>
              <w:t>+</w:t>
            </w:r>
            <w:r>
              <w:rPr>
                <w:rFonts w:hint="eastAsia" w:cs="Times New Roman"/>
                <w:snapToGrid/>
                <w:color w:val="auto"/>
                <w:spacing w:val="0"/>
                <w:kern w:val="0"/>
                <w:position w:val="0"/>
                <w:sz w:val="24"/>
                <w:szCs w:val="24"/>
                <w:highlight w:val="none"/>
                <w:lang w:val="en-US" w:eastAsia="zh-CN" w:bidi="ar-SA"/>
              </w:rPr>
              <w:t>0.5614</w:t>
            </w:r>
            <w:r>
              <w:rPr>
                <w:rFonts w:hint="eastAsia" w:ascii="Times New Roman" w:hAnsi="Times New Roman" w:cs="Times New Roman"/>
                <w:color w:val="auto"/>
                <w:sz w:val="24"/>
                <w:szCs w:val="24"/>
                <w:highlight w:val="none"/>
                <w:lang w:val="en-US" w:eastAsia="zh-CN"/>
              </w:rPr>
              <w:t>t/a</w:t>
            </w:r>
          </w:p>
        </w:tc>
      </w:tr>
      <w:tr w14:paraId="2F1EE5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88" w:type="dxa"/>
            <w:vMerge w:val="restart"/>
            <w:noWrap w:val="0"/>
            <w:vAlign w:val="center"/>
          </w:tcPr>
          <w:p w14:paraId="03C8863D">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rPr>
            </w:pPr>
            <w:r>
              <w:rPr>
                <w:rFonts w:hint="default" w:ascii="Times New Roman" w:hAnsi="Times New Roman" w:eastAsia="宋体" w:cs="Times New Roman"/>
                <w:snapToGrid/>
                <w:color w:val="auto"/>
                <w:spacing w:val="0"/>
                <w:kern w:val="0"/>
                <w:position w:val="0"/>
                <w:sz w:val="24"/>
                <w:szCs w:val="24"/>
              </w:rPr>
              <w:t>危险废物</w:t>
            </w:r>
          </w:p>
        </w:tc>
        <w:tc>
          <w:tcPr>
            <w:tcW w:w="1316" w:type="dxa"/>
            <w:shd w:val="clear" w:color="auto" w:fill="auto"/>
            <w:noWrap w:val="0"/>
            <w:vAlign w:val="center"/>
          </w:tcPr>
          <w:p w14:paraId="3AF38BE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b w:val="0"/>
                <w:bCs w:val="0"/>
                <w:color w:val="auto"/>
                <w:sz w:val="24"/>
                <w:szCs w:val="24"/>
                <w:highlight w:val="none"/>
                <w:vertAlign w:val="baseline"/>
                <w:lang w:val="en-US" w:eastAsia="zh-CN"/>
              </w:rPr>
              <w:t>废UV灯管</w:t>
            </w:r>
          </w:p>
        </w:tc>
        <w:tc>
          <w:tcPr>
            <w:tcW w:w="1695" w:type="dxa"/>
            <w:shd w:val="clear" w:color="auto" w:fill="auto"/>
            <w:noWrap w:val="0"/>
            <w:vAlign w:val="center"/>
          </w:tcPr>
          <w:p w14:paraId="3F2205A7">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2"/>
                <w:sz w:val="24"/>
                <w:szCs w:val="24"/>
                <w:vertAlign w:val="baseline"/>
                <w:lang w:val="en-US" w:eastAsia="zh-CN" w:bidi="ar-SA"/>
              </w:rPr>
            </w:pPr>
            <w:r>
              <w:rPr>
                <w:rFonts w:hint="eastAsia" w:ascii="Times New Roman" w:hAnsi="Times New Roman" w:cs="Times New Roman"/>
                <w:b w:val="0"/>
                <w:bCs/>
                <w:color w:val="auto"/>
                <w:kern w:val="2"/>
                <w:sz w:val="24"/>
                <w:szCs w:val="24"/>
                <w:vertAlign w:val="baseline"/>
                <w:lang w:val="en-US" w:eastAsia="zh-CN" w:bidi="ar-SA"/>
              </w:rPr>
              <w:t>0.15</w:t>
            </w:r>
            <w:r>
              <w:rPr>
                <w:rFonts w:hint="eastAsia" w:ascii="Times New Roman" w:hAnsi="Times New Roman" w:cs="Times New Roman"/>
                <w:color w:val="auto"/>
                <w:sz w:val="24"/>
                <w:szCs w:val="24"/>
                <w:highlight w:val="none"/>
                <w:lang w:val="en-US" w:eastAsia="zh-CN"/>
              </w:rPr>
              <w:t>t/a</w:t>
            </w:r>
          </w:p>
        </w:tc>
        <w:tc>
          <w:tcPr>
            <w:tcW w:w="1275" w:type="dxa"/>
            <w:noWrap w:val="0"/>
            <w:vAlign w:val="center"/>
          </w:tcPr>
          <w:p w14:paraId="640A338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rPr>
            </w:pPr>
            <w:r>
              <w:rPr>
                <w:rFonts w:hint="eastAsia" w:ascii="Times New Roman" w:hAnsi="Times New Roman" w:eastAsia="宋体" w:cs="Times New Roman"/>
                <w:snapToGrid/>
                <w:color w:val="auto"/>
                <w:spacing w:val="0"/>
                <w:kern w:val="0"/>
                <w:position w:val="0"/>
                <w:sz w:val="24"/>
                <w:szCs w:val="24"/>
                <w:lang w:val="en-US" w:eastAsia="zh-CN"/>
              </w:rPr>
              <w:t>/</w:t>
            </w:r>
          </w:p>
        </w:tc>
        <w:tc>
          <w:tcPr>
            <w:tcW w:w="1725" w:type="dxa"/>
            <w:noWrap w:val="0"/>
            <w:vAlign w:val="center"/>
          </w:tcPr>
          <w:p w14:paraId="20EADA8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lang w:val="en-US" w:eastAsia="zh-CN" w:bidi="ar-SA"/>
              </w:rPr>
            </w:pPr>
            <w:r>
              <w:rPr>
                <w:rFonts w:hint="eastAsia" w:ascii="Times New Roman" w:hAnsi="Times New Roman" w:eastAsia="宋体" w:cs="Times New Roman"/>
                <w:snapToGrid/>
                <w:color w:val="auto"/>
                <w:spacing w:val="0"/>
                <w:kern w:val="0"/>
                <w:position w:val="0"/>
                <w:sz w:val="24"/>
                <w:szCs w:val="24"/>
                <w:lang w:val="en-US" w:eastAsia="zh-CN"/>
              </w:rPr>
              <w:t>/</w:t>
            </w:r>
          </w:p>
        </w:tc>
        <w:tc>
          <w:tcPr>
            <w:tcW w:w="1530" w:type="dxa"/>
            <w:shd w:val="clear" w:color="auto" w:fill="auto"/>
            <w:noWrap w:val="0"/>
            <w:vAlign w:val="center"/>
          </w:tcPr>
          <w:p w14:paraId="2C19C43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napToGrid/>
                <w:color w:val="auto"/>
                <w:spacing w:val="0"/>
                <w:kern w:val="0"/>
                <w:position w:val="0"/>
                <w:sz w:val="24"/>
                <w:szCs w:val="24"/>
                <w:lang w:val="en-US" w:eastAsia="zh-CN" w:bidi="ar-SA"/>
              </w:rPr>
            </w:pPr>
            <w:r>
              <w:rPr>
                <w:rFonts w:hint="eastAsia" w:cs="Times New Roman"/>
                <w:snapToGrid/>
                <w:color w:val="auto"/>
                <w:spacing w:val="0"/>
                <w:kern w:val="0"/>
                <w:position w:val="0"/>
                <w:sz w:val="24"/>
                <w:szCs w:val="24"/>
                <w:lang w:val="en-US" w:eastAsia="zh-CN"/>
              </w:rPr>
              <w:t>0</w:t>
            </w:r>
          </w:p>
        </w:tc>
        <w:tc>
          <w:tcPr>
            <w:tcW w:w="1520" w:type="dxa"/>
            <w:shd w:val="clear" w:color="auto" w:fill="auto"/>
            <w:noWrap w:val="0"/>
            <w:vAlign w:val="center"/>
          </w:tcPr>
          <w:p w14:paraId="5011D825">
            <w:pPr>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rPr>
              <w:t>0.15</w:t>
            </w:r>
            <w:r>
              <w:rPr>
                <w:rFonts w:hint="eastAsia" w:ascii="Times New Roman" w:hAnsi="Times New Roman" w:cs="Times New Roman"/>
                <w:color w:val="auto"/>
                <w:sz w:val="24"/>
                <w:szCs w:val="24"/>
                <w:highlight w:val="none"/>
                <w:lang w:val="en-US" w:eastAsia="zh-CN"/>
              </w:rPr>
              <w:t>t/a</w:t>
            </w:r>
          </w:p>
        </w:tc>
        <w:tc>
          <w:tcPr>
            <w:tcW w:w="1752" w:type="dxa"/>
            <w:shd w:val="clear" w:color="auto" w:fill="auto"/>
            <w:noWrap w:val="0"/>
            <w:vAlign w:val="center"/>
          </w:tcPr>
          <w:p w14:paraId="19D757B7">
            <w:pPr>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Times New Roman"/>
                <w:color w:val="auto"/>
                <w:kern w:val="0"/>
                <w:sz w:val="24"/>
                <w:szCs w:val="24"/>
                <w:highlight w:val="none"/>
                <w:lang w:val="en-US" w:eastAsia="zh-CN" w:bidi="ar-SA"/>
              </w:rPr>
            </w:pPr>
            <w:r>
              <w:rPr>
                <w:rFonts w:hint="eastAsia" w:cs="Times New Roman"/>
                <w:color w:val="auto"/>
                <w:kern w:val="0"/>
                <w:sz w:val="24"/>
                <w:szCs w:val="24"/>
                <w:highlight w:val="none"/>
                <w:lang w:val="en-US" w:eastAsia="zh-CN" w:bidi="ar-SA"/>
              </w:rPr>
              <w:t>0</w:t>
            </w:r>
          </w:p>
        </w:tc>
        <w:tc>
          <w:tcPr>
            <w:tcW w:w="1387" w:type="dxa"/>
            <w:shd w:val="clear" w:color="auto" w:fill="auto"/>
            <w:noWrap w:val="0"/>
            <w:vAlign w:val="center"/>
          </w:tcPr>
          <w:p w14:paraId="1287BA6A">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highlight w:val="none"/>
                <w:lang w:val="en-US" w:eastAsia="zh-CN" w:bidi="ar-SA"/>
              </w:rPr>
            </w:pPr>
            <w:r>
              <w:rPr>
                <w:rFonts w:hint="eastAsia" w:cs="Times New Roman"/>
                <w:snapToGrid/>
                <w:color w:val="auto"/>
                <w:spacing w:val="0"/>
                <w:kern w:val="0"/>
                <w:position w:val="0"/>
                <w:sz w:val="24"/>
                <w:szCs w:val="24"/>
                <w:highlight w:val="none"/>
                <w:lang w:val="en-US" w:eastAsia="zh-CN" w:bidi="ar-SA"/>
              </w:rPr>
              <w:t>-0.15</w:t>
            </w:r>
            <w:r>
              <w:rPr>
                <w:rFonts w:hint="eastAsia" w:ascii="Times New Roman" w:hAnsi="Times New Roman" w:cs="Times New Roman"/>
                <w:color w:val="auto"/>
                <w:sz w:val="24"/>
                <w:szCs w:val="24"/>
                <w:highlight w:val="none"/>
                <w:lang w:val="en-US" w:eastAsia="zh-CN"/>
              </w:rPr>
              <w:t>t/a</w:t>
            </w:r>
          </w:p>
        </w:tc>
      </w:tr>
      <w:tr w14:paraId="5C92F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88" w:type="dxa"/>
            <w:vMerge w:val="continue"/>
            <w:noWrap w:val="0"/>
            <w:vAlign w:val="center"/>
          </w:tcPr>
          <w:p w14:paraId="46B8D85D">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rPr>
            </w:pPr>
          </w:p>
        </w:tc>
        <w:tc>
          <w:tcPr>
            <w:tcW w:w="1316" w:type="dxa"/>
            <w:shd w:val="clear" w:color="auto" w:fill="auto"/>
            <w:noWrap w:val="0"/>
            <w:vAlign w:val="center"/>
          </w:tcPr>
          <w:p w14:paraId="335B59A1">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auto"/>
                <w:kern w:val="2"/>
                <w:sz w:val="24"/>
                <w:szCs w:val="24"/>
                <w:lang w:val="en-US" w:eastAsia="zh-CN" w:bidi="ar-SA"/>
              </w:rPr>
            </w:pPr>
            <w:r>
              <w:rPr>
                <w:rFonts w:hint="eastAsia" w:cs="Times New Roman"/>
                <w:color w:val="auto"/>
                <w:sz w:val="24"/>
                <w:szCs w:val="24"/>
                <w:lang w:val="en-US" w:eastAsia="zh-CN"/>
              </w:rPr>
              <w:t>废活性炭</w:t>
            </w:r>
          </w:p>
        </w:tc>
        <w:tc>
          <w:tcPr>
            <w:tcW w:w="1695" w:type="dxa"/>
            <w:shd w:val="clear" w:color="auto" w:fill="auto"/>
            <w:noWrap w:val="0"/>
            <w:vAlign w:val="center"/>
          </w:tcPr>
          <w:p w14:paraId="730EC9D8">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4"/>
                <w:szCs w:val="24"/>
                <w:highlight w:val="none"/>
                <w:lang w:val="en-US" w:eastAsia="zh-CN" w:bidi="en-US"/>
              </w:rPr>
            </w:pPr>
            <w:r>
              <w:rPr>
                <w:rFonts w:hint="eastAsia" w:ascii="Times New Roman" w:hAnsi="Times New Roman" w:cs="Times New Roman"/>
                <w:b w:val="0"/>
                <w:bCs/>
                <w:color w:val="auto"/>
                <w:kern w:val="2"/>
                <w:sz w:val="24"/>
                <w:szCs w:val="24"/>
                <w:vertAlign w:val="baseline"/>
                <w:lang w:val="en-US" w:eastAsia="zh-CN" w:bidi="ar-SA"/>
              </w:rPr>
              <w:t>1</w:t>
            </w:r>
            <w:r>
              <w:rPr>
                <w:rFonts w:hint="eastAsia" w:ascii="Times New Roman" w:hAnsi="Times New Roman" w:cs="Times New Roman"/>
                <w:color w:val="auto"/>
                <w:sz w:val="24"/>
                <w:szCs w:val="24"/>
                <w:highlight w:val="none"/>
                <w:lang w:val="en-US" w:eastAsia="zh-CN"/>
              </w:rPr>
              <w:t>t/a</w:t>
            </w:r>
          </w:p>
        </w:tc>
        <w:tc>
          <w:tcPr>
            <w:tcW w:w="1275" w:type="dxa"/>
            <w:noWrap w:val="0"/>
            <w:vAlign w:val="center"/>
          </w:tcPr>
          <w:p w14:paraId="3317044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lang w:val="en-US" w:eastAsia="zh-CN"/>
              </w:rPr>
            </w:pPr>
            <w:r>
              <w:rPr>
                <w:rFonts w:hint="eastAsia" w:cs="Times New Roman"/>
                <w:snapToGrid/>
                <w:color w:val="auto"/>
                <w:spacing w:val="0"/>
                <w:kern w:val="0"/>
                <w:position w:val="0"/>
                <w:sz w:val="24"/>
                <w:szCs w:val="24"/>
                <w:lang w:val="en-US" w:eastAsia="zh-CN"/>
              </w:rPr>
              <w:t>/</w:t>
            </w:r>
          </w:p>
        </w:tc>
        <w:tc>
          <w:tcPr>
            <w:tcW w:w="1725" w:type="dxa"/>
            <w:noWrap w:val="0"/>
            <w:vAlign w:val="center"/>
          </w:tcPr>
          <w:p w14:paraId="34CD2E1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lang w:val="en-US" w:eastAsia="zh-CN"/>
              </w:rPr>
            </w:pPr>
            <w:r>
              <w:rPr>
                <w:rFonts w:hint="eastAsia" w:ascii="Times New Roman" w:hAnsi="Times New Roman" w:eastAsia="宋体" w:cs="Times New Roman"/>
                <w:snapToGrid/>
                <w:color w:val="auto"/>
                <w:spacing w:val="0"/>
                <w:kern w:val="0"/>
                <w:position w:val="0"/>
                <w:sz w:val="24"/>
                <w:szCs w:val="24"/>
                <w:lang w:val="en-US" w:eastAsia="zh-CN"/>
              </w:rPr>
              <w:t>/</w:t>
            </w:r>
          </w:p>
        </w:tc>
        <w:tc>
          <w:tcPr>
            <w:tcW w:w="1530" w:type="dxa"/>
            <w:shd w:val="clear" w:color="auto" w:fill="auto"/>
            <w:noWrap w:val="0"/>
            <w:vAlign w:val="center"/>
          </w:tcPr>
          <w:p w14:paraId="0D19DE0B">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napToGrid/>
                <w:color w:val="auto"/>
                <w:spacing w:val="0"/>
                <w:kern w:val="0"/>
                <w:position w:val="0"/>
                <w:sz w:val="24"/>
                <w:szCs w:val="24"/>
                <w:lang w:val="en-US" w:eastAsia="zh-CN" w:bidi="ar-SA"/>
              </w:rPr>
            </w:pPr>
            <w:r>
              <w:rPr>
                <w:rFonts w:hint="eastAsia" w:cs="Times New Roman"/>
                <w:snapToGrid/>
                <w:color w:val="auto"/>
                <w:spacing w:val="0"/>
                <w:kern w:val="0"/>
                <w:position w:val="0"/>
                <w:sz w:val="24"/>
                <w:szCs w:val="24"/>
                <w:lang w:val="en-US" w:eastAsia="zh-CN"/>
              </w:rPr>
              <w:t>7.1942</w:t>
            </w:r>
            <w:r>
              <w:rPr>
                <w:rFonts w:hint="eastAsia" w:ascii="Times New Roman" w:hAnsi="Times New Roman" w:cs="Times New Roman"/>
                <w:color w:val="auto"/>
                <w:sz w:val="24"/>
                <w:szCs w:val="24"/>
                <w:highlight w:val="none"/>
                <w:lang w:val="en-US" w:eastAsia="zh-CN"/>
              </w:rPr>
              <w:t>t/a</w:t>
            </w:r>
          </w:p>
        </w:tc>
        <w:tc>
          <w:tcPr>
            <w:tcW w:w="1520" w:type="dxa"/>
            <w:shd w:val="clear" w:color="auto" w:fill="auto"/>
            <w:noWrap w:val="0"/>
            <w:vAlign w:val="center"/>
          </w:tcPr>
          <w:p w14:paraId="778028FC">
            <w:pPr>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snapToGrid w:val="0"/>
                <w:color w:val="auto"/>
                <w:kern w:val="21"/>
                <w:sz w:val="24"/>
                <w:szCs w:val="24"/>
                <w:highlight w:val="none"/>
                <w:lang w:val="en-US" w:eastAsia="zh-CN" w:bidi="ar-SA"/>
              </w:rPr>
            </w:pPr>
            <w:r>
              <w:rPr>
                <w:rFonts w:hint="eastAsia" w:cs="Times New Roman"/>
                <w:color w:val="auto"/>
                <w:sz w:val="24"/>
                <w:szCs w:val="24"/>
                <w:highlight w:val="none"/>
                <w:lang w:val="en-US" w:eastAsia="zh-CN"/>
              </w:rPr>
              <w:t>1</w:t>
            </w:r>
            <w:r>
              <w:rPr>
                <w:rFonts w:hint="eastAsia" w:ascii="Times New Roman" w:hAnsi="Times New Roman" w:cs="Times New Roman"/>
                <w:color w:val="auto"/>
                <w:sz w:val="24"/>
                <w:szCs w:val="24"/>
                <w:highlight w:val="none"/>
                <w:lang w:val="en-US" w:eastAsia="zh-CN"/>
              </w:rPr>
              <w:t>t/a</w:t>
            </w:r>
          </w:p>
        </w:tc>
        <w:tc>
          <w:tcPr>
            <w:tcW w:w="1752" w:type="dxa"/>
            <w:shd w:val="clear" w:color="auto" w:fill="auto"/>
            <w:noWrap w:val="0"/>
            <w:vAlign w:val="center"/>
          </w:tcPr>
          <w:p w14:paraId="7D67956E">
            <w:pPr>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Times New Roman"/>
                <w:color w:val="auto"/>
                <w:kern w:val="0"/>
                <w:sz w:val="24"/>
                <w:szCs w:val="24"/>
                <w:highlight w:val="none"/>
                <w:lang w:val="en-US" w:eastAsia="zh-CN" w:bidi="ar-SA"/>
              </w:rPr>
            </w:pPr>
            <w:r>
              <w:rPr>
                <w:rFonts w:hint="eastAsia" w:cs="Times New Roman"/>
                <w:color w:val="auto"/>
                <w:kern w:val="0"/>
                <w:sz w:val="24"/>
                <w:szCs w:val="24"/>
                <w:highlight w:val="none"/>
                <w:lang w:val="en-US" w:eastAsia="zh-CN" w:bidi="ar-SA"/>
              </w:rPr>
              <w:t>7.1942</w:t>
            </w:r>
            <w:r>
              <w:rPr>
                <w:rFonts w:hint="eastAsia" w:ascii="Times New Roman" w:hAnsi="Times New Roman" w:cs="Times New Roman"/>
                <w:color w:val="auto"/>
                <w:sz w:val="24"/>
                <w:szCs w:val="24"/>
                <w:highlight w:val="none"/>
                <w:lang w:val="en-US" w:eastAsia="zh-CN"/>
              </w:rPr>
              <w:t>t/a</w:t>
            </w:r>
          </w:p>
        </w:tc>
        <w:tc>
          <w:tcPr>
            <w:tcW w:w="1387" w:type="dxa"/>
            <w:shd w:val="clear" w:color="auto" w:fill="auto"/>
            <w:noWrap w:val="0"/>
            <w:vAlign w:val="center"/>
          </w:tcPr>
          <w:p w14:paraId="2D4F2B60">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Times New Roman" w:hAnsi="Times New Roman" w:eastAsia="宋体" w:cs="Times New Roman"/>
                <w:snapToGrid/>
                <w:color w:val="auto"/>
                <w:spacing w:val="0"/>
                <w:kern w:val="0"/>
                <w:position w:val="0"/>
                <w:sz w:val="24"/>
                <w:szCs w:val="24"/>
                <w:highlight w:val="none"/>
                <w:lang w:val="en-US" w:eastAsia="zh-CN" w:bidi="ar-SA"/>
              </w:rPr>
            </w:pPr>
            <w:r>
              <w:rPr>
                <w:rFonts w:hint="eastAsia" w:ascii="Times New Roman" w:hAnsi="Times New Roman" w:eastAsia="宋体" w:cs="Times New Roman"/>
                <w:snapToGrid/>
                <w:color w:val="auto"/>
                <w:spacing w:val="0"/>
                <w:kern w:val="0"/>
                <w:position w:val="0"/>
                <w:sz w:val="24"/>
                <w:szCs w:val="24"/>
                <w:highlight w:val="none"/>
                <w:lang w:val="en-US" w:eastAsia="zh-CN" w:bidi="ar-SA"/>
              </w:rPr>
              <w:t>+</w:t>
            </w:r>
            <w:r>
              <w:rPr>
                <w:rFonts w:hint="eastAsia" w:cs="Times New Roman"/>
                <w:snapToGrid/>
                <w:color w:val="auto"/>
                <w:spacing w:val="0"/>
                <w:kern w:val="0"/>
                <w:position w:val="0"/>
                <w:sz w:val="24"/>
                <w:szCs w:val="24"/>
                <w:highlight w:val="none"/>
                <w:lang w:val="en-US" w:eastAsia="zh-CN" w:bidi="ar-SA"/>
              </w:rPr>
              <w:t>6.1942</w:t>
            </w:r>
            <w:r>
              <w:rPr>
                <w:rFonts w:hint="eastAsia" w:ascii="Times New Roman" w:hAnsi="Times New Roman" w:cs="Times New Roman"/>
                <w:color w:val="auto"/>
                <w:sz w:val="24"/>
                <w:szCs w:val="24"/>
                <w:highlight w:val="none"/>
                <w:lang w:val="en-US" w:eastAsia="zh-CN"/>
              </w:rPr>
              <w:t>t/a</w:t>
            </w:r>
          </w:p>
        </w:tc>
      </w:tr>
      <w:tr w14:paraId="0CB8DB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588" w:type="dxa"/>
            <w:vMerge w:val="continue"/>
            <w:noWrap w:val="0"/>
            <w:vAlign w:val="center"/>
          </w:tcPr>
          <w:p w14:paraId="6E1FE03F">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rPr>
            </w:pPr>
          </w:p>
        </w:tc>
        <w:tc>
          <w:tcPr>
            <w:tcW w:w="1316" w:type="dxa"/>
            <w:shd w:val="clear" w:color="auto" w:fill="auto"/>
            <w:noWrap w:val="0"/>
            <w:vAlign w:val="center"/>
          </w:tcPr>
          <w:p w14:paraId="3408B7C7">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b w:val="0"/>
                <w:bCs w:val="0"/>
                <w:color w:val="auto"/>
                <w:kern w:val="2"/>
                <w:sz w:val="24"/>
                <w:szCs w:val="24"/>
                <w:highlight w:val="none"/>
                <w:vertAlign w:val="baseline"/>
                <w:lang w:val="en-US" w:eastAsia="zh-CN" w:bidi="ar-SA"/>
              </w:rPr>
            </w:pPr>
            <w:r>
              <w:rPr>
                <w:rFonts w:hint="default" w:ascii="Times New Roman" w:hAnsi="Times New Roman" w:eastAsia="宋体" w:cs="Times New Roman"/>
                <w:color w:val="auto"/>
                <w:sz w:val="24"/>
                <w:szCs w:val="24"/>
                <w:lang w:val="en-US" w:eastAsia="zh-CN"/>
              </w:rPr>
              <w:t>废机油</w:t>
            </w:r>
          </w:p>
        </w:tc>
        <w:tc>
          <w:tcPr>
            <w:tcW w:w="1695" w:type="dxa"/>
            <w:shd w:val="clear" w:color="auto" w:fill="auto"/>
            <w:noWrap w:val="0"/>
            <w:vAlign w:val="center"/>
          </w:tcPr>
          <w:p w14:paraId="5202DCA9">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color w:val="auto"/>
                <w:kern w:val="2"/>
                <w:sz w:val="24"/>
                <w:szCs w:val="24"/>
                <w:vertAlign w:val="baseline"/>
                <w:lang w:val="en-US" w:eastAsia="zh-CN" w:bidi="ar-SA"/>
              </w:rPr>
            </w:pPr>
            <w:r>
              <w:rPr>
                <w:rFonts w:hint="eastAsia" w:ascii="Times New Roman" w:hAnsi="Times New Roman" w:cs="Times New Roman"/>
                <w:b w:val="0"/>
                <w:bCs/>
                <w:color w:val="auto"/>
                <w:kern w:val="2"/>
                <w:sz w:val="24"/>
                <w:szCs w:val="24"/>
                <w:vertAlign w:val="baseline"/>
                <w:lang w:val="en-US" w:eastAsia="zh-CN" w:bidi="ar-SA"/>
              </w:rPr>
              <w:t>1</w:t>
            </w:r>
            <w:r>
              <w:rPr>
                <w:rFonts w:hint="eastAsia" w:ascii="Times New Roman" w:hAnsi="Times New Roman" w:cs="Times New Roman"/>
                <w:color w:val="auto"/>
                <w:sz w:val="24"/>
                <w:szCs w:val="24"/>
                <w:highlight w:val="none"/>
                <w:lang w:val="en-US" w:eastAsia="zh-CN"/>
              </w:rPr>
              <w:t>t/a</w:t>
            </w:r>
          </w:p>
        </w:tc>
        <w:tc>
          <w:tcPr>
            <w:tcW w:w="1275" w:type="dxa"/>
            <w:noWrap w:val="0"/>
            <w:vAlign w:val="center"/>
          </w:tcPr>
          <w:p w14:paraId="6D09363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s="Times New Roman"/>
                <w:snapToGrid/>
                <w:color w:val="auto"/>
                <w:spacing w:val="0"/>
                <w:kern w:val="0"/>
                <w:position w:val="0"/>
                <w:sz w:val="24"/>
                <w:szCs w:val="24"/>
                <w:lang w:val="en-US" w:eastAsia="zh-CN"/>
              </w:rPr>
            </w:pPr>
            <w:r>
              <w:rPr>
                <w:rFonts w:hint="eastAsia" w:cs="Times New Roman"/>
                <w:snapToGrid/>
                <w:color w:val="auto"/>
                <w:spacing w:val="0"/>
                <w:kern w:val="0"/>
                <w:position w:val="0"/>
                <w:sz w:val="24"/>
                <w:szCs w:val="24"/>
                <w:lang w:val="en-US" w:eastAsia="zh-CN"/>
              </w:rPr>
              <w:t>/</w:t>
            </w:r>
          </w:p>
        </w:tc>
        <w:tc>
          <w:tcPr>
            <w:tcW w:w="1725" w:type="dxa"/>
            <w:noWrap w:val="0"/>
            <w:vAlign w:val="center"/>
          </w:tcPr>
          <w:p w14:paraId="1C2F7AC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snapToGrid/>
                <w:color w:val="auto"/>
                <w:spacing w:val="0"/>
                <w:kern w:val="0"/>
                <w:position w:val="0"/>
                <w:sz w:val="24"/>
                <w:szCs w:val="24"/>
                <w:lang w:val="en-US" w:eastAsia="zh-CN"/>
              </w:rPr>
            </w:pPr>
            <w:r>
              <w:rPr>
                <w:rFonts w:hint="eastAsia" w:cs="Times New Roman"/>
                <w:snapToGrid/>
                <w:color w:val="auto"/>
                <w:spacing w:val="0"/>
                <w:kern w:val="0"/>
                <w:position w:val="0"/>
                <w:sz w:val="24"/>
                <w:szCs w:val="24"/>
                <w:lang w:val="en-US" w:eastAsia="zh-CN"/>
              </w:rPr>
              <w:t>/</w:t>
            </w:r>
          </w:p>
        </w:tc>
        <w:tc>
          <w:tcPr>
            <w:tcW w:w="1530" w:type="dxa"/>
            <w:shd w:val="clear" w:color="auto" w:fill="auto"/>
            <w:noWrap w:val="0"/>
            <w:vAlign w:val="center"/>
          </w:tcPr>
          <w:p w14:paraId="300801D1">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snapToGrid/>
                <w:color w:val="auto"/>
                <w:spacing w:val="0"/>
                <w:kern w:val="0"/>
                <w:position w:val="0"/>
                <w:sz w:val="24"/>
                <w:szCs w:val="24"/>
                <w:lang w:val="en-US" w:eastAsia="zh-CN" w:bidi="ar-SA"/>
              </w:rPr>
            </w:pPr>
            <w:r>
              <w:rPr>
                <w:rFonts w:hint="eastAsia" w:cs="Times New Roman"/>
                <w:snapToGrid/>
                <w:color w:val="auto"/>
                <w:spacing w:val="0"/>
                <w:kern w:val="0"/>
                <w:position w:val="0"/>
                <w:sz w:val="24"/>
                <w:szCs w:val="24"/>
                <w:lang w:val="en-US" w:eastAsia="zh-CN"/>
              </w:rPr>
              <w:t>1</w:t>
            </w:r>
            <w:r>
              <w:rPr>
                <w:rFonts w:hint="eastAsia" w:ascii="Times New Roman" w:hAnsi="Times New Roman" w:cs="Times New Roman"/>
                <w:color w:val="auto"/>
                <w:sz w:val="24"/>
                <w:szCs w:val="24"/>
                <w:highlight w:val="none"/>
                <w:lang w:val="en-US" w:eastAsia="zh-CN"/>
              </w:rPr>
              <w:t>t/a</w:t>
            </w:r>
          </w:p>
        </w:tc>
        <w:tc>
          <w:tcPr>
            <w:tcW w:w="1520" w:type="dxa"/>
            <w:shd w:val="clear" w:color="auto" w:fill="auto"/>
            <w:noWrap w:val="0"/>
            <w:vAlign w:val="center"/>
          </w:tcPr>
          <w:p w14:paraId="3C8A3DD4">
            <w:pPr>
              <w:keepNext w:val="0"/>
              <w:keepLines w:val="0"/>
              <w:pageBreakBefore w:val="0"/>
              <w:kinsoku/>
              <w:wordWrap/>
              <w:overflowPunct/>
              <w:topLinePunct w:val="0"/>
              <w:bidi w:val="0"/>
              <w:spacing w:beforeLines="0" w:afterLines="0" w:line="240" w:lineRule="auto"/>
              <w:ind w:left="0" w:leftChars="0" w:firstLine="0" w:firstLineChars="0"/>
              <w:jc w:val="center"/>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0</w:t>
            </w:r>
          </w:p>
        </w:tc>
        <w:tc>
          <w:tcPr>
            <w:tcW w:w="1752" w:type="dxa"/>
            <w:shd w:val="clear" w:color="auto" w:fill="auto"/>
            <w:noWrap w:val="0"/>
            <w:vAlign w:val="center"/>
          </w:tcPr>
          <w:p w14:paraId="0F9ED053">
            <w:pPr>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Times New Roman"/>
                <w:color w:val="auto"/>
                <w:kern w:val="0"/>
                <w:sz w:val="24"/>
                <w:szCs w:val="24"/>
                <w:highlight w:val="none"/>
                <w:lang w:val="en-US" w:eastAsia="zh-CN" w:bidi="ar-SA"/>
              </w:rPr>
            </w:pPr>
            <w:r>
              <w:rPr>
                <w:rFonts w:hint="eastAsia" w:cs="Times New Roman"/>
                <w:color w:val="auto"/>
                <w:kern w:val="0"/>
                <w:sz w:val="24"/>
                <w:szCs w:val="24"/>
                <w:highlight w:val="none"/>
                <w:lang w:val="en-US" w:eastAsia="zh-CN" w:bidi="ar-SA"/>
              </w:rPr>
              <w:t>2</w:t>
            </w:r>
            <w:r>
              <w:rPr>
                <w:rFonts w:hint="eastAsia" w:ascii="Times New Roman" w:hAnsi="Times New Roman" w:cs="Times New Roman"/>
                <w:color w:val="auto"/>
                <w:sz w:val="24"/>
                <w:szCs w:val="24"/>
                <w:highlight w:val="none"/>
                <w:lang w:val="en-US" w:eastAsia="zh-CN"/>
              </w:rPr>
              <w:t>t/a</w:t>
            </w:r>
          </w:p>
        </w:tc>
        <w:tc>
          <w:tcPr>
            <w:tcW w:w="1387" w:type="dxa"/>
            <w:shd w:val="clear" w:color="auto" w:fill="auto"/>
            <w:noWrap w:val="0"/>
            <w:vAlign w:val="center"/>
          </w:tcPr>
          <w:p w14:paraId="35700912">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Times New Roman" w:hAnsi="Times New Roman" w:eastAsia="宋体" w:cs="Times New Roman"/>
                <w:snapToGrid/>
                <w:color w:val="auto"/>
                <w:spacing w:val="0"/>
                <w:kern w:val="0"/>
                <w:position w:val="0"/>
                <w:sz w:val="24"/>
                <w:szCs w:val="24"/>
                <w:highlight w:val="none"/>
                <w:lang w:val="en-US" w:eastAsia="zh-CN" w:bidi="ar-SA"/>
              </w:rPr>
            </w:pPr>
            <w:r>
              <w:rPr>
                <w:rFonts w:hint="eastAsia" w:ascii="Times New Roman" w:hAnsi="Times New Roman" w:eastAsia="宋体" w:cs="Times New Roman"/>
                <w:snapToGrid/>
                <w:color w:val="auto"/>
                <w:spacing w:val="0"/>
                <w:kern w:val="0"/>
                <w:position w:val="0"/>
                <w:sz w:val="24"/>
                <w:szCs w:val="24"/>
                <w:highlight w:val="none"/>
                <w:lang w:val="en-US" w:eastAsia="zh-CN" w:bidi="ar-SA"/>
              </w:rPr>
              <w:t>+1</w:t>
            </w:r>
            <w:r>
              <w:rPr>
                <w:rFonts w:hint="eastAsia" w:ascii="Times New Roman" w:hAnsi="Times New Roman" w:cs="Times New Roman"/>
                <w:color w:val="auto"/>
                <w:sz w:val="24"/>
                <w:szCs w:val="24"/>
                <w:highlight w:val="none"/>
                <w:lang w:val="en-US" w:eastAsia="zh-CN"/>
              </w:rPr>
              <w:t>t/a</w:t>
            </w:r>
          </w:p>
        </w:tc>
      </w:tr>
      <w:tr w14:paraId="2B5E61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588" w:type="dxa"/>
            <w:vMerge w:val="continue"/>
            <w:noWrap w:val="0"/>
            <w:vAlign w:val="center"/>
          </w:tcPr>
          <w:p w14:paraId="1928C997">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rPr>
            </w:pPr>
          </w:p>
        </w:tc>
        <w:tc>
          <w:tcPr>
            <w:tcW w:w="1316" w:type="dxa"/>
            <w:shd w:val="clear" w:color="auto" w:fill="auto"/>
            <w:noWrap w:val="0"/>
            <w:vAlign w:val="center"/>
          </w:tcPr>
          <w:p w14:paraId="586431EF">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废</w:t>
            </w:r>
            <w:r>
              <w:rPr>
                <w:rFonts w:hint="default" w:ascii="Times New Roman" w:hAnsi="Times New Roman" w:eastAsia="宋体" w:cs="Times New Roman"/>
                <w:color w:val="auto"/>
                <w:sz w:val="24"/>
                <w:szCs w:val="24"/>
                <w:lang w:val="en-US" w:eastAsia="zh-CN"/>
              </w:rPr>
              <w:t>镍催化剂</w:t>
            </w:r>
          </w:p>
        </w:tc>
        <w:tc>
          <w:tcPr>
            <w:tcW w:w="1695" w:type="dxa"/>
            <w:shd w:val="clear" w:color="auto" w:fill="auto"/>
            <w:noWrap w:val="0"/>
            <w:vAlign w:val="center"/>
          </w:tcPr>
          <w:p w14:paraId="4CF9B748">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kern w:val="2"/>
                <w:sz w:val="24"/>
                <w:szCs w:val="24"/>
                <w:vertAlign w:val="baseline"/>
                <w:lang w:val="en-US" w:eastAsia="zh-CN" w:bidi="ar-SA"/>
              </w:rPr>
            </w:pPr>
            <w:r>
              <w:rPr>
                <w:rFonts w:hint="eastAsia" w:ascii="Times New Roman" w:hAnsi="Times New Roman" w:cs="Times New Roman"/>
                <w:b w:val="0"/>
                <w:bCs/>
                <w:color w:val="auto"/>
                <w:kern w:val="2"/>
                <w:sz w:val="24"/>
                <w:szCs w:val="24"/>
                <w:vertAlign w:val="baseline"/>
                <w:lang w:val="en-US" w:eastAsia="zh-CN" w:bidi="ar-SA"/>
              </w:rPr>
              <w:t>0.1</w:t>
            </w:r>
            <w:r>
              <w:rPr>
                <w:rFonts w:hint="eastAsia" w:ascii="Times New Roman" w:hAnsi="Times New Roman" w:cs="Times New Roman"/>
                <w:color w:val="auto"/>
                <w:sz w:val="24"/>
                <w:szCs w:val="24"/>
                <w:highlight w:val="none"/>
                <w:lang w:val="en-US" w:eastAsia="zh-CN"/>
              </w:rPr>
              <w:t>t/a</w:t>
            </w:r>
          </w:p>
        </w:tc>
        <w:tc>
          <w:tcPr>
            <w:tcW w:w="1275" w:type="dxa"/>
            <w:noWrap w:val="0"/>
            <w:vAlign w:val="center"/>
          </w:tcPr>
          <w:p w14:paraId="3E964A2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snapToGrid/>
                <w:color w:val="auto"/>
                <w:spacing w:val="0"/>
                <w:kern w:val="0"/>
                <w:position w:val="0"/>
                <w:sz w:val="24"/>
                <w:szCs w:val="24"/>
                <w:lang w:val="en-US" w:eastAsia="zh-CN"/>
              </w:rPr>
            </w:pPr>
            <w:r>
              <w:rPr>
                <w:rFonts w:hint="eastAsia" w:cs="Times New Roman"/>
                <w:snapToGrid/>
                <w:color w:val="auto"/>
                <w:spacing w:val="0"/>
                <w:kern w:val="0"/>
                <w:position w:val="0"/>
                <w:sz w:val="24"/>
                <w:szCs w:val="24"/>
                <w:lang w:val="en-US" w:eastAsia="zh-CN"/>
              </w:rPr>
              <w:t>/</w:t>
            </w:r>
          </w:p>
        </w:tc>
        <w:tc>
          <w:tcPr>
            <w:tcW w:w="1725" w:type="dxa"/>
            <w:noWrap w:val="0"/>
            <w:vAlign w:val="center"/>
          </w:tcPr>
          <w:p w14:paraId="6EE4EE1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snapToGrid/>
                <w:color w:val="auto"/>
                <w:spacing w:val="0"/>
                <w:kern w:val="0"/>
                <w:position w:val="0"/>
                <w:sz w:val="24"/>
                <w:szCs w:val="24"/>
                <w:lang w:val="en-US" w:eastAsia="zh-CN"/>
              </w:rPr>
            </w:pPr>
            <w:r>
              <w:rPr>
                <w:rFonts w:hint="eastAsia" w:cs="Times New Roman"/>
                <w:snapToGrid/>
                <w:color w:val="auto"/>
                <w:spacing w:val="0"/>
                <w:kern w:val="0"/>
                <w:position w:val="0"/>
                <w:sz w:val="24"/>
                <w:szCs w:val="24"/>
                <w:lang w:val="en-US" w:eastAsia="zh-CN"/>
              </w:rPr>
              <w:t>/</w:t>
            </w:r>
          </w:p>
        </w:tc>
        <w:tc>
          <w:tcPr>
            <w:tcW w:w="1530" w:type="dxa"/>
            <w:shd w:val="clear" w:color="auto" w:fill="auto"/>
            <w:noWrap w:val="0"/>
            <w:vAlign w:val="center"/>
          </w:tcPr>
          <w:p w14:paraId="34901E0A">
            <w:pPr>
              <w:keepNext w:val="0"/>
              <w:keepLines w:val="0"/>
              <w:pageBreakBefore w:val="0"/>
              <w:kinsoku/>
              <w:wordWrap/>
              <w:overflowPunct/>
              <w:topLinePunct w:val="0"/>
              <w:autoSpaceDE/>
              <w:autoSpaceDN/>
              <w:bidi w:val="0"/>
              <w:spacing w:line="240" w:lineRule="auto"/>
              <w:jc w:val="center"/>
              <w:textAlignment w:val="auto"/>
              <w:rPr>
                <w:rFonts w:hint="default" w:cs="Times New Roman"/>
                <w:snapToGrid/>
                <w:color w:val="auto"/>
                <w:spacing w:val="0"/>
                <w:kern w:val="0"/>
                <w:position w:val="0"/>
                <w:sz w:val="24"/>
                <w:szCs w:val="24"/>
                <w:lang w:val="en-US" w:eastAsia="zh-CN"/>
              </w:rPr>
            </w:pPr>
            <w:r>
              <w:rPr>
                <w:rFonts w:hint="eastAsia" w:cs="Times New Roman"/>
                <w:snapToGrid/>
                <w:color w:val="auto"/>
                <w:spacing w:val="0"/>
                <w:kern w:val="0"/>
                <w:position w:val="0"/>
                <w:sz w:val="24"/>
                <w:szCs w:val="24"/>
                <w:lang w:val="en-US" w:eastAsia="zh-CN"/>
              </w:rPr>
              <w:t>0.1</w:t>
            </w:r>
            <w:r>
              <w:rPr>
                <w:rFonts w:hint="eastAsia" w:ascii="Times New Roman" w:hAnsi="Times New Roman" w:cs="Times New Roman"/>
                <w:color w:val="auto"/>
                <w:sz w:val="24"/>
                <w:szCs w:val="24"/>
                <w:highlight w:val="none"/>
                <w:lang w:val="en-US" w:eastAsia="zh-CN"/>
              </w:rPr>
              <w:t>t/a</w:t>
            </w:r>
          </w:p>
        </w:tc>
        <w:tc>
          <w:tcPr>
            <w:tcW w:w="1520" w:type="dxa"/>
            <w:shd w:val="clear" w:color="auto" w:fill="auto"/>
            <w:noWrap w:val="0"/>
            <w:vAlign w:val="center"/>
          </w:tcPr>
          <w:p w14:paraId="2FB79E13">
            <w:pPr>
              <w:keepNext w:val="0"/>
              <w:keepLines w:val="0"/>
              <w:pageBreakBefore w:val="0"/>
              <w:kinsoku/>
              <w:wordWrap/>
              <w:overflowPunct/>
              <w:topLinePunct w:val="0"/>
              <w:bidi w:val="0"/>
              <w:spacing w:beforeLines="0" w:afterLines="0" w:line="240" w:lineRule="auto"/>
              <w:ind w:left="0" w:leftChars="0" w:firstLine="0" w:firstLineChars="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0</w:t>
            </w:r>
          </w:p>
        </w:tc>
        <w:tc>
          <w:tcPr>
            <w:tcW w:w="1752" w:type="dxa"/>
            <w:shd w:val="clear" w:color="auto" w:fill="auto"/>
            <w:noWrap w:val="0"/>
            <w:vAlign w:val="center"/>
          </w:tcPr>
          <w:p w14:paraId="466A6246">
            <w:pPr>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cs="Times New Roman"/>
                <w:color w:val="auto"/>
                <w:kern w:val="0"/>
                <w:sz w:val="24"/>
                <w:szCs w:val="24"/>
                <w:highlight w:val="none"/>
                <w:lang w:val="en-US" w:eastAsia="zh-CN" w:bidi="ar-SA"/>
              </w:rPr>
            </w:pPr>
            <w:r>
              <w:rPr>
                <w:rFonts w:hint="eastAsia" w:cs="Times New Roman"/>
                <w:color w:val="auto"/>
                <w:kern w:val="0"/>
                <w:sz w:val="24"/>
                <w:szCs w:val="24"/>
                <w:highlight w:val="none"/>
                <w:lang w:val="en-US" w:eastAsia="zh-CN" w:bidi="ar-SA"/>
              </w:rPr>
              <w:t>0.2</w:t>
            </w:r>
            <w:r>
              <w:rPr>
                <w:rFonts w:hint="eastAsia" w:ascii="Times New Roman" w:hAnsi="Times New Roman" w:cs="Times New Roman"/>
                <w:color w:val="auto"/>
                <w:sz w:val="24"/>
                <w:szCs w:val="24"/>
                <w:highlight w:val="none"/>
                <w:lang w:val="en-US" w:eastAsia="zh-CN"/>
              </w:rPr>
              <w:t>t/a</w:t>
            </w:r>
          </w:p>
        </w:tc>
        <w:tc>
          <w:tcPr>
            <w:tcW w:w="1387" w:type="dxa"/>
            <w:shd w:val="clear" w:color="auto" w:fill="auto"/>
            <w:noWrap w:val="0"/>
            <w:vAlign w:val="center"/>
          </w:tcPr>
          <w:p w14:paraId="2E6F038E">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Times New Roman" w:hAnsi="Times New Roman" w:eastAsia="宋体" w:cs="Times New Roman"/>
                <w:snapToGrid/>
                <w:color w:val="auto"/>
                <w:spacing w:val="0"/>
                <w:kern w:val="0"/>
                <w:position w:val="0"/>
                <w:sz w:val="24"/>
                <w:szCs w:val="24"/>
                <w:highlight w:val="none"/>
                <w:lang w:val="en-US" w:eastAsia="zh-CN" w:bidi="ar-SA"/>
              </w:rPr>
            </w:pPr>
            <w:r>
              <w:rPr>
                <w:rFonts w:hint="eastAsia" w:ascii="Times New Roman" w:hAnsi="Times New Roman" w:eastAsia="宋体" w:cs="Times New Roman"/>
                <w:snapToGrid/>
                <w:color w:val="auto"/>
                <w:spacing w:val="0"/>
                <w:kern w:val="0"/>
                <w:position w:val="0"/>
                <w:sz w:val="24"/>
                <w:szCs w:val="24"/>
                <w:highlight w:val="none"/>
                <w:lang w:val="en-US" w:eastAsia="zh-CN" w:bidi="ar-SA"/>
              </w:rPr>
              <w:t>+0.1</w:t>
            </w:r>
            <w:r>
              <w:rPr>
                <w:rFonts w:hint="eastAsia" w:ascii="Times New Roman" w:hAnsi="Times New Roman" w:cs="Times New Roman"/>
                <w:color w:val="auto"/>
                <w:sz w:val="24"/>
                <w:szCs w:val="24"/>
                <w:highlight w:val="none"/>
                <w:lang w:val="en-US" w:eastAsia="zh-CN"/>
              </w:rPr>
              <w:t>t/a</w:t>
            </w:r>
          </w:p>
        </w:tc>
      </w:tr>
      <w:tr w14:paraId="370F3E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88" w:type="dxa"/>
            <w:vMerge w:val="continue"/>
            <w:noWrap w:val="0"/>
            <w:vAlign w:val="center"/>
          </w:tcPr>
          <w:p w14:paraId="3F6AD245">
            <w:pPr>
              <w:pStyle w:val="38"/>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color w:val="auto"/>
                <w:spacing w:val="0"/>
                <w:kern w:val="0"/>
                <w:position w:val="0"/>
                <w:sz w:val="24"/>
                <w:szCs w:val="24"/>
              </w:rPr>
            </w:pPr>
          </w:p>
        </w:tc>
        <w:tc>
          <w:tcPr>
            <w:tcW w:w="1316" w:type="dxa"/>
            <w:shd w:val="clear" w:color="auto" w:fill="auto"/>
            <w:noWrap w:val="0"/>
            <w:vAlign w:val="center"/>
          </w:tcPr>
          <w:p w14:paraId="77F4A24B">
            <w:pPr>
              <w:keepNext w:val="0"/>
              <w:keepLines w:val="0"/>
              <w:pageBreakBefore w:val="0"/>
              <w:widowControl w:val="0"/>
              <w:kinsoku/>
              <w:wordWrap/>
              <w:overflowPunct/>
              <w:topLinePunct w:val="0"/>
              <w:autoSpaceDE/>
              <w:autoSpaceDN/>
              <w:bidi w:val="0"/>
              <w:spacing w:beforeAutospacing="0" w:afterAutospacing="0" w:line="240" w:lineRule="auto"/>
              <w:ind w:firstLine="0" w:firstLineChars="0"/>
              <w:jc w:val="center"/>
              <w:textAlignment w:val="auto"/>
              <w:rPr>
                <w:rFonts w:hint="eastAsia" w:ascii="Times New Roman" w:hAnsi="Times New Roman" w:eastAsia="宋体" w:cs="Times New Roman"/>
                <w:b w:val="0"/>
                <w:bCs w:val="0"/>
                <w:color w:val="auto"/>
                <w:kern w:val="2"/>
                <w:sz w:val="24"/>
                <w:szCs w:val="24"/>
                <w:highlight w:val="none"/>
                <w:vertAlign w:val="baseline"/>
                <w:lang w:val="en-US" w:eastAsia="zh-CN" w:bidi="ar-SA"/>
              </w:rPr>
            </w:pPr>
            <w:r>
              <w:rPr>
                <w:rFonts w:hint="default" w:ascii="Times New Roman" w:hAnsi="Times New Roman" w:eastAsia="宋体" w:cs="Times New Roman"/>
                <w:bCs/>
                <w:color w:val="auto"/>
                <w:kern w:val="2"/>
                <w:sz w:val="24"/>
                <w:szCs w:val="24"/>
                <w:lang w:val="en-US" w:eastAsia="zh-CN" w:bidi="ar-SA"/>
              </w:rPr>
              <w:t>废弃含油抹布、劳保用品</w:t>
            </w:r>
          </w:p>
        </w:tc>
        <w:tc>
          <w:tcPr>
            <w:tcW w:w="1695" w:type="dxa"/>
            <w:shd w:val="clear" w:color="auto" w:fill="auto"/>
            <w:noWrap w:val="0"/>
            <w:vAlign w:val="center"/>
          </w:tcPr>
          <w:p w14:paraId="2A36F7CF">
            <w:pPr>
              <w:pStyle w:val="4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color w:val="auto"/>
                <w:kern w:val="2"/>
                <w:sz w:val="24"/>
                <w:szCs w:val="24"/>
                <w:vertAlign w:val="baseline"/>
                <w:lang w:val="en-US" w:eastAsia="zh-CN" w:bidi="ar-SA"/>
              </w:rPr>
            </w:pPr>
            <w:r>
              <w:rPr>
                <w:rFonts w:hint="eastAsia" w:ascii="Times New Roman" w:hAnsi="Times New Roman" w:cs="Times New Roman"/>
                <w:b w:val="0"/>
                <w:bCs/>
                <w:color w:val="auto"/>
                <w:kern w:val="2"/>
                <w:sz w:val="24"/>
                <w:szCs w:val="24"/>
                <w:vertAlign w:val="baseline"/>
                <w:lang w:val="en-US" w:eastAsia="zh-CN" w:bidi="ar-SA"/>
              </w:rPr>
              <w:t>0.05</w:t>
            </w:r>
            <w:r>
              <w:rPr>
                <w:rFonts w:hint="eastAsia" w:ascii="Times New Roman" w:hAnsi="Times New Roman" w:cs="Times New Roman"/>
                <w:color w:val="auto"/>
                <w:sz w:val="24"/>
                <w:szCs w:val="24"/>
                <w:highlight w:val="none"/>
                <w:lang w:val="en-US" w:eastAsia="zh-CN"/>
              </w:rPr>
              <w:t>t/a</w:t>
            </w:r>
          </w:p>
        </w:tc>
        <w:tc>
          <w:tcPr>
            <w:tcW w:w="1275" w:type="dxa"/>
            <w:noWrap w:val="0"/>
            <w:vAlign w:val="center"/>
          </w:tcPr>
          <w:p w14:paraId="22F3910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s="Times New Roman"/>
                <w:snapToGrid/>
                <w:color w:val="auto"/>
                <w:spacing w:val="0"/>
                <w:kern w:val="0"/>
                <w:position w:val="0"/>
                <w:sz w:val="24"/>
                <w:szCs w:val="24"/>
                <w:lang w:val="en-US" w:eastAsia="zh-CN"/>
              </w:rPr>
            </w:pPr>
            <w:r>
              <w:rPr>
                <w:rFonts w:hint="eastAsia" w:cs="Times New Roman"/>
                <w:snapToGrid/>
                <w:color w:val="auto"/>
                <w:spacing w:val="0"/>
                <w:kern w:val="0"/>
                <w:position w:val="0"/>
                <w:sz w:val="24"/>
                <w:szCs w:val="24"/>
                <w:lang w:val="en-US" w:eastAsia="zh-CN"/>
              </w:rPr>
              <w:t>/</w:t>
            </w:r>
          </w:p>
        </w:tc>
        <w:tc>
          <w:tcPr>
            <w:tcW w:w="1725" w:type="dxa"/>
            <w:noWrap w:val="0"/>
            <w:vAlign w:val="center"/>
          </w:tcPr>
          <w:p w14:paraId="23CFD26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snapToGrid/>
                <w:color w:val="auto"/>
                <w:spacing w:val="0"/>
                <w:kern w:val="0"/>
                <w:position w:val="0"/>
                <w:sz w:val="24"/>
                <w:szCs w:val="24"/>
                <w:lang w:val="en-US" w:eastAsia="zh-CN"/>
              </w:rPr>
            </w:pPr>
            <w:r>
              <w:rPr>
                <w:rFonts w:hint="eastAsia" w:cs="Times New Roman"/>
                <w:snapToGrid/>
                <w:color w:val="auto"/>
                <w:spacing w:val="0"/>
                <w:kern w:val="0"/>
                <w:position w:val="0"/>
                <w:sz w:val="24"/>
                <w:szCs w:val="24"/>
                <w:lang w:val="en-US" w:eastAsia="zh-CN"/>
              </w:rPr>
              <w:t>/</w:t>
            </w:r>
          </w:p>
        </w:tc>
        <w:tc>
          <w:tcPr>
            <w:tcW w:w="1530" w:type="dxa"/>
            <w:shd w:val="clear" w:color="auto" w:fill="auto"/>
            <w:noWrap w:val="0"/>
            <w:vAlign w:val="center"/>
          </w:tcPr>
          <w:p w14:paraId="1D4CE32B">
            <w:pPr>
              <w:keepNext w:val="0"/>
              <w:keepLines w:val="0"/>
              <w:pageBreakBefore w:val="0"/>
              <w:widowControl w:val="0"/>
              <w:kinsoku/>
              <w:wordWrap/>
              <w:overflowPunct/>
              <w:topLinePunct w:val="0"/>
              <w:autoSpaceDE/>
              <w:autoSpaceDN/>
              <w:bidi w:val="0"/>
              <w:spacing w:beforeAutospacing="0" w:afterAutospacing="0" w:line="240" w:lineRule="auto"/>
              <w:ind w:firstLine="0" w:firstLineChars="0"/>
              <w:jc w:val="center"/>
              <w:textAlignment w:val="auto"/>
              <w:rPr>
                <w:rFonts w:hint="eastAsia" w:ascii="Times New Roman" w:hAnsi="Times New Roman" w:eastAsia="宋体" w:cs="Times New Roman"/>
                <w:snapToGrid/>
                <w:color w:val="auto"/>
                <w:spacing w:val="0"/>
                <w:kern w:val="0"/>
                <w:position w:val="0"/>
                <w:sz w:val="24"/>
                <w:szCs w:val="24"/>
                <w:lang w:val="en-US" w:eastAsia="zh-CN" w:bidi="ar-SA"/>
              </w:rPr>
            </w:pPr>
            <w:r>
              <w:rPr>
                <w:rFonts w:hint="eastAsia" w:cs="Times New Roman"/>
                <w:color w:val="auto"/>
                <w:kern w:val="0"/>
                <w:sz w:val="24"/>
                <w:szCs w:val="24"/>
                <w:lang w:val="en-US" w:eastAsia="zh-CN"/>
              </w:rPr>
              <w:t>0.05</w:t>
            </w:r>
            <w:r>
              <w:rPr>
                <w:rFonts w:hint="eastAsia" w:ascii="Times New Roman" w:hAnsi="Times New Roman" w:cs="Times New Roman"/>
                <w:color w:val="auto"/>
                <w:sz w:val="24"/>
                <w:szCs w:val="24"/>
                <w:highlight w:val="none"/>
                <w:lang w:val="en-US" w:eastAsia="zh-CN"/>
              </w:rPr>
              <w:t>t/a</w:t>
            </w:r>
          </w:p>
        </w:tc>
        <w:tc>
          <w:tcPr>
            <w:tcW w:w="1520" w:type="dxa"/>
            <w:shd w:val="clear" w:color="auto" w:fill="auto"/>
            <w:noWrap w:val="0"/>
            <w:vAlign w:val="center"/>
          </w:tcPr>
          <w:p w14:paraId="07425155">
            <w:pPr>
              <w:keepNext w:val="0"/>
              <w:keepLines w:val="0"/>
              <w:pageBreakBefore w:val="0"/>
              <w:kinsoku/>
              <w:wordWrap/>
              <w:overflowPunct/>
              <w:topLinePunct w:val="0"/>
              <w:bidi w:val="0"/>
              <w:spacing w:beforeLines="0" w:afterLines="0" w:line="240" w:lineRule="auto"/>
              <w:ind w:left="0" w:leftChars="0" w:firstLine="0" w:firstLine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b w:val="0"/>
                <w:bCs/>
                <w:color w:val="auto"/>
                <w:kern w:val="2"/>
                <w:sz w:val="24"/>
                <w:szCs w:val="24"/>
                <w:vertAlign w:val="baseline"/>
                <w:lang w:val="en-US" w:eastAsia="zh-CN" w:bidi="ar-SA"/>
              </w:rPr>
              <w:t>0</w:t>
            </w:r>
          </w:p>
        </w:tc>
        <w:tc>
          <w:tcPr>
            <w:tcW w:w="1752" w:type="dxa"/>
            <w:shd w:val="clear" w:color="auto" w:fill="auto"/>
            <w:noWrap w:val="0"/>
            <w:vAlign w:val="center"/>
          </w:tcPr>
          <w:p w14:paraId="4555B49D">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cs="Times New Roman"/>
                <w:color w:val="auto"/>
                <w:kern w:val="0"/>
                <w:sz w:val="24"/>
                <w:szCs w:val="24"/>
                <w:highlight w:val="none"/>
                <w:lang w:val="en-US" w:eastAsia="zh-CN" w:bidi="ar-SA"/>
              </w:rPr>
              <w:t>0.1</w:t>
            </w:r>
            <w:r>
              <w:rPr>
                <w:rFonts w:hint="eastAsia" w:ascii="Times New Roman" w:hAnsi="Times New Roman" w:cs="Times New Roman"/>
                <w:color w:val="auto"/>
                <w:sz w:val="24"/>
                <w:szCs w:val="24"/>
                <w:highlight w:val="none"/>
                <w:lang w:val="en-US" w:eastAsia="zh-CN"/>
              </w:rPr>
              <w:t>t/a</w:t>
            </w:r>
          </w:p>
        </w:tc>
        <w:tc>
          <w:tcPr>
            <w:tcW w:w="1387" w:type="dxa"/>
            <w:shd w:val="clear" w:color="auto" w:fill="auto"/>
            <w:noWrap w:val="0"/>
            <w:vAlign w:val="center"/>
          </w:tcPr>
          <w:p w14:paraId="35199A2B">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snapToGrid/>
                <w:color w:val="auto"/>
                <w:spacing w:val="0"/>
                <w:kern w:val="0"/>
                <w:position w:val="0"/>
                <w:sz w:val="24"/>
                <w:szCs w:val="24"/>
                <w:highlight w:val="none"/>
                <w:lang w:val="en-US" w:eastAsia="zh-CN" w:bidi="ar-SA"/>
              </w:rPr>
            </w:pPr>
            <w:r>
              <w:rPr>
                <w:rFonts w:hint="eastAsia" w:cs="Times New Roman"/>
                <w:snapToGrid/>
                <w:color w:val="auto"/>
                <w:spacing w:val="0"/>
                <w:kern w:val="0"/>
                <w:position w:val="0"/>
                <w:sz w:val="24"/>
                <w:szCs w:val="24"/>
                <w:lang w:val="en-US" w:eastAsia="zh-CN"/>
              </w:rPr>
              <w:t>+0.05</w:t>
            </w:r>
            <w:r>
              <w:rPr>
                <w:rFonts w:hint="eastAsia" w:ascii="Times New Roman" w:hAnsi="Times New Roman" w:cs="Times New Roman"/>
                <w:color w:val="auto"/>
                <w:sz w:val="24"/>
                <w:szCs w:val="24"/>
                <w:highlight w:val="none"/>
                <w:lang w:val="en-US" w:eastAsia="zh-CN"/>
              </w:rPr>
              <w:t>t/a</w:t>
            </w:r>
          </w:p>
        </w:tc>
      </w:tr>
    </w:tbl>
    <w:p w14:paraId="2B843E67">
      <w:pPr>
        <w:pStyle w:val="38"/>
        <w:spacing w:before="192" w:beforeLines="80" w:after="24"/>
        <w:jc w:val="left"/>
        <w:rPr>
          <w:snapToGrid/>
          <w:color w:val="auto"/>
          <w:spacing w:val="0"/>
          <w:kern w:val="0"/>
          <w:position w:val="0"/>
        </w:rPr>
      </w:pPr>
      <w:r>
        <w:rPr>
          <w:rFonts w:hint="default" w:ascii="Times New Roman" w:hAnsi="Times New Roman" w:eastAsia="宋体" w:cs="Times New Roman"/>
          <w:snapToGrid/>
          <w:color w:val="auto"/>
          <w:spacing w:val="0"/>
          <w:kern w:val="0"/>
          <w:position w:val="0"/>
          <w:szCs w:val="21"/>
        </w:rPr>
        <w:t>注：</w:t>
      </w:r>
      <w:r>
        <w:rPr>
          <w:rFonts w:hint="default" w:ascii="Times New Roman" w:hAnsi="Times New Roman" w:eastAsia="宋体" w:cs="Times New Roman"/>
          <w:snapToGrid/>
          <w:color w:val="auto"/>
          <w:spacing w:val="0"/>
          <w:kern w:val="0"/>
          <w:position w:val="0"/>
          <w:szCs w:val="21"/>
        </w:rPr>
        <w:fldChar w:fldCharType="begin"/>
      </w:r>
      <w:r>
        <w:rPr>
          <w:rFonts w:hint="default" w:ascii="Times New Roman" w:hAnsi="Times New Roman" w:eastAsia="宋体" w:cs="Times New Roman"/>
          <w:snapToGrid/>
          <w:color w:val="auto"/>
          <w:spacing w:val="0"/>
          <w:kern w:val="0"/>
          <w:position w:val="0"/>
          <w:szCs w:val="21"/>
        </w:rPr>
        <w:instrText xml:space="preserve"> = 6 \* GB3 \* MERGEFORMAT </w:instrText>
      </w:r>
      <w:r>
        <w:rPr>
          <w:rFonts w:hint="default" w:ascii="Times New Roman" w:hAnsi="Times New Roman" w:eastAsia="宋体" w:cs="Times New Roman"/>
          <w:snapToGrid/>
          <w:color w:val="auto"/>
          <w:spacing w:val="0"/>
          <w:kern w:val="0"/>
          <w:position w:val="0"/>
          <w:szCs w:val="21"/>
        </w:rPr>
        <w:fldChar w:fldCharType="separate"/>
      </w:r>
      <w:r>
        <w:rPr>
          <w:rFonts w:hint="default" w:ascii="Times New Roman" w:hAnsi="Times New Roman" w:eastAsia="宋体" w:cs="Times New Roman"/>
          <w:snapToGrid/>
          <w:color w:val="auto"/>
          <w:spacing w:val="0"/>
          <w:kern w:val="0"/>
          <w:position w:val="0"/>
          <w:szCs w:val="21"/>
        </w:rPr>
        <w:t>⑥</w:t>
      </w:r>
      <w:r>
        <w:rPr>
          <w:rFonts w:hint="default" w:ascii="Times New Roman" w:hAnsi="Times New Roman" w:eastAsia="宋体" w:cs="Times New Roman"/>
          <w:snapToGrid/>
          <w:color w:val="auto"/>
          <w:spacing w:val="0"/>
          <w:kern w:val="0"/>
          <w:position w:val="0"/>
          <w:szCs w:val="21"/>
        </w:rPr>
        <w:fldChar w:fldCharType="end"/>
      </w:r>
      <w:r>
        <w:rPr>
          <w:rFonts w:hint="default" w:ascii="Times New Roman" w:hAnsi="Times New Roman" w:eastAsia="宋体" w:cs="Times New Roman"/>
          <w:snapToGrid/>
          <w:color w:val="auto"/>
          <w:spacing w:val="0"/>
          <w:kern w:val="0"/>
          <w:position w:val="0"/>
          <w:szCs w:val="21"/>
        </w:rPr>
        <w:t>=</w:t>
      </w:r>
      <w:r>
        <w:rPr>
          <w:rFonts w:hint="default" w:ascii="Times New Roman" w:hAnsi="Times New Roman" w:eastAsia="宋体" w:cs="Times New Roman"/>
          <w:snapToGrid/>
          <w:color w:val="auto"/>
          <w:spacing w:val="0"/>
          <w:kern w:val="0"/>
          <w:position w:val="0"/>
          <w:szCs w:val="21"/>
        </w:rPr>
        <w:fldChar w:fldCharType="begin"/>
      </w:r>
      <w:r>
        <w:rPr>
          <w:rFonts w:hint="default" w:ascii="Times New Roman" w:hAnsi="Times New Roman" w:eastAsia="宋体" w:cs="Times New Roman"/>
          <w:snapToGrid/>
          <w:color w:val="auto"/>
          <w:spacing w:val="0"/>
          <w:kern w:val="0"/>
          <w:position w:val="0"/>
          <w:szCs w:val="21"/>
        </w:rPr>
        <w:instrText xml:space="preserve"> = 1 \* GB3 \* MERGEFORMAT </w:instrText>
      </w:r>
      <w:r>
        <w:rPr>
          <w:rFonts w:hint="default" w:ascii="Times New Roman" w:hAnsi="Times New Roman" w:eastAsia="宋体" w:cs="Times New Roman"/>
          <w:snapToGrid/>
          <w:color w:val="auto"/>
          <w:spacing w:val="0"/>
          <w:kern w:val="0"/>
          <w:position w:val="0"/>
          <w:szCs w:val="21"/>
        </w:rPr>
        <w:fldChar w:fldCharType="separate"/>
      </w:r>
      <w:r>
        <w:rPr>
          <w:rFonts w:hint="default" w:ascii="Times New Roman" w:hAnsi="Times New Roman" w:eastAsia="宋体" w:cs="Times New Roman"/>
          <w:snapToGrid/>
          <w:color w:val="auto"/>
          <w:spacing w:val="0"/>
          <w:kern w:val="0"/>
          <w:position w:val="0"/>
          <w:szCs w:val="21"/>
        </w:rPr>
        <w:t>①</w:t>
      </w:r>
      <w:r>
        <w:rPr>
          <w:rFonts w:hint="default" w:ascii="Times New Roman" w:hAnsi="Times New Roman" w:eastAsia="宋体" w:cs="Times New Roman"/>
          <w:snapToGrid/>
          <w:color w:val="auto"/>
          <w:spacing w:val="0"/>
          <w:kern w:val="0"/>
          <w:position w:val="0"/>
          <w:szCs w:val="21"/>
        </w:rPr>
        <w:fldChar w:fldCharType="end"/>
      </w:r>
      <w:r>
        <w:rPr>
          <w:rFonts w:hint="default" w:ascii="Times New Roman" w:hAnsi="Times New Roman" w:eastAsia="宋体" w:cs="Times New Roman"/>
          <w:snapToGrid/>
          <w:color w:val="auto"/>
          <w:spacing w:val="0"/>
          <w:kern w:val="0"/>
          <w:position w:val="0"/>
          <w:szCs w:val="21"/>
        </w:rPr>
        <w:t>+</w:t>
      </w:r>
      <w:r>
        <w:rPr>
          <w:rFonts w:hint="default" w:ascii="Times New Roman" w:hAnsi="Times New Roman" w:eastAsia="宋体" w:cs="Times New Roman"/>
          <w:snapToGrid/>
          <w:color w:val="auto"/>
          <w:spacing w:val="0"/>
          <w:kern w:val="0"/>
          <w:position w:val="0"/>
          <w:szCs w:val="21"/>
        </w:rPr>
        <w:fldChar w:fldCharType="begin"/>
      </w:r>
      <w:r>
        <w:rPr>
          <w:rFonts w:hint="default" w:ascii="Times New Roman" w:hAnsi="Times New Roman" w:eastAsia="宋体" w:cs="Times New Roman"/>
          <w:snapToGrid/>
          <w:color w:val="auto"/>
          <w:spacing w:val="0"/>
          <w:kern w:val="0"/>
          <w:position w:val="0"/>
          <w:szCs w:val="21"/>
        </w:rPr>
        <w:instrText xml:space="preserve"> = 3 \* GB3 \* MERGEFORMAT </w:instrText>
      </w:r>
      <w:r>
        <w:rPr>
          <w:rFonts w:hint="default" w:ascii="Times New Roman" w:hAnsi="Times New Roman" w:eastAsia="宋体" w:cs="Times New Roman"/>
          <w:snapToGrid/>
          <w:color w:val="auto"/>
          <w:spacing w:val="0"/>
          <w:kern w:val="0"/>
          <w:position w:val="0"/>
          <w:szCs w:val="21"/>
        </w:rPr>
        <w:fldChar w:fldCharType="separate"/>
      </w:r>
      <w:r>
        <w:rPr>
          <w:rFonts w:hint="default" w:ascii="Times New Roman" w:hAnsi="Times New Roman" w:eastAsia="宋体" w:cs="Times New Roman"/>
          <w:snapToGrid/>
          <w:color w:val="auto"/>
          <w:spacing w:val="0"/>
          <w:kern w:val="0"/>
          <w:position w:val="0"/>
          <w:szCs w:val="21"/>
        </w:rPr>
        <w:t>③</w:t>
      </w:r>
      <w:r>
        <w:rPr>
          <w:rFonts w:hint="default" w:ascii="Times New Roman" w:hAnsi="Times New Roman" w:eastAsia="宋体" w:cs="Times New Roman"/>
          <w:snapToGrid/>
          <w:color w:val="auto"/>
          <w:spacing w:val="0"/>
          <w:kern w:val="0"/>
          <w:position w:val="0"/>
          <w:szCs w:val="21"/>
        </w:rPr>
        <w:fldChar w:fldCharType="end"/>
      </w:r>
      <w:r>
        <w:rPr>
          <w:rFonts w:hint="default" w:ascii="Times New Roman" w:hAnsi="Times New Roman" w:eastAsia="宋体" w:cs="Times New Roman"/>
          <w:snapToGrid/>
          <w:color w:val="auto"/>
          <w:spacing w:val="0"/>
          <w:kern w:val="0"/>
          <w:position w:val="0"/>
          <w:szCs w:val="21"/>
        </w:rPr>
        <w:t>+</w:t>
      </w:r>
      <w:r>
        <w:rPr>
          <w:rFonts w:hint="default" w:ascii="Times New Roman" w:hAnsi="Times New Roman" w:eastAsia="宋体" w:cs="Times New Roman"/>
          <w:snapToGrid/>
          <w:color w:val="auto"/>
          <w:spacing w:val="0"/>
          <w:kern w:val="0"/>
          <w:position w:val="0"/>
          <w:szCs w:val="21"/>
        </w:rPr>
        <w:fldChar w:fldCharType="begin"/>
      </w:r>
      <w:r>
        <w:rPr>
          <w:rFonts w:hint="default" w:ascii="Times New Roman" w:hAnsi="Times New Roman" w:eastAsia="宋体" w:cs="Times New Roman"/>
          <w:snapToGrid/>
          <w:color w:val="auto"/>
          <w:spacing w:val="0"/>
          <w:kern w:val="0"/>
          <w:position w:val="0"/>
          <w:szCs w:val="21"/>
        </w:rPr>
        <w:instrText xml:space="preserve"> = 4 \* GB3 \* MERGEFORMAT </w:instrText>
      </w:r>
      <w:r>
        <w:rPr>
          <w:rFonts w:hint="default" w:ascii="Times New Roman" w:hAnsi="Times New Roman" w:eastAsia="宋体" w:cs="Times New Roman"/>
          <w:snapToGrid/>
          <w:color w:val="auto"/>
          <w:spacing w:val="0"/>
          <w:kern w:val="0"/>
          <w:position w:val="0"/>
          <w:szCs w:val="21"/>
        </w:rPr>
        <w:fldChar w:fldCharType="separate"/>
      </w:r>
      <w:r>
        <w:rPr>
          <w:rFonts w:hint="default" w:ascii="Times New Roman" w:hAnsi="Times New Roman" w:eastAsia="宋体" w:cs="Times New Roman"/>
          <w:snapToGrid/>
          <w:color w:val="auto"/>
          <w:spacing w:val="0"/>
          <w:kern w:val="0"/>
          <w:position w:val="0"/>
          <w:szCs w:val="21"/>
        </w:rPr>
        <w:t>④</w:t>
      </w:r>
      <w:r>
        <w:rPr>
          <w:rFonts w:hint="default" w:ascii="Times New Roman" w:hAnsi="Times New Roman" w:eastAsia="宋体" w:cs="Times New Roman"/>
          <w:snapToGrid/>
          <w:color w:val="auto"/>
          <w:spacing w:val="0"/>
          <w:kern w:val="0"/>
          <w:position w:val="0"/>
          <w:szCs w:val="21"/>
        </w:rPr>
        <w:fldChar w:fldCharType="end"/>
      </w:r>
      <w:r>
        <w:rPr>
          <w:rFonts w:hint="default" w:ascii="Times New Roman" w:hAnsi="Times New Roman" w:eastAsia="宋体" w:cs="Times New Roman"/>
          <w:snapToGrid/>
          <w:color w:val="auto"/>
          <w:spacing w:val="0"/>
          <w:kern w:val="0"/>
          <w:position w:val="0"/>
          <w:szCs w:val="21"/>
        </w:rPr>
        <w:t>-</w:t>
      </w:r>
      <w:r>
        <w:rPr>
          <w:rFonts w:hint="default" w:ascii="Times New Roman" w:hAnsi="Times New Roman" w:eastAsia="宋体" w:cs="Times New Roman"/>
          <w:snapToGrid/>
          <w:color w:val="auto"/>
          <w:spacing w:val="0"/>
          <w:kern w:val="0"/>
          <w:position w:val="0"/>
          <w:szCs w:val="21"/>
        </w:rPr>
        <w:fldChar w:fldCharType="begin"/>
      </w:r>
      <w:r>
        <w:rPr>
          <w:rFonts w:hint="default" w:ascii="Times New Roman" w:hAnsi="Times New Roman" w:eastAsia="宋体" w:cs="Times New Roman"/>
          <w:snapToGrid/>
          <w:color w:val="auto"/>
          <w:spacing w:val="0"/>
          <w:kern w:val="0"/>
          <w:position w:val="0"/>
          <w:szCs w:val="21"/>
        </w:rPr>
        <w:instrText xml:space="preserve"> = 5 \* GB3 \* MERGEFORMAT </w:instrText>
      </w:r>
      <w:r>
        <w:rPr>
          <w:rFonts w:hint="default" w:ascii="Times New Roman" w:hAnsi="Times New Roman" w:eastAsia="宋体" w:cs="Times New Roman"/>
          <w:snapToGrid/>
          <w:color w:val="auto"/>
          <w:spacing w:val="0"/>
          <w:kern w:val="0"/>
          <w:position w:val="0"/>
          <w:szCs w:val="21"/>
        </w:rPr>
        <w:fldChar w:fldCharType="separate"/>
      </w:r>
      <w:r>
        <w:rPr>
          <w:rFonts w:hint="default" w:ascii="Times New Roman" w:hAnsi="Times New Roman" w:eastAsia="宋体" w:cs="Times New Roman"/>
          <w:snapToGrid/>
          <w:color w:val="auto"/>
          <w:spacing w:val="0"/>
          <w:kern w:val="0"/>
          <w:position w:val="0"/>
          <w:szCs w:val="21"/>
        </w:rPr>
        <w:t>⑤</w:t>
      </w:r>
      <w:r>
        <w:rPr>
          <w:rFonts w:hint="default" w:ascii="Times New Roman" w:hAnsi="Times New Roman" w:eastAsia="宋体" w:cs="Times New Roman"/>
          <w:snapToGrid/>
          <w:color w:val="auto"/>
          <w:spacing w:val="0"/>
          <w:kern w:val="0"/>
          <w:position w:val="0"/>
          <w:szCs w:val="21"/>
        </w:rPr>
        <w:fldChar w:fldCharType="end"/>
      </w:r>
      <w:r>
        <w:rPr>
          <w:rFonts w:hint="default" w:ascii="Times New Roman" w:hAnsi="Times New Roman" w:eastAsia="宋体" w:cs="Times New Roman"/>
          <w:snapToGrid/>
          <w:color w:val="auto"/>
          <w:spacing w:val="0"/>
          <w:kern w:val="0"/>
          <w:position w:val="0"/>
          <w:szCs w:val="21"/>
        </w:rPr>
        <w:t>；</w:t>
      </w:r>
      <w:r>
        <w:rPr>
          <w:rFonts w:hint="default" w:ascii="Times New Roman" w:hAnsi="Times New Roman" w:eastAsia="宋体" w:cs="Times New Roman"/>
          <w:snapToGrid/>
          <w:color w:val="auto"/>
          <w:spacing w:val="0"/>
          <w:kern w:val="0"/>
          <w:position w:val="0"/>
          <w:szCs w:val="21"/>
        </w:rPr>
        <w:fldChar w:fldCharType="begin"/>
      </w:r>
      <w:r>
        <w:rPr>
          <w:rFonts w:hint="default" w:ascii="Times New Roman" w:hAnsi="Times New Roman" w:eastAsia="宋体" w:cs="Times New Roman"/>
          <w:snapToGrid/>
          <w:color w:val="auto"/>
          <w:spacing w:val="0"/>
          <w:kern w:val="0"/>
          <w:position w:val="0"/>
          <w:szCs w:val="21"/>
        </w:rPr>
        <w:instrText xml:space="preserve"> = 7 \* GB3 \* MERGEFORMAT </w:instrText>
      </w:r>
      <w:r>
        <w:rPr>
          <w:rFonts w:hint="default" w:ascii="Times New Roman" w:hAnsi="Times New Roman" w:eastAsia="宋体" w:cs="Times New Roman"/>
          <w:snapToGrid/>
          <w:color w:val="auto"/>
          <w:spacing w:val="0"/>
          <w:kern w:val="0"/>
          <w:position w:val="0"/>
          <w:szCs w:val="21"/>
        </w:rPr>
        <w:fldChar w:fldCharType="separate"/>
      </w:r>
      <w:r>
        <w:rPr>
          <w:rFonts w:hint="default" w:ascii="Times New Roman" w:hAnsi="Times New Roman" w:eastAsia="宋体" w:cs="Times New Roman"/>
          <w:snapToGrid/>
          <w:color w:val="auto"/>
          <w:spacing w:val="0"/>
          <w:kern w:val="0"/>
          <w:position w:val="0"/>
          <w:szCs w:val="21"/>
        </w:rPr>
        <w:t>⑦</w:t>
      </w:r>
      <w:r>
        <w:rPr>
          <w:rFonts w:hint="default" w:ascii="Times New Roman" w:hAnsi="Times New Roman" w:eastAsia="宋体" w:cs="Times New Roman"/>
          <w:snapToGrid/>
          <w:color w:val="auto"/>
          <w:spacing w:val="0"/>
          <w:kern w:val="0"/>
          <w:position w:val="0"/>
          <w:szCs w:val="21"/>
        </w:rPr>
        <w:fldChar w:fldCharType="end"/>
      </w:r>
      <w:r>
        <w:rPr>
          <w:rFonts w:hint="default" w:ascii="Times New Roman" w:hAnsi="Times New Roman" w:eastAsia="宋体" w:cs="Times New Roman"/>
          <w:snapToGrid/>
          <w:color w:val="auto"/>
          <w:spacing w:val="0"/>
          <w:kern w:val="0"/>
          <w:position w:val="0"/>
          <w:szCs w:val="21"/>
        </w:rPr>
        <w:t>=</w:t>
      </w:r>
      <w:r>
        <w:rPr>
          <w:rFonts w:hint="default" w:ascii="Times New Roman" w:hAnsi="Times New Roman" w:eastAsia="宋体" w:cs="Times New Roman"/>
          <w:snapToGrid/>
          <w:color w:val="auto"/>
          <w:spacing w:val="0"/>
          <w:kern w:val="0"/>
          <w:position w:val="0"/>
          <w:szCs w:val="21"/>
        </w:rPr>
        <w:fldChar w:fldCharType="begin"/>
      </w:r>
      <w:r>
        <w:rPr>
          <w:rFonts w:hint="default" w:ascii="Times New Roman" w:hAnsi="Times New Roman" w:eastAsia="宋体" w:cs="Times New Roman"/>
          <w:snapToGrid/>
          <w:color w:val="auto"/>
          <w:spacing w:val="0"/>
          <w:kern w:val="0"/>
          <w:position w:val="0"/>
          <w:szCs w:val="21"/>
        </w:rPr>
        <w:instrText xml:space="preserve"> = 6 \* GB3 \* MERGEFORMAT </w:instrText>
      </w:r>
      <w:r>
        <w:rPr>
          <w:rFonts w:hint="default" w:ascii="Times New Roman" w:hAnsi="Times New Roman" w:eastAsia="宋体" w:cs="Times New Roman"/>
          <w:snapToGrid/>
          <w:color w:val="auto"/>
          <w:spacing w:val="0"/>
          <w:kern w:val="0"/>
          <w:position w:val="0"/>
          <w:szCs w:val="21"/>
        </w:rPr>
        <w:fldChar w:fldCharType="separate"/>
      </w:r>
      <w:r>
        <w:rPr>
          <w:rFonts w:hint="default" w:ascii="Times New Roman" w:hAnsi="Times New Roman" w:eastAsia="宋体" w:cs="Times New Roman"/>
          <w:snapToGrid/>
          <w:color w:val="auto"/>
          <w:spacing w:val="0"/>
          <w:kern w:val="0"/>
          <w:position w:val="0"/>
          <w:szCs w:val="21"/>
        </w:rPr>
        <w:t>⑥</w:t>
      </w:r>
      <w:r>
        <w:rPr>
          <w:rFonts w:hint="default" w:ascii="Times New Roman" w:hAnsi="Times New Roman" w:eastAsia="宋体" w:cs="Times New Roman"/>
          <w:snapToGrid/>
          <w:color w:val="auto"/>
          <w:spacing w:val="0"/>
          <w:kern w:val="0"/>
          <w:position w:val="0"/>
          <w:szCs w:val="21"/>
        </w:rPr>
        <w:fldChar w:fldCharType="end"/>
      </w:r>
      <w:r>
        <w:rPr>
          <w:rFonts w:hint="default" w:ascii="Times New Roman" w:hAnsi="Times New Roman" w:eastAsia="宋体" w:cs="Times New Roman"/>
          <w:snapToGrid/>
          <w:color w:val="auto"/>
          <w:spacing w:val="0"/>
          <w:kern w:val="0"/>
          <w:position w:val="0"/>
          <w:szCs w:val="21"/>
        </w:rPr>
        <w:t>-</w:t>
      </w:r>
      <w:r>
        <w:rPr>
          <w:rFonts w:hint="default" w:ascii="Times New Roman" w:hAnsi="Times New Roman" w:eastAsia="宋体" w:cs="Times New Roman"/>
          <w:snapToGrid/>
          <w:color w:val="auto"/>
          <w:spacing w:val="0"/>
          <w:kern w:val="0"/>
          <w:position w:val="0"/>
          <w:szCs w:val="21"/>
        </w:rPr>
        <w:fldChar w:fldCharType="begin"/>
      </w:r>
      <w:r>
        <w:rPr>
          <w:rFonts w:hint="default" w:ascii="Times New Roman" w:hAnsi="Times New Roman" w:eastAsia="宋体" w:cs="Times New Roman"/>
          <w:snapToGrid/>
          <w:color w:val="auto"/>
          <w:spacing w:val="0"/>
          <w:kern w:val="0"/>
          <w:position w:val="0"/>
          <w:szCs w:val="21"/>
        </w:rPr>
        <w:instrText xml:space="preserve"> = 1 \* GB3 \* MERGEFORMAT </w:instrText>
      </w:r>
      <w:r>
        <w:rPr>
          <w:rFonts w:hint="default" w:ascii="Times New Roman" w:hAnsi="Times New Roman" w:eastAsia="宋体" w:cs="Times New Roman"/>
          <w:snapToGrid/>
          <w:color w:val="auto"/>
          <w:spacing w:val="0"/>
          <w:kern w:val="0"/>
          <w:position w:val="0"/>
          <w:szCs w:val="21"/>
        </w:rPr>
        <w:fldChar w:fldCharType="separate"/>
      </w:r>
      <w:r>
        <w:rPr>
          <w:rFonts w:hint="default" w:ascii="Times New Roman" w:hAnsi="Times New Roman" w:eastAsia="宋体" w:cs="Times New Roman"/>
          <w:snapToGrid/>
          <w:color w:val="auto"/>
          <w:spacing w:val="0"/>
          <w:kern w:val="0"/>
          <w:position w:val="0"/>
          <w:szCs w:val="21"/>
        </w:rPr>
        <w:t>①</w:t>
      </w:r>
      <w:r>
        <w:rPr>
          <w:rFonts w:hint="default" w:ascii="Times New Roman" w:hAnsi="Times New Roman" w:eastAsia="宋体" w:cs="Times New Roman"/>
          <w:snapToGrid/>
          <w:color w:val="auto"/>
          <w:spacing w:val="0"/>
          <w:kern w:val="0"/>
          <w:position w:val="0"/>
          <w:szCs w:val="21"/>
        </w:rPr>
        <w:fldChar w:fldCharType="end"/>
      </w:r>
    </w:p>
    <w:sectPr>
      <w:footerReference r:id="rId4"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1803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Wingdings 2">
    <w:altName w:val="Wingdings"/>
    <w:panose1 w:val="05020102010507070707"/>
    <w:charset w:val="00"/>
    <w:family w:val="auto"/>
    <w:pitch w:val="default"/>
    <w:sig w:usb0="00000000" w:usb1="00000000" w:usb2="00000000" w:usb3="00000000" w:csb0="80000000" w:csb1="00000000"/>
  </w:font>
  <w:font w:name="华文宋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SimSun-ExtB">
    <w:panose1 w:val="02010609060101010101"/>
    <w:charset w:val="86"/>
    <w:family w:val="auto"/>
    <w:pitch w:val="default"/>
    <w:sig w:usb0="00000001" w:usb1="02000000" w:usb2="00000000" w:usb3="00000000" w:csb0="00040001" w:csb1="00000000"/>
  </w:font>
  <w:font w:name="宋体_x0017_页栀.栀.">
    <w:altName w:val="宋体"/>
    <w:panose1 w:val="00000000000000000000"/>
    <w:charset w:val="86"/>
    <w:family w:val="roman"/>
    <w:pitch w:val="default"/>
    <w:sig w:usb0="00000000" w:usb1="00000000" w:usb2="00000010" w:usb3="00000000" w:csb0="00040000" w:csb1="00000000"/>
  </w:font>
  <w:font w:name="宋体_x0019_á.硈..">
    <w:altName w:val="宋体"/>
    <w:panose1 w:val="00000000000000000000"/>
    <w:charset w:val="86"/>
    <w:family w:val="roman"/>
    <w:pitch w:val="default"/>
    <w:sig w:usb0="00000000" w:usb1="00000000" w:usb2="00000010" w:usb3="00000000" w:csb0="00040000" w:csb1="00000000"/>
  </w:font>
  <w:font w:name="宋体_x0019_页栀.栀.">
    <w:altName w:val="宋体"/>
    <w:panose1 w:val="00000000000000000000"/>
    <w:charset w:val="86"/>
    <w:family w:val="roman"/>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12D20">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9D9CE">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3F9D9CE">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6D17A">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1F7D2E"/>
    <w:multiLevelType w:val="singleLevel"/>
    <w:tmpl w:val="E81F7D2E"/>
    <w:lvl w:ilvl="0" w:tentative="0">
      <w:start w:val="2"/>
      <w:numFmt w:val="decimal"/>
      <w:suff w:val="nothing"/>
      <w:lvlText w:val="（%1）"/>
      <w:lvlJc w:val="left"/>
    </w:lvl>
  </w:abstractNum>
  <w:abstractNum w:abstractNumId="1">
    <w:nsid w:val="F0844DB4"/>
    <w:multiLevelType w:val="singleLevel"/>
    <w:tmpl w:val="F0844DB4"/>
    <w:lvl w:ilvl="0" w:tentative="0">
      <w:start w:val="1"/>
      <w:numFmt w:val="upperLetter"/>
      <w:suff w:val="nothing"/>
      <w:lvlText w:val="%1、"/>
      <w:lvlJc w:val="left"/>
    </w:lvl>
  </w:abstractNum>
  <w:abstractNum w:abstractNumId="2">
    <w:nsid w:val="3851F72F"/>
    <w:multiLevelType w:val="singleLevel"/>
    <w:tmpl w:val="3851F72F"/>
    <w:lvl w:ilvl="0" w:tentative="0">
      <w:start w:val="2"/>
      <w:numFmt w:val="decimal"/>
      <w:suff w:val="nothing"/>
      <w:lvlText w:val="（%1）"/>
      <w:lvlJc w:val="left"/>
    </w:lvl>
  </w:abstractNum>
  <w:abstractNum w:abstractNumId="3">
    <w:nsid w:val="41862CA9"/>
    <w:multiLevelType w:val="multilevel"/>
    <w:tmpl w:val="41862CA9"/>
    <w:lvl w:ilvl="0" w:tentative="0">
      <w:start w:val="1"/>
      <w:numFmt w:val="decimal"/>
      <w:suff w:val="space"/>
      <w:lvlText w:val="%1"/>
      <w:lvlJc w:val="left"/>
      <w:pPr>
        <w:ind w:left="0" w:firstLine="0"/>
      </w:pPr>
      <w:rPr>
        <w:rFonts w:hint="eastAsia"/>
        <w:sz w:val="30"/>
        <w:szCs w:val="30"/>
      </w:rPr>
    </w:lvl>
    <w:lvl w:ilvl="1" w:tentative="0">
      <w:start w:val="1"/>
      <w:numFmt w:val="decimal"/>
      <w:pStyle w:val="30"/>
      <w:suff w:val="space"/>
      <w:lvlText w:val="%1.%2"/>
      <w:lvlJc w:val="left"/>
      <w:pPr>
        <w:ind w:left="0" w:firstLine="0"/>
      </w:pPr>
      <w:rPr>
        <w:rFonts w:hint="default" w:ascii="Arial" w:hAnsi="Arial"/>
      </w:rPr>
    </w:lvl>
    <w:lvl w:ilvl="2" w:tentative="0">
      <w:start w:val="1"/>
      <w:numFmt w:val="decimal"/>
      <w:suff w:val="space"/>
      <w:lvlText w:val="%1.%2.%3"/>
      <w:lvlJc w:val="left"/>
      <w:pPr>
        <w:ind w:left="994" w:hanging="426"/>
      </w:pPr>
      <w:rPr>
        <w:rFonts w:hint="default" w:ascii="Arial" w:hAnsi="Arial"/>
      </w:rPr>
    </w:lvl>
    <w:lvl w:ilvl="3" w:tentative="0">
      <w:start w:val="1"/>
      <w:numFmt w:val="decimal"/>
      <w:suff w:val="nothing"/>
      <w:lvlText w:val="%1.%2.%3.%4"/>
      <w:lvlJc w:val="left"/>
      <w:pPr>
        <w:ind w:left="851" w:hanging="851"/>
      </w:pPr>
      <w:rPr>
        <w:rFonts w:hint="eastAsia" w:ascii="Arial" w:hAnsi="Arial"/>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5D483313"/>
    <w:multiLevelType w:val="singleLevel"/>
    <w:tmpl w:val="5D483313"/>
    <w:lvl w:ilvl="0" w:tentative="0">
      <w:start w:val="1"/>
      <w:numFmt w:val="decimal"/>
      <w:suff w:val="nothing"/>
      <w:lvlText w:val="%1、"/>
      <w:lvlJc w:val="left"/>
    </w:lvl>
  </w:abstractNum>
  <w:abstractNum w:abstractNumId="5">
    <w:nsid w:val="65471EF7"/>
    <w:multiLevelType w:val="singleLevel"/>
    <w:tmpl w:val="65471EF7"/>
    <w:lvl w:ilvl="0" w:tentative="0">
      <w:start w:val="7"/>
      <w:numFmt w:val="decimal"/>
      <w:suff w:val="nothing"/>
      <w:lvlText w:val="（%1）"/>
      <w:lvlJc w:val="left"/>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YjkyYTdlNTUzMDRhODRiNzg1MjkyOWY5YmJhOWYifQ=="/>
  </w:docVars>
  <w:rsids>
    <w:rsidRoot w:val="0C1F2DCC"/>
    <w:rsid w:val="005A0FB6"/>
    <w:rsid w:val="0070256E"/>
    <w:rsid w:val="00A35E24"/>
    <w:rsid w:val="00DD5592"/>
    <w:rsid w:val="013A2B3D"/>
    <w:rsid w:val="01E16E78"/>
    <w:rsid w:val="02A50E35"/>
    <w:rsid w:val="02B473C2"/>
    <w:rsid w:val="03073388"/>
    <w:rsid w:val="038C76D9"/>
    <w:rsid w:val="03EE2141"/>
    <w:rsid w:val="041F4F2F"/>
    <w:rsid w:val="04345EF4"/>
    <w:rsid w:val="046454DD"/>
    <w:rsid w:val="048D6C55"/>
    <w:rsid w:val="04A87295"/>
    <w:rsid w:val="04F75026"/>
    <w:rsid w:val="0504479F"/>
    <w:rsid w:val="0578205D"/>
    <w:rsid w:val="05A52CD4"/>
    <w:rsid w:val="05EB4740"/>
    <w:rsid w:val="05FC1E78"/>
    <w:rsid w:val="06091D7E"/>
    <w:rsid w:val="060D2611"/>
    <w:rsid w:val="0627491E"/>
    <w:rsid w:val="063615CF"/>
    <w:rsid w:val="06377541"/>
    <w:rsid w:val="067250DF"/>
    <w:rsid w:val="0674148A"/>
    <w:rsid w:val="06C76316"/>
    <w:rsid w:val="07022D0B"/>
    <w:rsid w:val="071C5217"/>
    <w:rsid w:val="07224507"/>
    <w:rsid w:val="07352867"/>
    <w:rsid w:val="07D0225B"/>
    <w:rsid w:val="082B0327"/>
    <w:rsid w:val="09134014"/>
    <w:rsid w:val="09B12175"/>
    <w:rsid w:val="09FC684E"/>
    <w:rsid w:val="0A8C4A70"/>
    <w:rsid w:val="0A9A7ED3"/>
    <w:rsid w:val="0AC126BD"/>
    <w:rsid w:val="0ACF3715"/>
    <w:rsid w:val="0AEA6446"/>
    <w:rsid w:val="0AFB42DB"/>
    <w:rsid w:val="0B2068A2"/>
    <w:rsid w:val="0B4D1BF1"/>
    <w:rsid w:val="0B6E1DBA"/>
    <w:rsid w:val="0BA86219"/>
    <w:rsid w:val="0BE502CE"/>
    <w:rsid w:val="0C1F2DCC"/>
    <w:rsid w:val="0C7A146C"/>
    <w:rsid w:val="0C952A5F"/>
    <w:rsid w:val="0CCA63CF"/>
    <w:rsid w:val="0CD67C16"/>
    <w:rsid w:val="0DEF13A5"/>
    <w:rsid w:val="0DF97A17"/>
    <w:rsid w:val="0E241805"/>
    <w:rsid w:val="0E32414B"/>
    <w:rsid w:val="0E415B37"/>
    <w:rsid w:val="0E707A9D"/>
    <w:rsid w:val="0E9C3207"/>
    <w:rsid w:val="0EBD7507"/>
    <w:rsid w:val="0F0D7F01"/>
    <w:rsid w:val="0F26430D"/>
    <w:rsid w:val="0F357C2D"/>
    <w:rsid w:val="0FBC7AAE"/>
    <w:rsid w:val="100C336D"/>
    <w:rsid w:val="1010343F"/>
    <w:rsid w:val="10433815"/>
    <w:rsid w:val="10552892"/>
    <w:rsid w:val="107E2F66"/>
    <w:rsid w:val="113A2539"/>
    <w:rsid w:val="113C0AE4"/>
    <w:rsid w:val="117235B3"/>
    <w:rsid w:val="1198551F"/>
    <w:rsid w:val="12576D02"/>
    <w:rsid w:val="126704C7"/>
    <w:rsid w:val="128A0DA8"/>
    <w:rsid w:val="12B24B8F"/>
    <w:rsid w:val="12F47048"/>
    <w:rsid w:val="1302463D"/>
    <w:rsid w:val="13E32E07"/>
    <w:rsid w:val="13FD12E9"/>
    <w:rsid w:val="148D1E32"/>
    <w:rsid w:val="15202377"/>
    <w:rsid w:val="1564613E"/>
    <w:rsid w:val="15E839EB"/>
    <w:rsid w:val="16D61039"/>
    <w:rsid w:val="16F644E9"/>
    <w:rsid w:val="17B84AE8"/>
    <w:rsid w:val="185C1E3F"/>
    <w:rsid w:val="185F6911"/>
    <w:rsid w:val="187E0F8A"/>
    <w:rsid w:val="18A90457"/>
    <w:rsid w:val="18D257F9"/>
    <w:rsid w:val="191143D5"/>
    <w:rsid w:val="197B72A7"/>
    <w:rsid w:val="19945BBE"/>
    <w:rsid w:val="19D007FC"/>
    <w:rsid w:val="1A193AB0"/>
    <w:rsid w:val="1AE942E3"/>
    <w:rsid w:val="1AED2CFB"/>
    <w:rsid w:val="1B6B20E9"/>
    <w:rsid w:val="1BB510FC"/>
    <w:rsid w:val="1BD7788B"/>
    <w:rsid w:val="1C4D5C5B"/>
    <w:rsid w:val="1C5D577C"/>
    <w:rsid w:val="1C6A41A6"/>
    <w:rsid w:val="1C7E48CB"/>
    <w:rsid w:val="1D1A13FE"/>
    <w:rsid w:val="1DAE712A"/>
    <w:rsid w:val="1E262E07"/>
    <w:rsid w:val="1E6C189B"/>
    <w:rsid w:val="1E7B4EF2"/>
    <w:rsid w:val="1E7D092C"/>
    <w:rsid w:val="1F445FB7"/>
    <w:rsid w:val="1FA414E1"/>
    <w:rsid w:val="1FA52E9B"/>
    <w:rsid w:val="1FBE0616"/>
    <w:rsid w:val="1FD85EA7"/>
    <w:rsid w:val="20000F5F"/>
    <w:rsid w:val="20002B6A"/>
    <w:rsid w:val="201E1010"/>
    <w:rsid w:val="201E384D"/>
    <w:rsid w:val="204C400B"/>
    <w:rsid w:val="206E1E82"/>
    <w:rsid w:val="20923264"/>
    <w:rsid w:val="20942FC2"/>
    <w:rsid w:val="215533AC"/>
    <w:rsid w:val="21775E43"/>
    <w:rsid w:val="217F0425"/>
    <w:rsid w:val="219E4AC3"/>
    <w:rsid w:val="222F1D40"/>
    <w:rsid w:val="22742140"/>
    <w:rsid w:val="22771730"/>
    <w:rsid w:val="230D281F"/>
    <w:rsid w:val="234A68AA"/>
    <w:rsid w:val="237F4EB8"/>
    <w:rsid w:val="23B42AC3"/>
    <w:rsid w:val="245E57C6"/>
    <w:rsid w:val="24974602"/>
    <w:rsid w:val="24C35D2A"/>
    <w:rsid w:val="252962B8"/>
    <w:rsid w:val="25390F4E"/>
    <w:rsid w:val="254C7A37"/>
    <w:rsid w:val="25754019"/>
    <w:rsid w:val="25946943"/>
    <w:rsid w:val="25CA53CE"/>
    <w:rsid w:val="25F87081"/>
    <w:rsid w:val="26875407"/>
    <w:rsid w:val="26961352"/>
    <w:rsid w:val="26CA5D68"/>
    <w:rsid w:val="26E3403D"/>
    <w:rsid w:val="27031047"/>
    <w:rsid w:val="273E77F6"/>
    <w:rsid w:val="275D7F8F"/>
    <w:rsid w:val="27BF00CD"/>
    <w:rsid w:val="27E70AD2"/>
    <w:rsid w:val="28501936"/>
    <w:rsid w:val="28545EAC"/>
    <w:rsid w:val="28D21782"/>
    <w:rsid w:val="28EB0BE6"/>
    <w:rsid w:val="2911526E"/>
    <w:rsid w:val="292E385F"/>
    <w:rsid w:val="29432365"/>
    <w:rsid w:val="29564161"/>
    <w:rsid w:val="297A3B47"/>
    <w:rsid w:val="29E131D0"/>
    <w:rsid w:val="29F51159"/>
    <w:rsid w:val="29FB2F90"/>
    <w:rsid w:val="2A21557C"/>
    <w:rsid w:val="2A3D7995"/>
    <w:rsid w:val="2A7C03DA"/>
    <w:rsid w:val="2A7E3970"/>
    <w:rsid w:val="2AF21C6E"/>
    <w:rsid w:val="2C756168"/>
    <w:rsid w:val="2C774EC1"/>
    <w:rsid w:val="2CCD3C51"/>
    <w:rsid w:val="2CDA7500"/>
    <w:rsid w:val="2D1B36F8"/>
    <w:rsid w:val="2D3128C4"/>
    <w:rsid w:val="2D802D0B"/>
    <w:rsid w:val="2E385C78"/>
    <w:rsid w:val="2E443131"/>
    <w:rsid w:val="2E562DAF"/>
    <w:rsid w:val="2EBD7029"/>
    <w:rsid w:val="2EDA436E"/>
    <w:rsid w:val="2F0A3A24"/>
    <w:rsid w:val="2F544C9F"/>
    <w:rsid w:val="30145578"/>
    <w:rsid w:val="30F85AFE"/>
    <w:rsid w:val="310349C4"/>
    <w:rsid w:val="315E0057"/>
    <w:rsid w:val="316F0417"/>
    <w:rsid w:val="317258B0"/>
    <w:rsid w:val="317753A4"/>
    <w:rsid w:val="317F1EE4"/>
    <w:rsid w:val="31996DFC"/>
    <w:rsid w:val="32DE239E"/>
    <w:rsid w:val="335D5A35"/>
    <w:rsid w:val="33B25DBD"/>
    <w:rsid w:val="33B50EFF"/>
    <w:rsid w:val="33CB73FA"/>
    <w:rsid w:val="34790D04"/>
    <w:rsid w:val="349E0F74"/>
    <w:rsid w:val="34C533FD"/>
    <w:rsid w:val="358C3BA0"/>
    <w:rsid w:val="35E520D6"/>
    <w:rsid w:val="35E62E21"/>
    <w:rsid w:val="35FE06F6"/>
    <w:rsid w:val="365C2DD8"/>
    <w:rsid w:val="36AA011E"/>
    <w:rsid w:val="37812475"/>
    <w:rsid w:val="37863396"/>
    <w:rsid w:val="37FA05CC"/>
    <w:rsid w:val="38091A80"/>
    <w:rsid w:val="381F6911"/>
    <w:rsid w:val="38590FA8"/>
    <w:rsid w:val="39697972"/>
    <w:rsid w:val="398B5761"/>
    <w:rsid w:val="3AA27967"/>
    <w:rsid w:val="3AA93344"/>
    <w:rsid w:val="3ABB7ABF"/>
    <w:rsid w:val="3AC058DE"/>
    <w:rsid w:val="3B15262F"/>
    <w:rsid w:val="3CB21484"/>
    <w:rsid w:val="3D3636BD"/>
    <w:rsid w:val="3E0265D1"/>
    <w:rsid w:val="3E0B72D5"/>
    <w:rsid w:val="3E9B565E"/>
    <w:rsid w:val="3F494CD9"/>
    <w:rsid w:val="3F61431F"/>
    <w:rsid w:val="3F6B4B31"/>
    <w:rsid w:val="40100ABF"/>
    <w:rsid w:val="4080519A"/>
    <w:rsid w:val="4092438B"/>
    <w:rsid w:val="41052011"/>
    <w:rsid w:val="41C60598"/>
    <w:rsid w:val="42540EB1"/>
    <w:rsid w:val="42646575"/>
    <w:rsid w:val="42E141C0"/>
    <w:rsid w:val="43730D0F"/>
    <w:rsid w:val="43A45F94"/>
    <w:rsid w:val="43E46244"/>
    <w:rsid w:val="440D2C87"/>
    <w:rsid w:val="445448F1"/>
    <w:rsid w:val="44597031"/>
    <w:rsid w:val="44AC40EF"/>
    <w:rsid w:val="44F34401"/>
    <w:rsid w:val="450F2064"/>
    <w:rsid w:val="453749EF"/>
    <w:rsid w:val="45DD5472"/>
    <w:rsid w:val="45EE241C"/>
    <w:rsid w:val="46492B77"/>
    <w:rsid w:val="46755A9C"/>
    <w:rsid w:val="47190D00"/>
    <w:rsid w:val="47591743"/>
    <w:rsid w:val="47EE3067"/>
    <w:rsid w:val="485F64E4"/>
    <w:rsid w:val="48741046"/>
    <w:rsid w:val="48805E95"/>
    <w:rsid w:val="48BF75E9"/>
    <w:rsid w:val="490D7B75"/>
    <w:rsid w:val="4920798D"/>
    <w:rsid w:val="49432435"/>
    <w:rsid w:val="4A123C3D"/>
    <w:rsid w:val="4A4A14DD"/>
    <w:rsid w:val="4ABA5374"/>
    <w:rsid w:val="4B832417"/>
    <w:rsid w:val="4BBF74EC"/>
    <w:rsid w:val="4C2C5741"/>
    <w:rsid w:val="4C9C716C"/>
    <w:rsid w:val="4CBB57A1"/>
    <w:rsid w:val="4CF61CE8"/>
    <w:rsid w:val="4D0D33BB"/>
    <w:rsid w:val="4D9E721C"/>
    <w:rsid w:val="4DB370F5"/>
    <w:rsid w:val="4DF34485"/>
    <w:rsid w:val="4E0B0276"/>
    <w:rsid w:val="4E0D27F5"/>
    <w:rsid w:val="4E4E7093"/>
    <w:rsid w:val="4E571C5E"/>
    <w:rsid w:val="4E6E3E55"/>
    <w:rsid w:val="4EDD75C8"/>
    <w:rsid w:val="4F4816D0"/>
    <w:rsid w:val="4F5346D7"/>
    <w:rsid w:val="4F6047EC"/>
    <w:rsid w:val="4F785ABA"/>
    <w:rsid w:val="4F844638"/>
    <w:rsid w:val="501E15EE"/>
    <w:rsid w:val="509E6B33"/>
    <w:rsid w:val="50A8054F"/>
    <w:rsid w:val="50B653BF"/>
    <w:rsid w:val="50FA67BE"/>
    <w:rsid w:val="51081151"/>
    <w:rsid w:val="51273EEE"/>
    <w:rsid w:val="512B40EB"/>
    <w:rsid w:val="51325980"/>
    <w:rsid w:val="515F4C0A"/>
    <w:rsid w:val="516E3547"/>
    <w:rsid w:val="5171704B"/>
    <w:rsid w:val="517B359E"/>
    <w:rsid w:val="51C458AD"/>
    <w:rsid w:val="51E2438D"/>
    <w:rsid w:val="51E44BBF"/>
    <w:rsid w:val="51F94B2A"/>
    <w:rsid w:val="51FA5521"/>
    <w:rsid w:val="520D572D"/>
    <w:rsid w:val="52281700"/>
    <w:rsid w:val="52730B44"/>
    <w:rsid w:val="52823F3E"/>
    <w:rsid w:val="52ED56C7"/>
    <w:rsid w:val="536B3ACC"/>
    <w:rsid w:val="5377683A"/>
    <w:rsid w:val="539D1D80"/>
    <w:rsid w:val="53AF6B6F"/>
    <w:rsid w:val="53C934E8"/>
    <w:rsid w:val="54244390"/>
    <w:rsid w:val="547743AF"/>
    <w:rsid w:val="54AE46C0"/>
    <w:rsid w:val="55990AC1"/>
    <w:rsid w:val="560D56A9"/>
    <w:rsid w:val="561C493E"/>
    <w:rsid w:val="564761E6"/>
    <w:rsid w:val="565328D9"/>
    <w:rsid w:val="567B6F8D"/>
    <w:rsid w:val="56A47A0A"/>
    <w:rsid w:val="571121E6"/>
    <w:rsid w:val="574C122B"/>
    <w:rsid w:val="5765363E"/>
    <w:rsid w:val="577313FA"/>
    <w:rsid w:val="578C3EDA"/>
    <w:rsid w:val="57995614"/>
    <w:rsid w:val="582240E4"/>
    <w:rsid w:val="583A2F6D"/>
    <w:rsid w:val="58486325"/>
    <w:rsid w:val="58721811"/>
    <w:rsid w:val="589D2B5D"/>
    <w:rsid w:val="59442DCF"/>
    <w:rsid w:val="597178BD"/>
    <w:rsid w:val="59FD4D67"/>
    <w:rsid w:val="5A3B2502"/>
    <w:rsid w:val="5A44224E"/>
    <w:rsid w:val="5A53777D"/>
    <w:rsid w:val="5A6F0660"/>
    <w:rsid w:val="5AD605A9"/>
    <w:rsid w:val="5B1A65A9"/>
    <w:rsid w:val="5B9F02B8"/>
    <w:rsid w:val="5C1C655D"/>
    <w:rsid w:val="5CAB6D64"/>
    <w:rsid w:val="5CB97CEE"/>
    <w:rsid w:val="5CF92144"/>
    <w:rsid w:val="5DD40DE1"/>
    <w:rsid w:val="5E3F64CF"/>
    <w:rsid w:val="5E6A5D46"/>
    <w:rsid w:val="5F247AF2"/>
    <w:rsid w:val="5F531BD4"/>
    <w:rsid w:val="5FAC0F8B"/>
    <w:rsid w:val="60086481"/>
    <w:rsid w:val="60B860A6"/>
    <w:rsid w:val="60F91084"/>
    <w:rsid w:val="61842912"/>
    <w:rsid w:val="61A06C8C"/>
    <w:rsid w:val="61DA75E3"/>
    <w:rsid w:val="61F63BD9"/>
    <w:rsid w:val="623E21B8"/>
    <w:rsid w:val="624D13B0"/>
    <w:rsid w:val="627B3DA9"/>
    <w:rsid w:val="62F64558"/>
    <w:rsid w:val="6303439D"/>
    <w:rsid w:val="63410C4F"/>
    <w:rsid w:val="635D62A7"/>
    <w:rsid w:val="63E12121"/>
    <w:rsid w:val="63E33F1D"/>
    <w:rsid w:val="6401123F"/>
    <w:rsid w:val="64051D87"/>
    <w:rsid w:val="646627A3"/>
    <w:rsid w:val="64AF6309"/>
    <w:rsid w:val="64BB664B"/>
    <w:rsid w:val="64C92CD0"/>
    <w:rsid w:val="64CB3C7D"/>
    <w:rsid w:val="64CF20F6"/>
    <w:rsid w:val="64EC2CA8"/>
    <w:rsid w:val="658F073C"/>
    <w:rsid w:val="65C22231"/>
    <w:rsid w:val="65F55E2B"/>
    <w:rsid w:val="6665346D"/>
    <w:rsid w:val="669E1041"/>
    <w:rsid w:val="66F26570"/>
    <w:rsid w:val="6700318D"/>
    <w:rsid w:val="677E67CE"/>
    <w:rsid w:val="679110D3"/>
    <w:rsid w:val="67FC76A6"/>
    <w:rsid w:val="68017668"/>
    <w:rsid w:val="68223CCB"/>
    <w:rsid w:val="68307350"/>
    <w:rsid w:val="68826485"/>
    <w:rsid w:val="689251EA"/>
    <w:rsid w:val="68CA2C87"/>
    <w:rsid w:val="68D221B5"/>
    <w:rsid w:val="68D979E8"/>
    <w:rsid w:val="69DC1DFB"/>
    <w:rsid w:val="69F1514C"/>
    <w:rsid w:val="69FC19E4"/>
    <w:rsid w:val="6A4121F0"/>
    <w:rsid w:val="6ACD532A"/>
    <w:rsid w:val="6ADA71D1"/>
    <w:rsid w:val="6AE54616"/>
    <w:rsid w:val="6B1A6611"/>
    <w:rsid w:val="6BFE3795"/>
    <w:rsid w:val="6BFE3DC3"/>
    <w:rsid w:val="6C491A0C"/>
    <w:rsid w:val="6C6B4DFB"/>
    <w:rsid w:val="6CC4450B"/>
    <w:rsid w:val="6D336331"/>
    <w:rsid w:val="6E0F5141"/>
    <w:rsid w:val="6E410468"/>
    <w:rsid w:val="6E456226"/>
    <w:rsid w:val="6F0C601F"/>
    <w:rsid w:val="70217031"/>
    <w:rsid w:val="70263260"/>
    <w:rsid w:val="705E4C8A"/>
    <w:rsid w:val="70787AE6"/>
    <w:rsid w:val="70A22ACD"/>
    <w:rsid w:val="70E5498C"/>
    <w:rsid w:val="71013786"/>
    <w:rsid w:val="711A444B"/>
    <w:rsid w:val="71272858"/>
    <w:rsid w:val="717A5048"/>
    <w:rsid w:val="72097CD5"/>
    <w:rsid w:val="72203F91"/>
    <w:rsid w:val="7226053B"/>
    <w:rsid w:val="72914E8F"/>
    <w:rsid w:val="72A53AD1"/>
    <w:rsid w:val="72AC3309"/>
    <w:rsid w:val="72FA2A34"/>
    <w:rsid w:val="732857F3"/>
    <w:rsid w:val="73375FC5"/>
    <w:rsid w:val="73492604"/>
    <w:rsid w:val="735421E7"/>
    <w:rsid w:val="749018A2"/>
    <w:rsid w:val="74A570A6"/>
    <w:rsid w:val="75B73601"/>
    <w:rsid w:val="75DE663D"/>
    <w:rsid w:val="760D7895"/>
    <w:rsid w:val="762828A3"/>
    <w:rsid w:val="76417878"/>
    <w:rsid w:val="764E39F2"/>
    <w:rsid w:val="76B10BAB"/>
    <w:rsid w:val="76F71E23"/>
    <w:rsid w:val="774B0EA4"/>
    <w:rsid w:val="77C04FDE"/>
    <w:rsid w:val="77ED7457"/>
    <w:rsid w:val="78665BA4"/>
    <w:rsid w:val="78834F41"/>
    <w:rsid w:val="789E383C"/>
    <w:rsid w:val="78DD2BDC"/>
    <w:rsid w:val="7944138C"/>
    <w:rsid w:val="7961380D"/>
    <w:rsid w:val="79F503F9"/>
    <w:rsid w:val="7A3F7AA5"/>
    <w:rsid w:val="7A49755B"/>
    <w:rsid w:val="7A4F07BE"/>
    <w:rsid w:val="7A6D6467"/>
    <w:rsid w:val="7B1126EB"/>
    <w:rsid w:val="7B160078"/>
    <w:rsid w:val="7BB75966"/>
    <w:rsid w:val="7BC57958"/>
    <w:rsid w:val="7C3C2E1B"/>
    <w:rsid w:val="7C4579AF"/>
    <w:rsid w:val="7C4A3E13"/>
    <w:rsid w:val="7C9A0DE4"/>
    <w:rsid w:val="7CB63FC6"/>
    <w:rsid w:val="7CC77E2B"/>
    <w:rsid w:val="7D350B5F"/>
    <w:rsid w:val="7D6455EB"/>
    <w:rsid w:val="7DED55ED"/>
    <w:rsid w:val="7E6A36E6"/>
    <w:rsid w:val="7F2449A4"/>
    <w:rsid w:val="7F762529"/>
    <w:rsid w:val="7FEE3AA0"/>
    <w:rsid w:val="7FFE0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outlineLvl w:val="1"/>
    </w:pPr>
    <w:rPr>
      <w:rFonts w:ascii="宋体" w:hAnsi="宋体"/>
      <w:color w:val="000000"/>
      <w:kern w:val="0"/>
      <w:sz w:val="28"/>
      <w:szCs w:val="20"/>
    </w:rPr>
  </w:style>
  <w:style w:type="paragraph" w:styleId="6">
    <w:name w:val="heading 3"/>
    <w:basedOn w:val="1"/>
    <w:next w:val="1"/>
    <w:autoRedefine/>
    <w:unhideWhenUsed/>
    <w:qFormat/>
    <w:uiPriority w:val="0"/>
    <w:pPr>
      <w:keepNext/>
      <w:keepLines/>
      <w:spacing w:beforeLines="0" w:beforeAutospacing="0" w:afterLines="0" w:afterAutospacing="0" w:line="360" w:lineRule="auto"/>
      <w:ind w:firstLine="0" w:firstLineChars="0"/>
      <w:jc w:val="left"/>
      <w:outlineLvl w:val="2"/>
    </w:pPr>
    <w:rPr>
      <w:rFonts w:ascii="Calibri" w:hAnsi="Calibri"/>
      <w:b/>
    </w:rPr>
  </w:style>
  <w:style w:type="paragraph" w:styleId="7">
    <w:name w:val="heading 4"/>
    <w:basedOn w:val="1"/>
    <w:next w:val="1"/>
    <w:unhideWhenUsed/>
    <w:qFormat/>
    <w:uiPriority w:val="0"/>
    <w:pPr>
      <w:keepNext/>
      <w:keepLines/>
      <w:spacing w:beforeLines="0" w:beforeAutospacing="0" w:afterLines="0" w:afterAutospacing="0" w:line="360" w:lineRule="auto"/>
      <w:ind w:firstLine="1036" w:firstLineChars="200"/>
      <w:jc w:val="left"/>
      <w:outlineLvl w:val="3"/>
    </w:pPr>
    <w:rPr>
      <w:rFonts w:ascii="Times New Roman" w:hAnsi="Times New Roman" w:eastAsia="宋体"/>
      <w:b/>
    </w:rPr>
  </w:style>
  <w:style w:type="character" w:default="1" w:styleId="24">
    <w:name w:val="Default Paragraph Font"/>
    <w:autoRedefine/>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pPr>
  </w:style>
  <w:style w:type="paragraph" w:styleId="3">
    <w:name w:val="Body Text Indent"/>
    <w:basedOn w:val="1"/>
    <w:next w:val="4"/>
    <w:qFormat/>
    <w:uiPriority w:val="0"/>
    <w:pPr>
      <w:spacing w:after="120"/>
      <w:ind w:left="420" w:leftChars="200"/>
    </w:pPr>
    <w:rPr>
      <w:kern w:val="0"/>
      <w:sz w:val="24"/>
      <w:szCs w:val="20"/>
    </w:rPr>
  </w:style>
  <w:style w:type="paragraph" w:styleId="4">
    <w:name w:val="Body Text Indent 2"/>
    <w:basedOn w:val="1"/>
    <w:next w:val="2"/>
    <w:autoRedefine/>
    <w:unhideWhenUsed/>
    <w:qFormat/>
    <w:uiPriority w:val="99"/>
    <w:pPr>
      <w:spacing w:after="120" w:line="480" w:lineRule="auto"/>
      <w:ind w:left="420" w:leftChars="200"/>
    </w:pPr>
  </w:style>
  <w:style w:type="paragraph" w:styleId="8">
    <w:name w:val="List 3"/>
    <w:basedOn w:val="1"/>
    <w:next w:val="1"/>
    <w:autoRedefine/>
    <w:qFormat/>
    <w:uiPriority w:val="0"/>
    <w:pPr>
      <w:autoSpaceDE w:val="0"/>
      <w:autoSpaceDN w:val="0"/>
      <w:adjustRightInd w:val="0"/>
      <w:spacing w:line="288" w:lineRule="auto"/>
      <w:ind w:left="1260" w:hanging="420"/>
      <w:jc w:val="left"/>
      <w:textAlignment w:val="baseline"/>
    </w:pPr>
    <w:rPr>
      <w:kern w:val="0"/>
      <w:sz w:val="24"/>
      <w:szCs w:val="20"/>
    </w:rPr>
  </w:style>
  <w:style w:type="paragraph" w:styleId="9">
    <w:name w:val="Normal Indent"/>
    <w:basedOn w:val="1"/>
    <w:next w:val="1"/>
    <w:autoRedefine/>
    <w:qFormat/>
    <w:uiPriority w:val="0"/>
    <w:pPr>
      <w:adjustRightInd w:val="0"/>
      <w:spacing w:line="312" w:lineRule="atLeast"/>
      <w:ind w:firstLine="420"/>
      <w:textAlignment w:val="baseline"/>
    </w:pPr>
  </w:style>
  <w:style w:type="paragraph" w:styleId="10">
    <w:name w:val="caption"/>
    <w:basedOn w:val="1"/>
    <w:next w:val="1"/>
    <w:autoRedefine/>
    <w:qFormat/>
    <w:uiPriority w:val="0"/>
    <w:pPr>
      <w:jc w:val="center"/>
    </w:pPr>
    <w:rPr>
      <w:rFonts w:ascii="Cambria" w:hAnsi="Cambria"/>
      <w:b/>
      <w:sz w:val="24"/>
      <w:szCs w:val="20"/>
    </w:rPr>
  </w:style>
  <w:style w:type="paragraph" w:styleId="11">
    <w:name w:val="annotation text"/>
    <w:basedOn w:val="1"/>
    <w:autoRedefine/>
    <w:qFormat/>
    <w:uiPriority w:val="0"/>
    <w:pPr>
      <w:jc w:val="left"/>
    </w:pPr>
  </w:style>
  <w:style w:type="paragraph" w:styleId="12">
    <w:name w:val="Body Text"/>
    <w:basedOn w:val="1"/>
    <w:next w:val="13"/>
    <w:autoRedefine/>
    <w:qFormat/>
    <w:uiPriority w:val="0"/>
    <w:pPr>
      <w:widowControl/>
      <w:snapToGrid w:val="0"/>
      <w:spacing w:before="60" w:after="160" w:line="259" w:lineRule="auto"/>
      <w:ind w:right="113"/>
    </w:pPr>
    <w:rPr>
      <w:kern w:val="0"/>
      <w:sz w:val="18"/>
      <w:szCs w:val="20"/>
    </w:rPr>
  </w:style>
  <w:style w:type="paragraph" w:customStyle="1" w:styleId="13">
    <w:name w:val="xl27"/>
    <w:basedOn w:val="1"/>
    <w:next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4">
    <w:name w:val="Plain Text"/>
    <w:basedOn w:val="1"/>
    <w:autoRedefine/>
    <w:unhideWhenUsed/>
    <w:qFormat/>
    <w:uiPriority w:val="99"/>
    <w:rPr>
      <w:rFonts w:ascii="宋体" w:hAnsi="Courier New" w:cs="Courier New"/>
      <w:szCs w:val="21"/>
    </w:rPr>
  </w:style>
  <w:style w:type="paragraph" w:styleId="15">
    <w:name w:val="footer"/>
    <w:basedOn w:val="1"/>
    <w:autoRedefine/>
    <w:qFormat/>
    <w:uiPriority w:val="99"/>
    <w:pPr>
      <w:tabs>
        <w:tab w:val="center" w:pos="4153"/>
        <w:tab w:val="right" w:pos="8306"/>
      </w:tabs>
      <w:snapToGrid w:val="0"/>
      <w:jc w:val="left"/>
    </w:pPr>
    <w:rPr>
      <w:kern w:val="0"/>
      <w:sz w:val="18"/>
      <w:szCs w:val="20"/>
    </w:rPr>
  </w:style>
  <w:style w:type="paragraph" w:styleId="16">
    <w:name w:val="header"/>
    <w:basedOn w:val="1"/>
    <w:next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List"/>
    <w:basedOn w:val="1"/>
    <w:next w:val="12"/>
    <w:qFormat/>
    <w:uiPriority w:val="0"/>
    <w:pPr>
      <w:ind w:left="200" w:hanging="200" w:hangingChars="200"/>
    </w:pPr>
  </w:style>
  <w:style w:type="paragraph" w:styleId="18">
    <w:name w:val="table of figures"/>
    <w:basedOn w:val="1"/>
    <w:next w:val="1"/>
    <w:autoRedefine/>
    <w:qFormat/>
    <w:uiPriority w:val="0"/>
    <w:pPr>
      <w:ind w:left="200" w:leftChars="200" w:hanging="200" w:hangingChars="200"/>
    </w:pPr>
  </w:style>
  <w:style w:type="paragraph" w:styleId="19">
    <w:name w:val="Body Text 2"/>
    <w:basedOn w:val="1"/>
    <w:autoRedefine/>
    <w:qFormat/>
    <w:uiPriority w:val="0"/>
    <w:rPr>
      <w:sz w:val="28"/>
    </w:rPr>
  </w:style>
  <w:style w:type="paragraph" w:styleId="20">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21">
    <w:name w:val="Body Text First Indent"/>
    <w:basedOn w:val="12"/>
    <w:unhideWhenUsed/>
    <w:qFormat/>
    <w:uiPriority w:val="99"/>
    <w:pPr>
      <w:widowControl w:val="0"/>
      <w:ind w:firstLine="420" w:firstLineChars="100"/>
      <w:jc w:val="both"/>
    </w:pPr>
    <w:rPr>
      <w:kern w:val="2"/>
      <w:sz w:val="21"/>
    </w:rPr>
  </w:style>
  <w:style w:type="table" w:styleId="23">
    <w:name w:val="Table Grid"/>
    <w:basedOn w:val="22"/>
    <w:autoRedefine/>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Emphasis"/>
    <w:basedOn w:val="24"/>
    <w:autoRedefine/>
    <w:qFormat/>
    <w:uiPriority w:val="0"/>
    <w:rPr>
      <w:i/>
    </w:rPr>
  </w:style>
  <w:style w:type="character" w:styleId="26">
    <w:name w:val="annotation reference"/>
    <w:basedOn w:val="24"/>
    <w:autoRedefine/>
    <w:semiHidden/>
    <w:qFormat/>
    <w:uiPriority w:val="0"/>
    <w:rPr>
      <w:sz w:val="21"/>
      <w:szCs w:val="21"/>
    </w:rPr>
  </w:style>
  <w:style w:type="paragraph" w:customStyle="1" w:styleId="27">
    <w:name w:val="Default"/>
    <w:basedOn w:val="28"/>
    <w:next w:val="8"/>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8">
    <w:name w:val="纯文本1"/>
    <w:basedOn w:val="1"/>
    <w:autoRedefine/>
    <w:qFormat/>
    <w:uiPriority w:val="0"/>
    <w:pPr>
      <w:adjustRightInd w:val="0"/>
    </w:pPr>
    <w:rPr>
      <w:rFonts w:ascii="宋体" w:hAnsi="Courier New"/>
      <w:szCs w:val="20"/>
    </w:rPr>
  </w:style>
  <w:style w:type="paragraph" w:customStyle="1" w:styleId="29">
    <w:name w:val="Default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标题2"/>
    <w:basedOn w:val="5"/>
    <w:autoRedefine/>
    <w:qFormat/>
    <w:uiPriority w:val="0"/>
    <w:pPr>
      <w:numPr>
        <w:ilvl w:val="1"/>
        <w:numId w:val="1"/>
      </w:numPr>
      <w:spacing w:before="0" w:after="0" w:line="440" w:lineRule="exact"/>
    </w:pPr>
    <w:rPr>
      <w:kern w:val="0"/>
      <w:sz w:val="28"/>
    </w:rPr>
  </w:style>
  <w:style w:type="paragraph" w:customStyle="1" w:styleId="31">
    <w:name w:val="样式35"/>
    <w:basedOn w:val="1"/>
    <w:autoRedefine/>
    <w:qFormat/>
    <w:uiPriority w:val="0"/>
    <w:pPr>
      <w:adjustRightInd w:val="0"/>
      <w:spacing w:line="312" w:lineRule="auto"/>
      <w:ind w:firstLine="567"/>
    </w:pPr>
    <w:rPr>
      <w:rFonts w:ascii="宋体"/>
      <w:kern w:val="0"/>
      <w:sz w:val="28"/>
    </w:rPr>
  </w:style>
  <w:style w:type="paragraph" w:customStyle="1" w:styleId="32">
    <w:name w:val="A-正文"/>
    <w:basedOn w:val="1"/>
    <w:autoRedefine/>
    <w:qFormat/>
    <w:uiPriority w:val="0"/>
    <w:pPr>
      <w:widowControl w:val="0"/>
      <w:adjustRightInd/>
      <w:snapToGrid/>
      <w:spacing w:line="560" w:lineRule="exact"/>
      <w:ind w:firstLine="560" w:firstLineChars="200"/>
    </w:pPr>
    <w:rPr>
      <w:rFonts w:ascii="Times New Roman" w:hAnsi="Times New Roman" w:eastAsia="仿宋_GB2312"/>
      <w:kern w:val="0"/>
      <w:sz w:val="24"/>
      <w:lang w:bidi="ar-SA"/>
    </w:rPr>
  </w:style>
  <w:style w:type="paragraph" w:customStyle="1" w:styleId="33">
    <w:name w:val="表格内容"/>
    <w:basedOn w:val="34"/>
    <w:next w:val="1"/>
    <w:autoRedefine/>
    <w:qFormat/>
    <w:uiPriority w:val="0"/>
    <w:pPr>
      <w:spacing w:line="240" w:lineRule="atLeast"/>
      <w:jc w:val="center"/>
    </w:pPr>
    <w:rPr>
      <w:rFonts w:eastAsia="宋体"/>
      <w:sz w:val="21"/>
    </w:rPr>
  </w:style>
  <w:style w:type="paragraph" w:customStyle="1" w:styleId="34">
    <w:name w:val="表格标题"/>
    <w:basedOn w:val="17"/>
    <w:next w:val="1"/>
    <w:autoRedefine/>
    <w:qFormat/>
    <w:uiPriority w:val="0"/>
    <w:pPr>
      <w:spacing w:before="0" w:beforeLines="0" w:line="360" w:lineRule="auto"/>
      <w:jc w:val="center"/>
    </w:pPr>
    <w:rPr>
      <w:rFonts w:ascii="Times New Roman" w:hAnsi="Times New Roman" w:eastAsia="黑体"/>
      <w:sz w:val="24"/>
      <w:szCs w:val="20"/>
    </w:rPr>
  </w:style>
  <w:style w:type="paragraph" w:customStyle="1" w:styleId="35">
    <w:name w:val="正文 + 仿宋_GB2312"/>
    <w:basedOn w:val="1"/>
    <w:autoRedefine/>
    <w:qFormat/>
    <w:uiPriority w:val="99"/>
    <w:pPr>
      <w:ind w:firstLine="480" w:firstLineChars="200"/>
    </w:pPr>
    <w:rPr>
      <w:rFonts w:ascii="仿宋_GB2312" w:hAnsi="Calibri" w:eastAsia="仿宋_GB2312" w:cs="Times New Roman"/>
      <w:sz w:val="24"/>
    </w:rPr>
  </w:style>
  <w:style w:type="paragraph" w:customStyle="1" w:styleId="36">
    <w:name w:val="胡正文"/>
    <w:basedOn w:val="1"/>
    <w:autoRedefine/>
    <w:qFormat/>
    <w:uiPriority w:val="0"/>
    <w:pPr>
      <w:spacing w:line="360" w:lineRule="auto"/>
      <w:ind w:firstLine="200" w:firstLineChars="200"/>
      <w:jc w:val="left"/>
    </w:pPr>
    <w:rPr>
      <w:rFonts w:ascii="宋体" w:hAnsi="宋体"/>
      <w:sz w:val="24"/>
      <w:szCs w:val="28"/>
    </w:rPr>
  </w:style>
  <w:style w:type="paragraph" w:customStyle="1" w:styleId="37">
    <w:name w:val="图、表标题"/>
    <w:basedOn w:val="1"/>
    <w:autoRedefine/>
    <w:qFormat/>
    <w:uiPriority w:val="0"/>
    <w:pPr>
      <w:jc w:val="center"/>
    </w:pPr>
    <w:rPr>
      <w:b/>
      <w:sz w:val="21"/>
    </w:rPr>
  </w:style>
  <w:style w:type="paragraph" w:customStyle="1" w:styleId="38">
    <w:name w:val="表格"/>
    <w:basedOn w:val="18"/>
    <w:next w:val="1"/>
    <w:autoRedefine/>
    <w:qFormat/>
    <w:uiPriority w:val="0"/>
    <w:pPr>
      <w:adjustRightInd w:val="0"/>
      <w:snapToGrid w:val="0"/>
      <w:spacing w:beforeLines="10" w:afterLines="10" w:line="259" w:lineRule="auto"/>
      <w:jc w:val="center"/>
    </w:pPr>
    <w:rPr>
      <w:rFonts w:ascii="宋体"/>
      <w:kern w:val="0"/>
      <w:szCs w:val="20"/>
    </w:rPr>
  </w:style>
  <w:style w:type="paragraph" w:customStyle="1" w:styleId="39">
    <w:name w:val="图、表内容"/>
    <w:basedOn w:val="1"/>
    <w:autoRedefine/>
    <w:qFormat/>
    <w:uiPriority w:val="0"/>
    <w:pPr>
      <w:spacing w:line="240" w:lineRule="auto"/>
      <w:ind w:firstLine="0" w:firstLineChars="0"/>
      <w:jc w:val="center"/>
    </w:pPr>
    <w:rPr>
      <w:sz w:val="21"/>
    </w:rPr>
  </w:style>
  <w:style w:type="character" w:customStyle="1" w:styleId="40">
    <w:name w:val="NormalCharacter"/>
    <w:link w:val="41"/>
    <w:autoRedefine/>
    <w:qFormat/>
    <w:uiPriority w:val="0"/>
    <w:rPr>
      <w:rFonts w:ascii="宋体" w:hAnsi="宋体" w:eastAsia="宋体"/>
      <w:kern w:val="2"/>
      <w:sz w:val="24"/>
      <w:szCs w:val="24"/>
      <w:lang w:val="en-US" w:eastAsia="zh-CN" w:bidi="ar-SA"/>
    </w:rPr>
  </w:style>
  <w:style w:type="paragraph" w:customStyle="1" w:styleId="41">
    <w:name w:val="UserStyle_12"/>
    <w:basedOn w:val="1"/>
    <w:link w:val="40"/>
    <w:autoRedefine/>
    <w:qFormat/>
    <w:uiPriority w:val="0"/>
    <w:pPr>
      <w:spacing w:after="50" w:line="360" w:lineRule="auto"/>
      <w:ind w:firstLine="200" w:firstLineChars="200"/>
      <w:jc w:val="both"/>
      <w:textAlignment w:val="baseline"/>
    </w:pPr>
    <w:rPr>
      <w:rFonts w:ascii="宋体" w:hAnsi="宋体" w:eastAsia="宋体"/>
      <w:kern w:val="2"/>
      <w:sz w:val="24"/>
      <w:szCs w:val="24"/>
      <w:lang w:val="en-US" w:eastAsia="zh-CN" w:bidi="ar-SA"/>
    </w:rPr>
  </w:style>
  <w:style w:type="character" w:customStyle="1" w:styleId="42">
    <w:name w:val="fontstyle01"/>
    <w:basedOn w:val="24"/>
    <w:autoRedefine/>
    <w:qFormat/>
    <w:uiPriority w:val="0"/>
    <w:rPr>
      <w:rFonts w:hint="eastAsia" w:ascii="宋体" w:hAnsi="宋体" w:eastAsia="宋体"/>
      <w:color w:val="000000"/>
      <w:sz w:val="24"/>
      <w:szCs w:val="24"/>
    </w:rPr>
  </w:style>
  <w:style w:type="paragraph" w:customStyle="1" w:styleId="43">
    <w:name w:val="Table Paragraph"/>
    <w:basedOn w:val="1"/>
    <w:autoRedefine/>
    <w:qFormat/>
    <w:uiPriority w:val="1"/>
    <w:rPr>
      <w:rFonts w:ascii="宋体" w:hAnsi="宋体" w:eastAsia="宋体" w:cs="宋体"/>
      <w:lang w:val="zh-CN" w:eastAsia="zh-CN" w:bidi="zh-CN"/>
    </w:rPr>
  </w:style>
  <w:style w:type="paragraph" w:customStyle="1" w:styleId="44">
    <w:name w:val="Other|1"/>
    <w:basedOn w:val="1"/>
    <w:autoRedefine/>
    <w:qFormat/>
    <w:uiPriority w:val="0"/>
    <w:pPr>
      <w:widowControl w:val="0"/>
      <w:shd w:val="clear" w:color="auto" w:fill="auto"/>
      <w:jc w:val="center"/>
    </w:pPr>
    <w:rPr>
      <w:rFonts w:ascii="PMingLiU" w:hAnsi="PMingLiU" w:eastAsia="PMingLiU" w:cs="PMingLiU"/>
      <w:sz w:val="22"/>
      <w:szCs w:val="22"/>
      <w:u w:val="none"/>
      <w:shd w:val="clear" w:color="auto" w:fill="auto"/>
    </w:rPr>
  </w:style>
  <w:style w:type="character" w:customStyle="1" w:styleId="45">
    <w:name w:val="fontstyle31"/>
    <w:basedOn w:val="24"/>
    <w:autoRedefine/>
    <w:qFormat/>
    <w:uiPriority w:val="0"/>
    <w:rPr>
      <w:rFonts w:ascii="Calibri" w:hAnsi="Calibri" w:cs="Calibri"/>
      <w:color w:val="000000"/>
      <w:sz w:val="24"/>
      <w:szCs w:val="24"/>
    </w:rPr>
  </w:style>
  <w:style w:type="paragraph" w:customStyle="1" w:styleId="46">
    <w:name w:val="表格内文字"/>
    <w:basedOn w:val="1"/>
    <w:autoRedefine/>
    <w:qFormat/>
    <w:uiPriority w:val="0"/>
    <w:pPr>
      <w:tabs>
        <w:tab w:val="left" w:pos="0"/>
      </w:tabs>
      <w:adjustRightInd w:val="0"/>
      <w:snapToGrid w:val="0"/>
      <w:jc w:val="center"/>
    </w:pPr>
    <w:rPr>
      <w:rFonts w:ascii="Times New Roman" w:hAnsi="Times New Roman"/>
      <w:kern w:val="0"/>
      <w:szCs w:val="24"/>
    </w:rPr>
  </w:style>
  <w:style w:type="paragraph" w:customStyle="1" w:styleId="47">
    <w:name w:val="Table Text"/>
    <w:basedOn w:val="1"/>
    <w:autoRedefine/>
    <w:semiHidden/>
    <w:qFormat/>
    <w:uiPriority w:val="0"/>
    <w:rPr>
      <w:rFonts w:ascii="宋体" w:hAnsi="宋体" w:eastAsia="宋体" w:cs="宋体"/>
      <w:sz w:val="24"/>
      <w:szCs w:val="24"/>
      <w:lang w:val="en-US" w:eastAsia="en-US" w:bidi="ar-SA"/>
    </w:rPr>
  </w:style>
  <w:style w:type="paragraph" w:customStyle="1" w:styleId="48">
    <w:name w:val="首行缩进"/>
    <w:basedOn w:val="1"/>
    <w:autoRedefine/>
    <w:qFormat/>
    <w:uiPriority w:val="0"/>
    <w:pPr>
      <w:widowControl/>
      <w:ind w:firstLine="480"/>
      <w:jc w:val="left"/>
    </w:pPr>
    <w:rPr>
      <w:rFonts w:ascii="Calibri" w:hAnsi="Calibri"/>
      <w:kern w:val="0"/>
      <w:lang w:eastAsia="en-US" w:bidi="en-US"/>
    </w:rPr>
  </w:style>
  <w:style w:type="character" w:customStyle="1" w:styleId="49">
    <w:name w:val="font41"/>
    <w:basedOn w:val="24"/>
    <w:qFormat/>
    <w:uiPriority w:val="0"/>
    <w:rPr>
      <w:rFonts w:hint="default" w:ascii="Arial" w:hAnsi="Arial" w:cs="Arial"/>
      <w:color w:val="000000"/>
      <w:sz w:val="20"/>
      <w:szCs w:val="20"/>
      <w:u w:val="none"/>
    </w:rPr>
  </w:style>
  <w:style w:type="character" w:customStyle="1" w:styleId="50">
    <w:name w:val="font61"/>
    <w:basedOn w:val="24"/>
    <w:qFormat/>
    <w:uiPriority w:val="0"/>
    <w:rPr>
      <w:rFonts w:hint="default" w:ascii="Arial" w:hAnsi="Arial" w:cs="Arial"/>
      <w:color w:val="000000"/>
      <w:sz w:val="20"/>
      <w:szCs w:val="20"/>
      <w:u w:val="none"/>
      <w:vertAlign w:val="superscript"/>
    </w:rPr>
  </w:style>
  <w:style w:type="character" w:customStyle="1" w:styleId="51">
    <w:name w:val="font01"/>
    <w:basedOn w:val="24"/>
    <w:qFormat/>
    <w:uiPriority w:val="0"/>
    <w:rPr>
      <w:rFonts w:hint="eastAsia" w:ascii="宋体" w:hAnsi="宋体" w:eastAsia="宋体" w:cs="宋体"/>
      <w:color w:val="000000"/>
      <w:sz w:val="22"/>
      <w:szCs w:val="22"/>
      <w:u w:val="none"/>
    </w:rPr>
  </w:style>
  <w:style w:type="paragraph" w:customStyle="1" w:styleId="52">
    <w:name w:val="reader-word-layer reader-word-s5-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
    <w:name w:val="无间隔1"/>
    <w:basedOn w:val="1"/>
    <w:qFormat/>
    <w:uiPriority w:val="0"/>
    <w:pPr>
      <w:spacing w:line="240" w:lineRule="auto"/>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4.wmf"/><Relationship Id="rId24" Type="http://schemas.openxmlformats.org/officeDocument/2006/relationships/oleObject" Target="embeddings/oleObject6.bin"/><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emf"/><Relationship Id="rId15" Type="http://schemas.openxmlformats.org/officeDocument/2006/relationships/oleObject" Target="embeddings/oleObject5.bin"/><Relationship Id="rId14" Type="http://schemas.openxmlformats.org/officeDocument/2006/relationships/image" Target="media/image5.emf"/><Relationship Id="rId13" Type="http://schemas.openxmlformats.org/officeDocument/2006/relationships/oleObject" Target="embeddings/oleObject4.bin"/><Relationship Id="rId12" Type="http://schemas.openxmlformats.org/officeDocument/2006/relationships/image" Target="media/image4.emf"/><Relationship Id="rId11" Type="http://schemas.openxmlformats.org/officeDocument/2006/relationships/oleObject" Target="embeddings/oleObject3.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21667</Words>
  <Characters>22734</Characters>
  <Lines>0</Lines>
  <Paragraphs>0</Paragraphs>
  <TotalTime>2</TotalTime>
  <ScaleCrop>false</ScaleCrop>
  <LinksUpToDate>false</LinksUpToDate>
  <CharactersWithSpaces>22791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2021-08-25T06:57:00Z</dcterms:created>
  <dc:creator>XJ.W</dc:creator>
  <cp:lastModifiedBy>Administrator</cp:lastModifiedBy>
  <cp:lastPrinted>2023-11-29T00:24:00Z</cp:lastPrinted>
  <dcterms:modified xsi:type="dcterms:W3CDTF">2025-08-26T09:07:15Z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620A3AD02574402F91FB1CB3F46E4BF0_13</vt:lpwstr>
  </property>
  <property fmtid="{D5CDD505-2E9C-101B-9397-08002B2CF9AE}" pid="4" name="KSOTemplateDocerSaveRecord">
    <vt:lpwstr>eyJoZGlkIjoiNWM5ZmJmYWUwNmFhNjFiMmJmNWFiMWViNGRjMTY4ZTgifQ==</vt:lpwstr>
  </property>
</Properties>
</file>