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附件</w:t>
      </w:r>
      <w:r>
        <w:rPr>
          <w:rFonts w:ascii="黑体" w:hAnsi="宋体" w:eastAsia="黑体" w:cs="宋体"/>
          <w:kern w:val="0"/>
          <w:sz w:val="28"/>
          <w:szCs w:val="28"/>
        </w:rPr>
        <w:t xml:space="preserve">4-1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安徽省医疗服务信息社会公开内容</w:t>
      </w:r>
    </w:p>
    <w:tbl>
      <w:tblPr>
        <w:tblStyle w:val="5"/>
        <w:tblW w:w="8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545"/>
        <w:gridCol w:w="415"/>
        <w:gridCol w:w="1080"/>
        <w:gridCol w:w="10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医疗机构名称</w:t>
            </w:r>
          </w:p>
        </w:tc>
        <w:tc>
          <w:tcPr>
            <w:tcW w:w="7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灵璧县中医医院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信息分类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指标项目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本期数值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上期数值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1.1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医疗机构等级与综合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专科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重点（特色）专科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国家级重点骨伤专科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国家级重点骨伤专科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省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省级重点针灸推拿特色专科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省级重点针灸推拿特色专科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市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院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医疗费用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门诊患者人均医疗费用（元）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199.45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232.32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住院患者人均医疗费用（元）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4099.42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3055.01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药品占比（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21.2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30.36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2.3.1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中药饮片占比（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38.67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49.79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耗材占比（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2.5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2.6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医保及新农合实际报销比例（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城镇职工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68.71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新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农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69.83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城镇居民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医疗质量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3.1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96.82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入出院诊断符合率（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3.5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大型设备检查阳性率（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彩超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83.79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85.31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CT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MRI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3.6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抗菌药物使用强度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3.7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3.8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运行效率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门诊挂号预约率（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术前待床日（天）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二类手术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4-6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4-6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三类手术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3-5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四类手术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4-6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4-6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4.3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127.92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出院者平均住院日（天）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患者满意度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90" w:firstLineChars="5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服务承诺</w:t>
            </w:r>
          </w:p>
        </w:tc>
        <w:tc>
          <w:tcPr>
            <w:tcW w:w="7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</w:tr>
    </w:tbl>
    <w:p>
      <w:pPr>
        <w:rPr>
          <w:rFonts w:ascii="仿宋_GB2312" w:eastAsia="仿宋_GB231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附件</w:t>
      </w:r>
      <w:r>
        <w:rPr>
          <w:rFonts w:ascii="黑体" w:hAnsi="宋体" w:eastAsia="黑体" w:cs="宋体"/>
          <w:kern w:val="0"/>
          <w:sz w:val="28"/>
          <w:szCs w:val="28"/>
        </w:rPr>
        <w:t xml:space="preserve">4-2          </w:t>
      </w:r>
      <w:r>
        <w:rPr>
          <w:rFonts w:hint="eastAsia" w:ascii="黑体" w:hAnsi="宋体" w:eastAsia="黑体" w:cs="宋体"/>
          <w:kern w:val="0"/>
          <w:sz w:val="28"/>
          <w:szCs w:val="28"/>
        </w:rPr>
        <w:t>医疗机构住院患者单病种平均费用</w:t>
      </w:r>
    </w:p>
    <w:p/>
    <w:tbl>
      <w:tblPr>
        <w:tblStyle w:val="5"/>
        <w:tblW w:w="87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72"/>
        <w:gridCol w:w="957"/>
        <w:gridCol w:w="2043"/>
        <w:gridCol w:w="3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腰腿痛（腰椎间盘突出症）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2534.33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1888.25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高血压病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3516.82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3357.38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子宫颈糜烂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3657.46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2459.64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膝痹病（膝关节骨性关节炎）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2298.05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1107.75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中风病（脑梗死）恢复期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3609.70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3296.45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肺胀（慢性阻塞性肺疾病）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2643.07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2750.07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肺部感染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3073.69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2834.25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脑动脉供血不足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3097.54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2648.85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消渴病（2型糖尿病）(诊断组)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2994.86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2778.23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脊髓型颈椎病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3005.18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2392.29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冠心病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3988.42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3449.27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肝着（慢性乙型肝炎）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3769.51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3677.81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前庭大腺囊肿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2028.19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1986.54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脂肪瘤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2109.34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1729.53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骨质疏松（诊断组）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4389.72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24392.23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面瘫（面神经炎）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3306.04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2647.63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尪痹（类风湿性关节炎）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3115.62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2511.34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出血性中风（脑出血）(诊断组)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3917.25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3454.77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肛周疾病（诊断组）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3891.22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4651.42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关节滑膜炎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3001.94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2826.65</w:t>
            </w:r>
          </w:p>
        </w:tc>
      </w:tr>
    </w:tbl>
    <w:p/>
    <w:p/>
    <w:tbl>
      <w:tblPr>
        <w:tblStyle w:val="5"/>
        <w:tblW w:w="87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062"/>
        <w:gridCol w:w="2126"/>
        <w:gridCol w:w="1701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腰腿痛（腰椎间盘突出症）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2534.33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1888.25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中风病（脑梗死）恢复期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3609.70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3296.45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膝痹病（膝关节骨性关节炎）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2298.05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1107.75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尪痹（类风湿性关节炎）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3115.62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2511.34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脊髓型颈椎病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3005.18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2392.29</w:t>
            </w:r>
          </w:p>
        </w:tc>
      </w:tr>
    </w:tbl>
    <w:p>
      <w:r>
        <w:br w:type="page"/>
      </w:r>
    </w:p>
    <w:tbl>
      <w:tblPr>
        <w:tblStyle w:val="5"/>
        <w:tblW w:w="8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br w:type="page"/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4-3          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医疗机构服务承诺内容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在医疗服务活动中，谢绝接受患者及其亲友的“红包”、物品馈赠。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严格执行药品集中招标采购制度，对中标药品严格按合同采购，努力降低药品价格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不向科室下达任务指标，不搞对药品、仪器检查、化验报告及其他特殊检查等实行“开单提成”办法。拒绝私自利用医院检查仪器收受“红包”、吃请。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根据患者病情，因病施治，科学合理检查，合理治疗，合理用药，不开大处方，依法合理收费。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礼貌接诊，热情服务，态度和蔼，不推诿、训斥、刁难病人，文明行医。积极开展咨询义诊活动。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尊重患者的选择权、知情权和监督权，执行医务公开。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严格执行国家物价政策，不分解收费，不超标准收费，不自立项收费。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严格执行价格公示制度，利用公示栏显示医疗服务及药品等价格。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坚持“首诊负责制”和群众投诉首接负责制，聘请社会监督员，认真听取社会各界对医院的意见和建议，群众意见查办率达</w:t>
            </w:r>
            <w:r>
              <w:rPr>
                <w:rFonts w:ascii="宋体" w:hAnsi="宋体" w:cs="宋体"/>
                <w:kern w:val="0"/>
                <w:sz w:val="24"/>
              </w:rPr>
              <w:t>100%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医院内部一切财务收支有单位财务部门统一管理，严禁科室承包及收入分成。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4-4       </w:t>
      </w:r>
      <w:r>
        <w:rPr>
          <w:rFonts w:hint="eastAsia"/>
          <w:b/>
          <w:sz w:val="28"/>
          <w:szCs w:val="28"/>
        </w:rPr>
        <w:t>安徽省医疗服务信息社会公开指标说明</w:t>
      </w:r>
    </w:p>
    <w:tbl>
      <w:tblPr>
        <w:tblStyle w:val="5"/>
        <w:tblpPr w:leftFromText="180" w:rightFromText="180" w:vertAnchor="text" w:horzAnchor="margin" w:tblpX="-102" w:tblpY="318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66"/>
        <w:gridCol w:w="75"/>
        <w:gridCol w:w="140"/>
        <w:gridCol w:w="69"/>
        <w:gridCol w:w="1248"/>
        <w:gridCol w:w="5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信息分类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指标项目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指标定义、计算公式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基本情况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1.1</w:t>
            </w:r>
            <w:r>
              <w:rPr>
                <w:rFonts w:hint="eastAsia" w:ascii="宋体" w:hAnsi="宋体"/>
                <w:sz w:val="24"/>
              </w:rPr>
              <w:t>医疗机构等级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指经各级卫生行政部门评审，确定的医疗机构等级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3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1.2 </w:t>
            </w:r>
            <w:r>
              <w:rPr>
                <w:rFonts w:hint="eastAsia" w:ascii="宋体" w:hAnsi="宋体"/>
                <w:sz w:val="24"/>
              </w:rPr>
              <w:t>重点（特色）专科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国家级</w:t>
            </w:r>
          </w:p>
        </w:tc>
        <w:tc>
          <w:tcPr>
            <w:tcW w:w="500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列举经各级卫生行政部门评定的重点专科名称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tabs>
                <w:tab w:val="left" w:pos="870"/>
              </w:tabs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省级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tabs>
                <w:tab w:val="left" w:pos="870"/>
              </w:tabs>
              <w:spacing w:line="36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市级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院级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列举</w:t>
            </w:r>
            <w:r>
              <w:rPr>
                <w:rFonts w:hint="eastAsia" w:ascii="宋体" w:hAnsi="宋体"/>
                <w:bCs/>
                <w:sz w:val="24"/>
              </w:rPr>
              <w:t>医疗机构自行评定的特色专科名称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医疗费用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2.1 </w:t>
            </w:r>
            <w:r>
              <w:rPr>
                <w:rFonts w:hint="eastAsia" w:ascii="宋体" w:hAnsi="宋体"/>
                <w:sz w:val="24"/>
              </w:rPr>
              <w:t>门诊患者人均医疗费用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门诊收入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门诊诊疗人次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2.2 </w:t>
            </w:r>
            <w:r>
              <w:rPr>
                <w:rFonts w:hint="eastAsia" w:ascii="宋体" w:hAnsi="宋体"/>
                <w:sz w:val="24"/>
              </w:rPr>
              <w:t>出院患者人均医疗费用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住院收入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出院人次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2.3 </w:t>
            </w:r>
            <w:r>
              <w:rPr>
                <w:rFonts w:hint="eastAsia" w:ascii="宋体" w:hAnsi="宋体"/>
                <w:sz w:val="24"/>
              </w:rPr>
              <w:t>药品占比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医疗机构药品收入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业务收入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Cs w:val="21"/>
              </w:rPr>
              <w:t>2.3.1</w:t>
            </w:r>
            <w:r>
              <w:rPr>
                <w:rFonts w:hint="eastAsia" w:ascii="宋体" w:hAnsi="宋体"/>
                <w:szCs w:val="21"/>
              </w:rPr>
              <w:t>中药饮片占比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中药饮片收入（含院内制剂）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药品收入</w:t>
            </w:r>
            <w:r>
              <w:rPr>
                <w:rFonts w:ascii="宋体" w:hAnsi="宋体"/>
                <w:szCs w:val="21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2.4 </w:t>
            </w:r>
            <w:r>
              <w:rPr>
                <w:rFonts w:hint="eastAsia" w:ascii="宋体" w:hAnsi="宋体"/>
                <w:sz w:val="24"/>
              </w:rPr>
              <w:t>耗材占比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医疗机构耗材收入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业务收入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2.5 </w:t>
            </w:r>
            <w:r>
              <w:rPr>
                <w:rFonts w:hint="eastAsia" w:ascii="宋体" w:hAnsi="宋体"/>
                <w:sz w:val="24"/>
              </w:rPr>
              <w:t>住院患者前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位单病种平均费用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分别计算医疗机构住院患者前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位单病种的平均费用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2.6 </w:t>
            </w:r>
            <w:r>
              <w:rPr>
                <w:rFonts w:hint="eastAsia" w:ascii="宋体" w:hAnsi="宋体"/>
                <w:sz w:val="24"/>
              </w:rPr>
              <w:t>医疗机构特色专科住院患者前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位单病种平均费用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分别计算医疗机构特色专科住院患者前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2.7 </w:t>
            </w:r>
            <w:r>
              <w:rPr>
                <w:rFonts w:hint="eastAsia" w:ascii="宋体" w:hAnsi="宋体"/>
                <w:sz w:val="24"/>
                <w:lang w:val="en-GB"/>
              </w:rPr>
              <w:t>医保及新农合实际报销比例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城镇职工</w:t>
            </w:r>
          </w:p>
        </w:tc>
        <w:tc>
          <w:tcPr>
            <w:tcW w:w="5006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分别计算三类医保住院患者平均实际报销比例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新农合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城镇居民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医疗质量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3.1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治愈好转率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治愈好转人次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出院人次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3.2 </w:t>
            </w:r>
            <w:r>
              <w:rPr>
                <w:rFonts w:hint="eastAsia" w:ascii="宋体" w:hAnsi="宋体"/>
                <w:sz w:val="24"/>
              </w:rPr>
              <w:t>入出院诊断符合率（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入出院诊断符合数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出院人次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</w:rPr>
              <w:t xml:space="preserve">3.3 </w:t>
            </w:r>
            <w:r>
              <w:rPr>
                <w:rFonts w:hint="eastAsia" w:ascii="宋体" w:hAnsi="宋体"/>
                <w:sz w:val="24"/>
              </w:rPr>
              <w:t>手术前后诊断符合率（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手术前后诊断符合数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出院人次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3.4 </w:t>
            </w:r>
            <w:r>
              <w:rPr>
                <w:rFonts w:hint="eastAsia" w:ascii="宋体" w:hAnsi="宋体"/>
                <w:sz w:val="24"/>
              </w:rPr>
              <w:t>急诊抢救成功率（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急诊抢救成功次数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急诊抢救次数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4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3.5</w:t>
            </w:r>
            <w:r>
              <w:rPr>
                <w:rFonts w:hint="eastAsia" w:ascii="宋体" w:hAnsi="宋体"/>
                <w:sz w:val="24"/>
              </w:rPr>
              <w:t>大型设备检查阳性率（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彩超</w:t>
            </w:r>
          </w:p>
        </w:tc>
        <w:tc>
          <w:tcPr>
            <w:tcW w:w="500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检查阳性结果数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检查人次数（三项检查分别计算）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4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CT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4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MRI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3.6</w:t>
            </w:r>
            <w:r>
              <w:rPr>
                <w:rFonts w:hint="eastAsia" w:ascii="宋体" w:hAnsi="宋体"/>
                <w:bCs/>
                <w:sz w:val="24"/>
              </w:rPr>
              <w:t>抗菌药物使用强度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抗菌药物使用强度</w:t>
            </w: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抗菌药物消耗量（累计</w:t>
            </w:r>
            <w:r>
              <w:rPr>
                <w:rFonts w:ascii="宋体" w:hAnsi="宋体"/>
                <w:sz w:val="24"/>
              </w:rPr>
              <w:t>DDD</w:t>
            </w:r>
            <w:r>
              <w:rPr>
                <w:rFonts w:hint="eastAsia" w:ascii="宋体" w:hAnsi="宋体"/>
                <w:sz w:val="24"/>
              </w:rPr>
              <w:t>值）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（出院患者人数×平均住院天数）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3.7</w:t>
            </w:r>
            <w:r>
              <w:rPr>
                <w:rFonts w:hint="eastAsia" w:ascii="宋体" w:hAnsi="宋体"/>
                <w:bCs/>
                <w:sz w:val="24"/>
              </w:rPr>
              <w:t>门诊输液率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门诊输液人次数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门诊诊疗人次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3.8</w:t>
            </w:r>
            <w:r>
              <w:rPr>
                <w:rFonts w:hint="eastAsia" w:ascii="宋体" w:hAnsi="宋体"/>
                <w:bCs/>
                <w:sz w:val="24"/>
              </w:rPr>
              <w:t>无菌手术切口感染率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无菌手术切口感染</w:t>
            </w:r>
            <w:r>
              <w:rPr>
                <w:rFonts w:hint="eastAsia" w:ascii="宋体" w:hAnsi="宋体"/>
                <w:sz w:val="24"/>
              </w:rPr>
              <w:t>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无菌手术人次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3.9 </w:t>
            </w:r>
            <w:r>
              <w:rPr>
                <w:rFonts w:hint="eastAsia" w:ascii="宋体" w:hAnsi="宋体"/>
                <w:sz w:val="24"/>
              </w:rPr>
              <w:t>住院患者压疮发生率（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发生压疮的患者人次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出院患者人次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运行效率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4.1 </w:t>
            </w:r>
            <w:r>
              <w:rPr>
                <w:rFonts w:hint="eastAsia" w:ascii="宋体" w:hAnsi="宋体"/>
                <w:sz w:val="24"/>
              </w:rPr>
              <w:t>门诊挂号预约率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门诊预约挂号数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门诊挂号数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4.2 </w:t>
            </w:r>
            <w:r>
              <w:rPr>
                <w:rFonts w:hint="eastAsia" w:ascii="宋体" w:hAnsi="宋体"/>
                <w:bCs/>
                <w:sz w:val="24"/>
              </w:rPr>
              <w:t>术前待床日（天）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二类手术</w:t>
            </w:r>
          </w:p>
        </w:tc>
        <w:tc>
          <w:tcPr>
            <w:tcW w:w="500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分别计算各类手术患者从入院时点至手术时点的平均等候时间，以天为单位计算。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三类手术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四类手术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4.3</w:t>
            </w:r>
            <w:r>
              <w:rPr>
                <w:rFonts w:hint="eastAsia" w:ascii="宋体" w:hAnsi="宋体"/>
                <w:bCs/>
                <w:sz w:val="24"/>
              </w:rPr>
              <w:t>病床使用率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实际占用总床日数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实际开放总床日数</w:t>
            </w:r>
            <w:r>
              <w:rPr>
                <w:rFonts w:ascii="宋体" w:hAnsi="宋体"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4.4 </w:t>
            </w:r>
            <w:r>
              <w:rPr>
                <w:rFonts w:hint="eastAsia" w:ascii="宋体" w:hAnsi="宋体"/>
                <w:bCs/>
                <w:sz w:val="24"/>
              </w:rPr>
              <w:t>出院者平均住院日（天）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出院者占用总床日数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出院人次数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1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患者满意度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总体满意度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以第三方机构调查报告数据为准。三级医疗机构和省属医疗机构应用省卫生计生委满意度评价。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服务承诺</w:t>
            </w:r>
          </w:p>
        </w:tc>
        <w:tc>
          <w:tcPr>
            <w:tcW w:w="760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医疗机构主动向社会承诺的服务内容（含我省医疗机构统一和自选）</w:t>
            </w:r>
          </w:p>
        </w:tc>
      </w:tr>
    </w:tbl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/>
    <w:sectPr>
      <w:pgSz w:w="11906" w:h="16838"/>
      <w:pgMar w:top="1247" w:right="1797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82"/>
    <w:rsid w:val="000E44D6"/>
    <w:rsid w:val="00127150"/>
    <w:rsid w:val="00165705"/>
    <w:rsid w:val="00175A67"/>
    <w:rsid w:val="00236634"/>
    <w:rsid w:val="00297335"/>
    <w:rsid w:val="002A0DF6"/>
    <w:rsid w:val="002A7EE4"/>
    <w:rsid w:val="00465D93"/>
    <w:rsid w:val="0047062A"/>
    <w:rsid w:val="004D129F"/>
    <w:rsid w:val="005A6AD9"/>
    <w:rsid w:val="005F4975"/>
    <w:rsid w:val="005F7C20"/>
    <w:rsid w:val="00610B48"/>
    <w:rsid w:val="00683B31"/>
    <w:rsid w:val="006D2034"/>
    <w:rsid w:val="00737C10"/>
    <w:rsid w:val="007D5F70"/>
    <w:rsid w:val="00816907"/>
    <w:rsid w:val="00871454"/>
    <w:rsid w:val="008903D0"/>
    <w:rsid w:val="00900987"/>
    <w:rsid w:val="00A42583"/>
    <w:rsid w:val="00A43416"/>
    <w:rsid w:val="00AB50BC"/>
    <w:rsid w:val="00B15843"/>
    <w:rsid w:val="00B80B0D"/>
    <w:rsid w:val="00C16259"/>
    <w:rsid w:val="00C201DF"/>
    <w:rsid w:val="00C61E97"/>
    <w:rsid w:val="00CD42C7"/>
    <w:rsid w:val="00CE18D0"/>
    <w:rsid w:val="00D710E2"/>
    <w:rsid w:val="00D82C0D"/>
    <w:rsid w:val="00D90B09"/>
    <w:rsid w:val="00DA627E"/>
    <w:rsid w:val="00E60A63"/>
    <w:rsid w:val="00E84555"/>
    <w:rsid w:val="00ED1A82"/>
    <w:rsid w:val="00F357E5"/>
    <w:rsid w:val="00F4535D"/>
    <w:rsid w:val="00F957D5"/>
    <w:rsid w:val="040676B3"/>
    <w:rsid w:val="06DB3449"/>
    <w:rsid w:val="0A6D152E"/>
    <w:rsid w:val="0B3B5DCC"/>
    <w:rsid w:val="11665FFF"/>
    <w:rsid w:val="29116A59"/>
    <w:rsid w:val="2C57263C"/>
    <w:rsid w:val="4B8E0B26"/>
    <w:rsid w:val="4E4B6239"/>
    <w:rsid w:val="515C2E24"/>
    <w:rsid w:val="56ED1C33"/>
    <w:rsid w:val="59C3190F"/>
    <w:rsid w:val="5C95578C"/>
    <w:rsid w:val="60620E16"/>
    <w:rsid w:val="66F9368D"/>
    <w:rsid w:val="6C401A7B"/>
    <w:rsid w:val="6E44226F"/>
    <w:rsid w:val="770E11C2"/>
    <w:rsid w:val="7B9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527</Words>
  <Characters>3009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2017-04-19T02:18:00Z</dcterms:created>
  <dc:creator>User</dc:creator>
  <cp:lastModifiedBy>灵璧县卫生健康委员会</cp:lastModifiedBy>
  <cp:lastPrinted>2019-05-07T07:34:00Z</cp:lastPrinted>
  <dcterms:modified xsi:type="dcterms:W3CDTF">2021-04-14T01:31:39Z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D78EA7E52FFB4F96A271C21F1CC32D00</vt:lpwstr>
  </property>
</Properties>
</file>